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826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gridCol w:w="7290"/>
      </w:tblGrid>
      <w:tr>
        <w:tblPrEx>
          <w:tblCellMar>
            <w:top w:w="0" w:type="dxa"/>
            <w:left w:w="108" w:type="dxa"/>
            <w:bottom w:w="0" w:type="dxa"/>
            <w:right w:w="108" w:type="dxa"/>
          </w:tblCellMar>
        </w:tblPrEx>
        <w:trPr>
          <w:gridAfter w:val="1"/>
          <w:wAfter w:w="7290" w:type="dxa"/>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GROWINT_BI</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GROW0311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gridAfter w:val="1"/>
          <w:wAfter w:w="7290" w:type="dxa"/>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gridAfter w:val="1"/>
          <w:wAfter w:w="7290" w:type="dxa"/>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18/12/2023</w:t>
            </w:r>
          </w:p>
        </w:tc>
      </w:tr>
      <w:tr>
        <w:tblPrEx>
          <w:tblCellMar>
            <w:top w:w="0" w:type="dxa"/>
            <w:left w:w="108" w:type="dxa"/>
            <w:bottom w:w="0" w:type="dxa"/>
            <w:right w:w="108" w:type="dxa"/>
          </w:tblCellMar>
        </w:tblPrEx>
        <w:trPr>
          <w:gridAfter w:val="1"/>
          <w:wAfter w:w="7290" w:type="dxa"/>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gridAfter w:val="1"/>
          <w:wAfter w:w="7290" w:type="dxa"/>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En la reunión de seguimiento realizada el pasado Jueves 14 de Diciembre se han tratado los siguientes puntos y su evolución:</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comprobado la confluencia entre los diseños propuestos por el cliente para el formato de los dashboards y los datos representativos que van a figurar bajo estos diseños, en principio la prueba fue satisfactoria, no obstante se determinó que sería conveniente cambiar el formato del lienzo en power bi para disponer de una visión panorámica. Para ello se acordó realizar una serie de pruebas para acomodar visualmente los datos en power bi con los diseños referidos.</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-Hasta ahora del segundo modelo originario (Backyard) se han analizado y decargado los datos correspondientes a Alipay y Cainiao.</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-Cainiao tiene definido dos tablas que es necesario intentar unificar o en su defecto, establecer una relación entre dichas tablas que sea estable, escalable y operativa. Existe una tabla con un código de productos y otra con Eans de productos, la estructura de estas dos tablas es como si formaran una jerarquía en la que por un lado existe una tabla principal de Cainiao donde se encuentran los códigos de productos, que serían los nodos padre y por otro estaría la tabla hija donde figuran los Eans de los productos “nodos hijos”. Cada producto de la tabla productos tiene por debajo, como mínimo, un código eans dependiente, por lo tanto un productos tendrá como objetos dependientes n eans.</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A la tabla de Cainiao se le deberá asignar un campo que representará el valor estadístico promedio de cada item o registro del que disponga la tabla.</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Por último los componentes necesarios en el diseño y construcción del nuevo modelo unificado BI de Growint son:</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*Alipay--&gt;Analizado y Cargado</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*Cainiao----&gt;Analizado y Cargado (En proceso)</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 Necesaio recuperar geografía</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 Cliente viejo</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 Cliente nuevo</w:t>
            </w: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 Stock---&gt;Pendiente Analizar y Cargar</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xml:space="preserve"> </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p>
        </w:tc>
      </w:tr>
      <w:tr>
        <w:tblPrEx>
          <w:tblCellMar>
            <w:top w:w="0" w:type="dxa"/>
            <w:left w:w="108" w:type="dxa"/>
            <w:bottom w:w="0" w:type="dxa"/>
            <w:right w:w="108" w:type="dxa"/>
          </w:tblCellMar>
        </w:tblPrEx>
        <w:trPr>
          <w:gridAfter w:val="1"/>
          <w:wAfter w:w="7290" w:type="dxa"/>
          <w:trHeight w:val="83" w:hRule="atLeast"/>
        </w:trPr>
        <w:tc>
          <w:tcPr>
            <w:tcW w:w="1477" w:type="dxa"/>
            <w:tcBorders>
              <w:top w:val="nil"/>
              <w:left w:val="nil"/>
              <w:bottom w:val="nil"/>
              <w:right w:val="nil"/>
            </w:tcBorders>
            <w:shd w:val="clear" w:color="auto" w:fill="auto"/>
            <w:noWrap/>
            <w:vAlign w:val="bottom"/>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r>
              <w:rPr>
                <w:sz w:val="18"/>
              </w:rPr>
              <mc:AlternateContent>
                <mc:Choice Requires="wps">
                  <w:drawing>
                    <wp:anchor distT="0" distB="0" distL="114300" distR="114300" simplePos="0" relativeHeight="251661312" behindDoc="1" locked="0" layoutInCell="1" allowOverlap="0">
                      <wp:simplePos x="0" y="0"/>
                      <wp:positionH relativeFrom="column">
                        <wp:posOffset>12065</wp:posOffset>
                      </wp:positionH>
                      <wp:positionV relativeFrom="line">
                        <wp:posOffset>122555</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95pt;margin-top:9.65pt;height:10.5pt;width:11.5pt;mso-position-vertical-relative:line;mso-wrap-distance-bottom:0pt;mso-wrap-distance-left:9pt;mso-wrap-distance-right:9pt;mso-wrap-distance-top:0pt;z-index:-251655168;v-text-anchor:middle;mso-width-relative:page;mso-height-relative:page;" fillcolor="#FFC000 [3207]" filled="t" stroked="t" coordsize="21600,21600" o:allowoverlap="f" o:gfxdata="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Ycoos0wAAAAYBAAAPAAAAAAAAAAEAIAAA&#10;ACIAAABkcnMvZG93bnJldi54bWxQSwECFAAUAAAACACHTuJAjhr0QIMCAAAjBQAADgAAAAAAAAAB&#10;ACAAAAAiAQAAZHJzL2Uyb0RvYy54bWxQSwUGAAAAAAYABgBZAQAAFw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-Migrar modelo bbdd y configuración conexión Nextcloud-Azure a entorno de producción </w:t>
            </w:r>
            <w:r>
              <w:rPr>
                <w:rFonts w:hint="default" w:ascii="Century Gothic" w:hAnsi="Century Gothic" w:eastAsia="Times New Roman" w:cs="Times New Roman"/>
                <w:color w:val="000000"/>
                <w:sz w:val="18"/>
                <w:szCs w:val="18"/>
                <w:lang w:val="es-ES"/>
              </w:rPr>
              <w:fldChar w:fldCharType="begin"/>
            </w:r>
            <w:r>
              <w:rPr>
                <w:rFonts w:hint="default" w:ascii="Century Gothic" w:hAnsi="Century Gothic" w:eastAsia="Times New Roman" w:cs="Times New Roman"/>
                <w:color w:val="000000"/>
                <w:sz w:val="18"/>
                <w:szCs w:val="18"/>
                <w:lang w:val="es-ES"/>
              </w:rPr>
              <w:instrText xml:space="preserve"> HYPERLINK "mailto:\“info@growint.es\”" </w:instrText>
            </w:r>
            <w:r>
              <w:rPr>
                <w:rFonts w:hint="default" w:ascii="Century Gothic" w:hAnsi="Century Gothic" w:eastAsia="Times New Roman" w:cs="Times New Roman"/>
                <w:color w:val="000000"/>
                <w:sz w:val="18"/>
                <w:szCs w:val="18"/>
                <w:lang w:val="es-ES"/>
              </w:rPr>
              <w:fldChar w:fldCharType="separate"/>
            </w:r>
            <w:r>
              <w:rPr>
                <w:rStyle w:val="5"/>
                <w:rFonts w:hint="default" w:ascii="Century Gothic" w:hAnsi="Century Gothic" w:eastAsia="Times New Roman" w:cs="Times New Roman"/>
                <w:color w:val="000000"/>
                <w:sz w:val="18"/>
                <w:szCs w:val="18"/>
                <w:lang w:val="es-ES"/>
              </w:rPr>
              <w:t>“info@growint.es”</w:t>
            </w:r>
            <w:r>
              <w:rPr>
                <w:rFonts w:hint="default" w:ascii="Century Gothic" w:hAnsi="Century Gothic" w:eastAsia="Times New Roman" w:cs="Times New Roman"/>
                <w:color w:val="000000"/>
                <w:sz w:val="18"/>
                <w:szCs w:val="18"/>
                <w:lang w:val="es-ES"/>
              </w:rPr>
              <w:fldChar w:fldCharType="end"/>
            </w:r>
            <w:r>
              <w:rPr>
                <w:rFonts w:hint="default" w:ascii="Century Gothic" w:hAnsi="Century Gothic" w:eastAsia="Times New Roman" w:cs="Times New Roman"/>
                <w:color w:val="000000"/>
                <w:sz w:val="18"/>
                <w:szCs w:val="18"/>
                <w:lang w:val="es-ES"/>
              </w:rPr>
              <w:t xml:space="preserve"> . Existe problema de acceso a dicho entorno en Azure</w:t>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FFC000 [3207]" filled="t" stroked="t" coordsize="21600,21600" o:allowoverlap="f" o:gfxdata="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fOhZ9QAAAAEAQAADwAAAAAAAAABACAA&#10;AAAiAAAAZHJzL2Rvd25yZXYueG1sUEsBAhQAFAAAAAgAh07iQC4aWrKDAgAAJQUAAA4AAAAAAAAA&#10;AQAgAAAAIwEAAGRycy9lMm9Eb2MueG1sUEsFBgAAAAAGAAYAWQEAABg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hint="default" w:ascii="Century Gothic" w:hAnsi="Century Gothic" w:eastAsia="Times New Roman" w:cs="Times New Roman"/>
                <w:color w:val="000000"/>
                <w:sz w:val="18"/>
                <w:szCs w:val="18"/>
                <w:lang w:val="es-ES"/>
              </w:rPr>
              <w:t>RIESGO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-Migrar modelo bbdd y configuración conexión Nextcloud-Azure a entorno de producción </w:t>
            </w:r>
            <w:r>
              <w:rPr>
                <w:rFonts w:hint="default" w:ascii="Century Gothic" w:hAnsi="Century Gothic" w:eastAsia="Times New Roman" w:cs="Times New Roman"/>
                <w:color w:val="000000"/>
                <w:sz w:val="18"/>
                <w:szCs w:val="18"/>
                <w:lang w:val="es-ES"/>
              </w:rPr>
              <w:fldChar w:fldCharType="begin"/>
            </w:r>
            <w:r>
              <w:rPr>
                <w:rFonts w:hint="default" w:ascii="Century Gothic" w:hAnsi="Century Gothic" w:eastAsia="Times New Roman" w:cs="Times New Roman"/>
                <w:color w:val="000000"/>
                <w:sz w:val="18"/>
                <w:szCs w:val="18"/>
                <w:lang w:val="es-ES"/>
              </w:rPr>
              <w:instrText xml:space="preserve"> HYPERLINK "mailto:\“info@growint.es\”" </w:instrText>
            </w:r>
            <w:r>
              <w:rPr>
                <w:rFonts w:hint="default" w:ascii="Century Gothic" w:hAnsi="Century Gothic" w:eastAsia="Times New Roman" w:cs="Times New Roman"/>
                <w:color w:val="000000"/>
                <w:sz w:val="18"/>
                <w:szCs w:val="18"/>
                <w:lang w:val="es-ES"/>
              </w:rPr>
              <w:fldChar w:fldCharType="separate"/>
            </w:r>
            <w:r>
              <w:rPr>
                <w:rStyle w:val="5"/>
                <w:rFonts w:hint="default" w:ascii="Century Gothic" w:hAnsi="Century Gothic" w:eastAsia="Times New Roman" w:cs="Times New Roman"/>
                <w:color w:val="000000"/>
                <w:sz w:val="18"/>
                <w:szCs w:val="18"/>
                <w:lang w:val="es-ES"/>
              </w:rPr>
              <w:t>“info@growint.es”</w:t>
            </w:r>
            <w:r>
              <w:rPr>
                <w:rFonts w:hint="default" w:ascii="Century Gothic" w:hAnsi="Century Gothic" w:eastAsia="Times New Roman" w:cs="Times New Roman"/>
                <w:color w:val="000000"/>
                <w:sz w:val="18"/>
                <w:szCs w:val="18"/>
                <w:lang w:val="es-ES"/>
              </w:rPr>
              <w:fldChar w:fldCharType="end"/>
            </w:r>
            <w:r>
              <w:rPr>
                <w:rFonts w:hint="default" w:ascii="Century Gothic" w:hAnsi="Century Gothic" w:eastAsia="Times New Roman" w:cs="Times New Roman"/>
                <w:color w:val="000000"/>
                <w:sz w:val="18"/>
                <w:szCs w:val="18"/>
                <w:lang w:val="es-ES"/>
              </w:rPr>
              <w:t xml:space="preserve"> . Existe problema de acceso a dicho entorno en Azure</w:t>
            </w:r>
          </w:p>
        </w:tc>
      </w:tr>
      <w:tr>
        <w:tblPrEx>
          <w:tblCellMar>
            <w:top w:w="0" w:type="dxa"/>
            <w:left w:w="108" w:type="dxa"/>
            <w:bottom w:w="0" w:type="dxa"/>
            <w:right w:w="108" w:type="dxa"/>
          </w:tblCellMar>
        </w:tblPrEx>
        <w:trPr>
          <w:gridAfter w:val="1"/>
          <w:wAfter w:w="7290" w:type="dxa"/>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FF0000" filled="t" stroked="t" coordsize="21600,21600" o:allowoverlap="f" o:gfxdata="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MZ409YAAAAEAQAADwAAAAAAAAAB&#10;ACAAAAAiAAAAZHJzL2Rvd25yZXYueG1sUEsBAhQAFAAAAAgAh07iQLdOxD6EAgAAJQUAAA4AAAAA&#10;AAAAAQAgAAAAJQEAAGRycy9lMm9Eb2MueG1sUEsFBgAAAAAGAAYAWQEAABs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-Migrar modelo bbdd y configuración conexión Nextcloud-Azure a entorno de producción </w:t>
            </w:r>
            <w:r>
              <w:rPr>
                <w:rFonts w:hint="default" w:ascii="Century Gothic" w:hAnsi="Century Gothic" w:eastAsia="Times New Roman" w:cs="Times New Roman"/>
                <w:color w:val="000000"/>
                <w:sz w:val="18"/>
                <w:szCs w:val="18"/>
                <w:lang w:val="es-ES"/>
              </w:rPr>
              <w:fldChar w:fldCharType="begin"/>
            </w:r>
            <w:r>
              <w:rPr>
                <w:rFonts w:hint="default" w:ascii="Century Gothic" w:hAnsi="Century Gothic" w:eastAsia="Times New Roman" w:cs="Times New Roman"/>
                <w:color w:val="000000"/>
                <w:sz w:val="18"/>
                <w:szCs w:val="18"/>
                <w:lang w:val="es-ES"/>
              </w:rPr>
              <w:instrText xml:space="preserve"> HYPERLINK "mailto:\“info@growint.es\”" </w:instrText>
            </w:r>
            <w:r>
              <w:rPr>
                <w:rFonts w:hint="default" w:ascii="Century Gothic" w:hAnsi="Century Gothic" w:eastAsia="Times New Roman" w:cs="Times New Roman"/>
                <w:color w:val="000000"/>
                <w:sz w:val="18"/>
                <w:szCs w:val="18"/>
                <w:lang w:val="es-ES"/>
              </w:rPr>
              <w:fldChar w:fldCharType="separate"/>
            </w:r>
            <w:r>
              <w:rPr>
                <w:rStyle w:val="5"/>
                <w:rFonts w:hint="default" w:ascii="Century Gothic" w:hAnsi="Century Gothic" w:eastAsia="Times New Roman" w:cs="Times New Roman"/>
                <w:color w:val="000000"/>
                <w:sz w:val="18"/>
                <w:szCs w:val="18"/>
                <w:lang w:val="es-ES"/>
              </w:rPr>
              <w:t>“info@growint.es”</w:t>
            </w:r>
            <w:r>
              <w:rPr>
                <w:rFonts w:hint="default" w:ascii="Century Gothic" w:hAnsi="Century Gothic" w:eastAsia="Times New Roman" w:cs="Times New Roman"/>
                <w:color w:val="000000"/>
                <w:sz w:val="18"/>
                <w:szCs w:val="18"/>
                <w:lang w:val="es-ES"/>
              </w:rPr>
              <w:fldChar w:fldCharType="end"/>
            </w:r>
            <w:r>
              <w:rPr>
                <w:rFonts w:hint="default" w:ascii="Century Gothic" w:hAnsi="Century Gothic" w:eastAsia="Times New Roman" w:cs="Times New Roman"/>
                <w:color w:val="000000"/>
                <w:sz w:val="18"/>
                <w:szCs w:val="18"/>
                <w:lang w:val="es-ES"/>
              </w:rPr>
              <w:t xml:space="preserve"> . Existe problema de acceso a dicho entorno en Azure</w:t>
            </w: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gridAfter w:val="1"/>
          <w:wAfter w:w="7290" w:type="dxa"/>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gridAfter w:val="1"/>
          <w:wAfter w:w="7290" w:type="dxa"/>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gridAfter w:val="1"/>
          <w:wAfter w:w="7290" w:type="dxa"/>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b/>
                <w:bCs/>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Análisis de modelo dimensional y formulación de modelo originario de proyecto power bi (Backyard +liquidaciones Alipay)</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Parte l: Ampliar y optimizar la formulación, unificar las formulas definidas en ambos proyectos de power bi en uno único</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auto" w:fill="F1F1F1" w:themeFill="background1" w:themeFillShade="F2"/>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single" w:color="BFBFBF" w:sz="4" w:space="0"/>
              <w:right w:val="single" w:color="BFBFBF" w:sz="4" w:space="0"/>
            </w:tcBorders>
            <w:shd w:val="clear" w:color="auto" w:fill="F1F1F1" w:themeFill="background1" w:themeFillShade="F2"/>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auto" w:fill="F1F1F1" w:themeFill="background1" w:themeFillShade="F2"/>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Parte ll: </w:t>
            </w:r>
            <w:r>
              <w:rPr>
                <w:rFonts w:hint="default" w:ascii="Century Gothic" w:hAnsi="Century Gothic" w:eastAsia="Times New Roman"/>
                <w:color w:val="000000"/>
                <w:sz w:val="18"/>
                <w:szCs w:val="18"/>
                <w:lang w:val="es-ES"/>
              </w:rPr>
              <w:t>Ampliación de la estructura dimensional del proyecto en función de la información nueva aportada, fusionar ambos modelos en uno único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nil"/>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eastAsia="en-US" w:bidi="ar-SA"/>
              </w:rPr>
            </w:pPr>
            <w:r>
              <w:rPr>
                <w:rFonts w:hint="default" w:ascii="Century Gothic" w:hAnsi="Century Gothic" w:eastAsia="Times New Roman" w:cs="Times New Roman"/>
                <w:color w:val="000000"/>
                <w:sz w:val="18"/>
                <w:szCs w:val="18"/>
                <w:lang w:val="es-ES" w:eastAsia="en-US" w:bidi="ar-SA"/>
              </w:rPr>
              <w:t>Ampliar el modelo de datos en bbdd con las ficheros del proyecto originario de power bi Backyard + liquidaciones Alipay</w:t>
            </w:r>
          </w:p>
        </w:tc>
        <w:tc>
          <w:tcPr>
            <w:tcW w:w="7290" w:type="dxa"/>
            <w:tcBorders>
              <w:top w:val="single" w:color="BFBFBF" w:sz="4" w:space="0"/>
              <w:left w:val="nil"/>
              <w:bottom w:val="single" w:color="BFBFBF" w:sz="4" w:space="0"/>
              <w:right w:val="single" w:color="BFBFBF" w:sz="4" w:space="0"/>
            </w:tcBorders>
            <w:shd w:val="clear" w:color="000000" w:fill="FFFFFF" w:themeFill="background1"/>
            <w:vAlign w:val="center"/>
          </w:tcPr>
          <w:p>
            <w:pPr>
              <w:rPr>
                <w:rFonts w:hint="default" w:ascii="Century Gothic" w:hAnsi="Century Gothic" w:eastAsia="Times New Roman" w:cs="Times New Roman"/>
                <w:color w:val="000000"/>
                <w:sz w:val="18"/>
                <w:szCs w:val="18"/>
                <w:lang w:val="es-ES" w:eastAsia="en-US" w:bidi="ar-SA"/>
              </w:rPr>
            </w:pP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Diseño de modelo de reporting </w:t>
            </w:r>
          </w:p>
        </w:tc>
      </w:tr>
      <w:tr>
        <w:tblPrEx>
          <w:tblCellMar>
            <w:top w:w="0" w:type="dxa"/>
            <w:left w:w="108" w:type="dxa"/>
            <w:bottom w:w="0" w:type="dxa"/>
            <w:right w:w="108" w:type="dxa"/>
          </w:tblCellMar>
        </w:tblPrEx>
        <w:trPr>
          <w:gridAfter w:val="1"/>
          <w:wAfter w:w="7290" w:type="dxa"/>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14/12/2023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Migrar modelo bbdd y configuración conexión Nextcloud-Azure a entorno de producción </w:t>
            </w:r>
            <w:r>
              <w:rPr>
                <w:rFonts w:hint="default" w:ascii="Century Gothic" w:hAnsi="Century Gothic" w:eastAsia="Times New Roman" w:cs="Times New Roman"/>
                <w:color w:val="000000"/>
                <w:sz w:val="18"/>
                <w:szCs w:val="18"/>
                <w:lang w:val="es-ES"/>
              </w:rPr>
              <w:fldChar w:fldCharType="begin"/>
            </w:r>
            <w:r>
              <w:rPr>
                <w:rFonts w:hint="default" w:ascii="Century Gothic" w:hAnsi="Century Gothic" w:eastAsia="Times New Roman" w:cs="Times New Roman"/>
                <w:color w:val="000000"/>
                <w:sz w:val="18"/>
                <w:szCs w:val="18"/>
                <w:lang w:val="es-ES"/>
              </w:rPr>
              <w:instrText xml:space="preserve"> HYPERLINK "mailto:\“info@growint.es\”" </w:instrText>
            </w:r>
            <w:r>
              <w:rPr>
                <w:rFonts w:hint="default" w:ascii="Century Gothic" w:hAnsi="Century Gothic" w:eastAsia="Times New Roman" w:cs="Times New Roman"/>
                <w:color w:val="000000"/>
                <w:sz w:val="18"/>
                <w:szCs w:val="18"/>
                <w:lang w:val="es-ES"/>
              </w:rPr>
              <w:fldChar w:fldCharType="separate"/>
            </w:r>
            <w:r>
              <w:rPr>
                <w:rStyle w:val="5"/>
                <w:rFonts w:hint="default" w:ascii="Century Gothic" w:hAnsi="Century Gothic" w:eastAsia="Times New Roman" w:cs="Times New Roman"/>
                <w:color w:val="000000"/>
                <w:sz w:val="18"/>
                <w:szCs w:val="18"/>
                <w:lang w:val="es-ES"/>
              </w:rPr>
              <w:t>“info@growint.es”</w:t>
            </w:r>
            <w:r>
              <w:rPr>
                <w:rFonts w:hint="default" w:ascii="Century Gothic" w:hAnsi="Century Gothic" w:eastAsia="Times New Roman" w:cs="Times New Roman"/>
                <w:color w:val="000000"/>
                <w:sz w:val="18"/>
                <w:szCs w:val="18"/>
                <w:lang w:val="es-ES"/>
              </w:rPr>
              <w:fldChar w:fldCharType="end"/>
            </w:r>
            <w:r>
              <w:rPr>
                <w:rFonts w:hint="default" w:ascii="Century Gothic" w:hAnsi="Century Gothic" w:eastAsia="Times New Roman" w:cs="Times New Roman"/>
                <w:color w:val="000000"/>
                <w:sz w:val="18"/>
                <w:szCs w:val="18"/>
                <w:lang w:val="es-ES"/>
              </w:rPr>
              <w:t xml:space="preserve"> .</w:t>
            </w: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r>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6974840" cy="5989320"/>
            <wp:effectExtent l="0" t="0" r="20320" b="0"/>
            <wp:wrapTight wrapText="bothSides">
              <wp:wrapPolygon>
                <wp:start x="0" y="0"/>
                <wp:lineTo x="0" y="21573"/>
                <wp:lineTo x="21569" y="21573"/>
                <wp:lineTo x="215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974840" cy="5989320"/>
                    </a:xfrm>
                    <a:prstGeom prst="rect">
                      <a:avLst/>
                    </a:prstGeom>
                    <a:noFill/>
                    <a:ln>
                      <a:noFill/>
                    </a:ln>
                  </pic:spPr>
                </pic:pic>
              </a:graphicData>
            </a:graphic>
          </wp:anchor>
        </w:drawing>
      </w: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bookmarkStart w:id="0" w:name="_GoBack"/>
      <w:bookmarkEnd w:id="0"/>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sectPr>
      <w:headerReference r:id="rId3" w:type="default"/>
      <w:footerReference r:id="rId4" w:type="default"/>
      <w:pgSz w:w="12240" w:h="15840"/>
      <w:pgMar w:top="446" w:right="576" w:bottom="576" w:left="576" w:header="0" w:footer="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1BB2C67"/>
    <w:rsid w:val="04BA08FB"/>
    <w:rsid w:val="085914C1"/>
    <w:rsid w:val="09B671FF"/>
    <w:rsid w:val="0D5F5804"/>
    <w:rsid w:val="0E7F47DC"/>
    <w:rsid w:val="0F5E195A"/>
    <w:rsid w:val="16F35583"/>
    <w:rsid w:val="18CB3FFE"/>
    <w:rsid w:val="1D3C7E2F"/>
    <w:rsid w:val="215D1B46"/>
    <w:rsid w:val="2186076B"/>
    <w:rsid w:val="222822D2"/>
    <w:rsid w:val="22754C74"/>
    <w:rsid w:val="23C575A7"/>
    <w:rsid w:val="26776448"/>
    <w:rsid w:val="26F23C9D"/>
    <w:rsid w:val="28025A58"/>
    <w:rsid w:val="2C0C5FA6"/>
    <w:rsid w:val="313F504E"/>
    <w:rsid w:val="35F03C13"/>
    <w:rsid w:val="365D4441"/>
    <w:rsid w:val="36831FE1"/>
    <w:rsid w:val="38E02E52"/>
    <w:rsid w:val="3ADD14EF"/>
    <w:rsid w:val="3C0657E0"/>
    <w:rsid w:val="40AE508C"/>
    <w:rsid w:val="41714849"/>
    <w:rsid w:val="41C10E0E"/>
    <w:rsid w:val="43805D41"/>
    <w:rsid w:val="4A010BEA"/>
    <w:rsid w:val="4E6E026A"/>
    <w:rsid w:val="4E8F689C"/>
    <w:rsid w:val="4E904A43"/>
    <w:rsid w:val="4EAB27FC"/>
    <w:rsid w:val="51361FFF"/>
    <w:rsid w:val="531350BC"/>
    <w:rsid w:val="53E73D5B"/>
    <w:rsid w:val="5724297A"/>
    <w:rsid w:val="58A64D3D"/>
    <w:rsid w:val="5B3526E1"/>
    <w:rsid w:val="5C252D16"/>
    <w:rsid w:val="5C3D0108"/>
    <w:rsid w:val="5C577E00"/>
    <w:rsid w:val="5FED5041"/>
    <w:rsid w:val="64A5552C"/>
    <w:rsid w:val="66175574"/>
    <w:rsid w:val="6E124C5C"/>
    <w:rsid w:val="72B92643"/>
    <w:rsid w:val="72DF1531"/>
    <w:rsid w:val="74B9228B"/>
    <w:rsid w:val="75AB0CA8"/>
    <w:rsid w:val="771A18D8"/>
    <w:rsid w:val="7B2F3497"/>
    <w:rsid w:val="7D3A19B3"/>
    <w:rsid w:val="7D9E3834"/>
    <w:rsid w:val="7F0E6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14</TotalTime>
  <ScaleCrop>false</ScaleCrop>
  <LinksUpToDate>false</LinksUpToDate>
  <CharactersWithSpaces>1997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2023-12-17T08:02:37Z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3082-12.2.0.13359</vt:lpwstr>
  </property>
  <property fmtid="{D5CDD505-2E9C-101B-9397-08002B2CF9AE}" pid="3" name="ICV">
    <vt:lpwstr>C49E74DCEE0A43609085896B75AF87F1_13</vt:lpwstr>
  </property>
</Properties>
</file>