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36"/>
        <w:gridCol w:w="992"/>
        <w:gridCol w:w="651"/>
        <w:gridCol w:w="967"/>
        <w:gridCol w:w="2420"/>
        <w:gridCol w:w="31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GROWINT_BI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GROW03112023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03/11/2023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18/12/2023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109" w:right="0"/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En la reunión de seguimiento realizada el pasado Jueves 17 de Enero se han tratado los siguientes puntos y su evolución: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**Situación a 17 de 01 de 2024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Se ha finalizado la fase de análisis, optimización y unificación de todos los módulos del proyecto  (a nivel funcional y operativo), tanto en la parte de modelización como en la parte de formulación (reconversión y optimización)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Estamos pendientes de recibir por parte del cliente los diseños pendientes y que figuran en la siguiente lista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1. Información TMALL 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Store KPIs - Listo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Store Traffic - Listo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Store Heroes - Listo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Distribución clientes - Listo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2. Análisis de competencias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Keywords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Traffic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BestSeller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3- Logística Cainiao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CAI Sku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CAI Evolución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CAI Geografía - Listo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4- Cobranza Alipay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Alipay Total - Listo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Alipay Detalle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Cuentas Alipay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5- Stock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Status Stock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Stock Rotación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Stock Caducidad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  <w:t xml:space="preserve">Se ha comenzado a realizar pruebas internas unitarias y de concepto sobre dichos procesos o módulos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  <w:t>La parte de actualización de los datos a través de plataforma cloud azure que conlleva el mapeo de los origenes de la información con la bbdd destino en azure  se haya en un estado de un 60% de evolución.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  <w:r>
              <w:drawing>
                <wp:inline distT="0" distB="0" distL="114300" distR="114300">
                  <wp:extent cx="5447665" cy="3018155"/>
                  <wp:effectExtent l="0" t="0" r="635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65" cy="301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  <w:t xml:space="preserve">De forma paralela al desarrollo del mapeo de las fuentes origen con bbdd Azure se esta procediendo a realizar testeos o pruebas sobre dichos mapeos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109" w:right="0"/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posOffset>12065</wp:posOffset>
                      </wp:positionH>
                      <wp:positionV relativeFrom="line">
                        <wp:posOffset>122555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95pt;margin-top:9.65pt;height:10.5pt;width:11.5pt;mso-position-vertical-relative:line;mso-wrap-distance-bottom:0pt;mso-wrap-distance-left:9pt;mso-wrap-distance-right:9pt;mso-wrap-distance-top:0pt;z-index:-251655168;v-text-anchor:middle;mso-width-relative:page;mso-height-relative:page;" fillcolor="#FFC000 [3207]" filled="t" stroked="t" coordsize="21600,21600" o:allowoverlap="f" o:gfxdata="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coos0wAAAAYBAAAPAAAAAAAAAAEAIAAA&#10;ACIAAABkcnMvZG93bnJldi54bWxQSwECFAAUAAAACACHTuJAjhr0QIMCAAAjBQAADgAAAAAAAAAB&#10;ACAAAAAiAQAAZHJzL2Uyb0RvYy54bWxQSwUGAAAAAAYABgBZAQAAFw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Estan pendientes de recibirse por parte del cliente los diseños pendientes de los procesos de Competencia, Alipay, Cainiao y Stock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FFC000 [3207]" filled="t" stroked="t" coordsize="21600,21600" o:allowoverlap="f" o:gfxdata="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fOhZ9QAAAAEAQAADwAAAAAAAAABACAA&#10;AAAiAAAAZHJzL2Rvd25yZXYueG1sUEsBAhQAFAAAAAgAh07iQC4aWrKDAgAAJQUAAA4AAAAAAAAA&#10;AQAgAAAAIwEAAGRycy9lMm9Eb2MueG1sUEsFBgAAAAAGAAYAWQEAABgGAAAAAA=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RIESGO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Estan pendientes de recibirse por parte del cliente los diseños pendientes de los procesos de Competencia, Alipay, Cainiao y Stock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FFC000 [3207]" filled="t" stroked="t" coordsize="21600,21600" o:allowoverlap="f" o:gfxdata="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fOhZ9QAAAAEAQAADwAAAAAAAAABACAA&#10;AAAiAAAAZHJzL2Rvd25yZXYueG1sUEsBAhQAFAAAAAgAh07iQPWeLbCDAgAAJQUAAA4AAAAAAAAA&#10;AQAgAAAAIwEAAGRycy9lMm9Eb2MueG1sUEsFBgAAAAAGAAYAWQEAABgGAAAAAA=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Estan pendientes de recibirse por parte del cliente los diseños pendientes de los procesos de Competencia, Alipay, Cainiao y Stock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109" w:right="0"/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17/01/2024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Se esta procediendo a establecer el mapeo de los orígenes de la información en la nube con la bbdd establecida en azure a través del diseño de flujos en azure data factory( realizando pruebas en paralelo)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17/01/2024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 w:val="0"/>
                <w:bCs w:val="0"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b w:val="0"/>
                <w:bCs w:val="0"/>
                <w:kern w:val="0"/>
                <w:sz w:val="18"/>
                <w:szCs w:val="18"/>
                <w:lang w:val="es-ES" w:eastAsia="zh-CN" w:bidi="ar"/>
              </w:rPr>
              <w:t xml:space="preserve">Se ha comenzado a realizar pruebas internas unitarias y de concepto sobre dichos procesos o módulos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17/01/2024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Implantar diseños de reporting pendientes en varios de los procesos o modulos de negocio</w:t>
            </w: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155575</wp:posOffset>
            </wp:positionV>
            <wp:extent cx="7208520" cy="6221095"/>
            <wp:effectExtent l="0" t="0" r="0" b="19685"/>
            <wp:wrapTight wrapText="bothSides">
              <wp:wrapPolygon>
                <wp:start x="0" y="0"/>
                <wp:lineTo x="0" y="21563"/>
                <wp:lineTo x="21577" y="21563"/>
                <wp:lineTo x="21577" y="0"/>
                <wp:lineTo x="0" y="0"/>
              </wp:wrapPolygon>
            </wp:wrapTight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62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characterSpacingControl w:val="doNotCompress"/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1BB2C67"/>
    <w:rsid w:val="04BA08FB"/>
    <w:rsid w:val="085914C1"/>
    <w:rsid w:val="09B671FF"/>
    <w:rsid w:val="0D5F5804"/>
    <w:rsid w:val="0E7F47DC"/>
    <w:rsid w:val="0F5E195A"/>
    <w:rsid w:val="16F35583"/>
    <w:rsid w:val="17A2771E"/>
    <w:rsid w:val="18CB3FFE"/>
    <w:rsid w:val="1D3C7E2F"/>
    <w:rsid w:val="20621919"/>
    <w:rsid w:val="215D1B46"/>
    <w:rsid w:val="2186076B"/>
    <w:rsid w:val="222822D2"/>
    <w:rsid w:val="22754C74"/>
    <w:rsid w:val="23C575A7"/>
    <w:rsid w:val="26776448"/>
    <w:rsid w:val="26F23C9D"/>
    <w:rsid w:val="28025A58"/>
    <w:rsid w:val="2C0C5FA6"/>
    <w:rsid w:val="313F504E"/>
    <w:rsid w:val="35F03C13"/>
    <w:rsid w:val="365D4441"/>
    <w:rsid w:val="36831FE1"/>
    <w:rsid w:val="38E02E52"/>
    <w:rsid w:val="3ADD14EF"/>
    <w:rsid w:val="3C0657E0"/>
    <w:rsid w:val="40AE508C"/>
    <w:rsid w:val="41714849"/>
    <w:rsid w:val="41C10E0E"/>
    <w:rsid w:val="43805D41"/>
    <w:rsid w:val="48A955EE"/>
    <w:rsid w:val="49496C46"/>
    <w:rsid w:val="4A010BEA"/>
    <w:rsid w:val="4E6E026A"/>
    <w:rsid w:val="4E8F689C"/>
    <w:rsid w:val="4E904A43"/>
    <w:rsid w:val="4EAB27FC"/>
    <w:rsid w:val="51361FFF"/>
    <w:rsid w:val="531350BC"/>
    <w:rsid w:val="53E73D5B"/>
    <w:rsid w:val="5724297A"/>
    <w:rsid w:val="572C0A19"/>
    <w:rsid w:val="58A64D3D"/>
    <w:rsid w:val="5B291624"/>
    <w:rsid w:val="5B3526E1"/>
    <w:rsid w:val="5C252D16"/>
    <w:rsid w:val="5C3D0108"/>
    <w:rsid w:val="5C577E00"/>
    <w:rsid w:val="5FED5041"/>
    <w:rsid w:val="64A5552C"/>
    <w:rsid w:val="66175574"/>
    <w:rsid w:val="6CCE1045"/>
    <w:rsid w:val="6E124C5C"/>
    <w:rsid w:val="72B92643"/>
    <w:rsid w:val="72DF1531"/>
    <w:rsid w:val="73677C34"/>
    <w:rsid w:val="74B9228B"/>
    <w:rsid w:val="75AB0CA8"/>
    <w:rsid w:val="771A18D8"/>
    <w:rsid w:val="77692691"/>
    <w:rsid w:val="7B2E14AC"/>
    <w:rsid w:val="7B2F3497"/>
    <w:rsid w:val="7D3A19B3"/>
    <w:rsid w:val="7D9E3834"/>
    <w:rsid w:val="7F0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36</TotalTime>
  <ScaleCrop>false</ScaleCrop>
  <LinksUpToDate>false</LinksUpToDate>
  <CharactersWithSpaces>1997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2024-01-17T21:03:51Z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3082-12.2.0.13412</vt:lpwstr>
  </property>
  <property fmtid="{D5CDD505-2E9C-101B-9397-08002B2CF9AE}" pid="3" name="ICV">
    <vt:lpwstr>D530E965364B463FB928AE9DB62868CE_13</vt:lpwstr>
  </property>
</Properties>
</file>