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5290"/>
        <w:gridCol w:w="5290"/>
      </w:tblGrid>
      <w:tr>
        <w:trPr>
          <w:trHeight w:hRule="exact" w:val="185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60220" cy="990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99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82" w:after="0"/>
              <w:ind w:left="12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GOVERNO DO ESTADO DE MINAS GERAIS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AGÊNCIA REGULADORA DE SERVIÇOS DE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ABASTECIMENTO DE ÁGUA E DE ESGOTAMENTO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SANITÁRIO DE MINAS GERAIS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Gerência de Informações Operacionais</w:t>
            </w:r>
          </w:p>
        </w:tc>
      </w:tr>
    </w:tbl>
    <w:p>
      <w:pPr>
        <w:autoSpaceDN w:val="0"/>
        <w:autoSpaceDE w:val="0"/>
        <w:widowControl/>
        <w:spacing w:line="230" w:lineRule="auto" w:before="542" w:after="0"/>
        <w:ind w:left="0" w:right="0" w:firstLine="0"/>
        <w:jc w:val="center"/>
      </w:pPr>
      <w:r>
        <w:rPr>
          <w:w w:val="101.56679153442383"/>
          <w:rFonts w:ascii="Times New Roman" w:hAnsi="Times New Roman" w:eastAsia="Times New Roman"/>
          <w:b/>
          <w:i w:val="0"/>
          <w:color w:val="000000"/>
          <w:sz w:val="26"/>
        </w:rPr>
        <w:t>ERRATA</w:t>
      </w:r>
    </w:p>
    <w:p>
      <w:pPr>
        <w:autoSpaceDN w:val="0"/>
        <w:autoSpaceDE w:val="0"/>
        <w:widowControl/>
        <w:spacing w:line="230" w:lineRule="auto" w:before="256" w:after="0"/>
        <w:ind w:left="0" w:right="19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Belo Horizonte, 11 de fevereiro de 2025.</w:t>
      </w:r>
    </w:p>
    <w:p>
      <w:pPr>
        <w:autoSpaceDN w:val="0"/>
        <w:autoSpaceDE w:val="0"/>
        <w:widowControl/>
        <w:spacing w:line="233" w:lineRule="auto" w:before="150" w:after="0"/>
        <w:ind w:left="720" w:right="0" w:firstLine="0"/>
        <w:jc w:val="left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A DIRETORA-GERAL DA AGÊNCIA REGULADORA DE SERVIÇOS DE ABASTECIMENTO DE</w:t>
      </w:r>
    </w:p>
    <w:p>
      <w:pPr>
        <w:autoSpaceDN w:val="0"/>
        <w:autoSpaceDE w:val="0"/>
        <w:widowControl/>
        <w:spacing w:line="233" w:lineRule="auto" w:before="36" w:after="0"/>
        <w:ind w:left="0" w:right="0" w:firstLine="0"/>
        <w:jc w:val="center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ÁGUA E DE ESGOTAMENTO SANITÁRIO DO ESTADO DE MINAS GERAIS (ARSAE-MG)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, no uso de suas</w:t>
      </w:r>
    </w:p>
    <w:p>
      <w:pPr>
        <w:autoSpaceDN w:val="0"/>
        <w:autoSpaceDE w:val="0"/>
        <w:widowControl/>
        <w:spacing w:line="233" w:lineRule="auto" w:before="36" w:after="0"/>
        <w:ind w:left="0" w:right="0" w:firstLine="0"/>
        <w:jc w:val="center"/>
      </w:pP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atribuições legais previstas na Lei Estadual nº 18.309, de 3 de agosto de 2009, e no Decreto Estadual nº</w:t>
      </w:r>
    </w:p>
    <w:p>
      <w:pPr>
        <w:autoSpaceDN w:val="0"/>
        <w:autoSpaceDE w:val="0"/>
        <w:widowControl/>
        <w:spacing w:line="250" w:lineRule="auto" w:before="36" w:after="0"/>
        <w:ind w:left="0" w:right="0" w:firstLine="0"/>
        <w:jc w:val="left"/>
      </w:pP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47.884, de 13 de março de 2020, torna pública as seguintes correções no texto e anexos da Resolução 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Arsae-MG nº 205, de 30 de janeiro de 2025:</w:t>
      </w:r>
    </w:p>
    <w:p>
      <w:pPr>
        <w:autoSpaceDN w:val="0"/>
        <w:autoSpaceDE w:val="0"/>
        <w:widowControl/>
        <w:spacing w:line="233" w:lineRule="auto" w:before="226" w:after="0"/>
        <w:ind w:left="720" w:right="0" w:firstLine="0"/>
        <w:jc w:val="left"/>
      </w:pP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No inciso X do art. 19 da resolução,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08" w:after="0"/>
        <w:ind w:left="0" w:right="0" w:firstLine="0"/>
        <w:jc w:val="left"/>
      </w:pPr>
      <w:r>
        <w:tab/>
      </w: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ONDE SE LÊ: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“Nível II - 05: Índice de reclamações dos serviços de abastecimento de esgotamento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sanitário”,</w:t>
      </w:r>
    </w:p>
    <w:p>
      <w:pPr>
        <w:autoSpaceDN w:val="0"/>
        <w:autoSpaceDE w:val="0"/>
        <w:widowControl/>
        <w:spacing w:line="233" w:lineRule="auto" w:before="208" w:after="0"/>
        <w:ind w:left="720" w:right="0" w:firstLine="0"/>
        <w:jc w:val="left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 xml:space="preserve">LEIA-SE: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“Nível II - 05: Índice de reclamações dos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serviços de esgotamento sanitário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.”.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02" w:after="0"/>
        <w:ind w:left="0" w:right="0" w:firstLine="0"/>
        <w:jc w:val="left"/>
      </w:pPr>
      <w:r>
        <w:tab/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No Anexo I - Periodicidade e Prazos, no campo "Prestador" das bases de dados EC18 (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Cadastro das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ETAs) e EC19 (Cadastro de ETEs),</w:t>
      </w:r>
    </w:p>
    <w:p>
      <w:pPr>
        <w:autoSpaceDN w:val="0"/>
        <w:autoSpaceDE w:val="0"/>
        <w:widowControl/>
        <w:spacing w:line="233" w:lineRule="auto" w:before="202" w:after="0"/>
        <w:ind w:left="720" w:right="0" w:firstLine="0"/>
        <w:jc w:val="left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ONDE SE LÊ: "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Regional",</w:t>
      </w:r>
    </w:p>
    <w:p>
      <w:pPr>
        <w:autoSpaceDN w:val="0"/>
        <w:autoSpaceDE w:val="0"/>
        <w:widowControl/>
        <w:spacing w:line="233" w:lineRule="auto" w:before="202" w:after="0"/>
        <w:ind w:left="720" w:right="0" w:firstLine="0"/>
        <w:jc w:val="left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 xml:space="preserve">LEIA-SE: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"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Copasa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".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02" w:after="0"/>
        <w:ind w:left="0" w:right="0" w:firstLine="0"/>
        <w:jc w:val="left"/>
      </w:pPr>
      <w:r>
        <w:tab/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No Anexo I - Periodicidade e Prazos, no campo "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Prazo máximo para envio à ARSAE-MG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" da base de 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dados EC01 (Balancetes)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00" w:after="0"/>
        <w:ind w:left="0" w:right="0" w:firstLine="0"/>
        <w:jc w:val="left"/>
      </w:pPr>
      <w:r>
        <w:tab/>
      </w: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ONDE SE LÊ: "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Até o dia 25 do mês subsequente ao de geração dos dados, exceto para os 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meses 03, 06, 09 e 12, cujo prazo será de 5 dias úteis após a publicação do ITR ou DFP na CVM",</w:t>
      </w:r>
    </w:p>
    <w:p>
      <w:pPr>
        <w:autoSpaceDN w:val="0"/>
        <w:autoSpaceDE w:val="0"/>
        <w:widowControl/>
        <w:spacing w:line="245" w:lineRule="auto" w:before="204" w:after="0"/>
        <w:ind w:left="0" w:right="66" w:firstLine="720"/>
        <w:jc w:val="both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 xml:space="preserve">LEIA-SE: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"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Regional: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Até o dia 25 do mês subsequente ao de geração dos dados, exceto para os 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meses 03, 06, 09 e 12, cujo prazo será de 5 dias úteis após a publicação do ITR ou DFP na CVM; </w:t>
      </w: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Municipal: Até o dia 25 do mês subsequente ao de geração dos dados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".</w:t>
      </w:r>
    </w:p>
    <w:p>
      <w:pPr>
        <w:autoSpaceDN w:val="0"/>
        <w:autoSpaceDE w:val="0"/>
        <w:widowControl/>
        <w:spacing w:line="233" w:lineRule="auto" w:before="214" w:after="0"/>
        <w:ind w:left="720" w:right="0" w:firstLine="0"/>
        <w:jc w:val="left"/>
      </w:pP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No Anexo III - Glossário de Informações, na variável Qua_dom da base de dados RG01,</w:t>
      </w:r>
    </w:p>
    <w:p>
      <w:pPr>
        <w:autoSpaceDN w:val="0"/>
        <w:autoSpaceDE w:val="0"/>
        <w:widowControl/>
        <w:spacing w:line="245" w:lineRule="auto" w:before="216" w:after="0"/>
        <w:ind w:left="0" w:right="0" w:firstLine="720"/>
        <w:jc w:val="left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ONDE SE LÊ: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“Quantidade total de domicílios residenciais e não residenciais, ocupados ou não ocupados,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existentes na área de abrangência analisada, independentemente da cobertura da rede pública de abastecimento de água ou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atendimento por solução alternativa de água adequada, no mês de dezembro do ano de referência.”,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720"/>
        <w:jc w:val="left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 xml:space="preserve">LEIA-SE: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“Quantidade total de domicílios residenciais e não residenciais, ocupados ou não ocupados, existentes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na área de abrangência analisada, independentemente da cobertura da rede pública de abastecimento de água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 xml:space="preserve">e/ou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esgotamento sanitário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 ou atendimento por solução alternativa de adequada, no mês de dezembro do ano de referência.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 xml:space="preserve">Caso a quantidade de domicílios da variável seja diferente para os serviços de abastecimento de água e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 xml:space="preserve">esgotamento sanitário, a variável deve ser segregada em Qua_dom_agu (para o serviços de abastecimento de água)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e Qua_dom_esg (para o serviços de esgotamento sanitário)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”.</w:t>
      </w:r>
    </w:p>
    <w:p>
      <w:pPr>
        <w:autoSpaceDN w:val="0"/>
        <w:autoSpaceDE w:val="0"/>
        <w:widowControl/>
        <w:spacing w:line="233" w:lineRule="auto" w:before="214" w:after="0"/>
        <w:ind w:left="720" w:right="0" w:firstLine="0"/>
        <w:jc w:val="left"/>
      </w:pP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No Anexo III - Glossário de Informações, na variável Qua_dom_res_ocu da base de dados RG01,</w:t>
      </w:r>
    </w:p>
    <w:p>
      <w:pPr>
        <w:autoSpaceDN w:val="0"/>
        <w:autoSpaceDE w:val="0"/>
        <w:widowControl/>
        <w:spacing w:line="245" w:lineRule="auto" w:before="214" w:after="0"/>
        <w:ind w:left="0" w:right="64" w:firstLine="720"/>
        <w:jc w:val="both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>ONDE SE LÊ: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“Quantidade total de domicílios residenciais ocupados existentes, independentemente da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cobertura da rede pública de abastecimento de água ou atendimento por solução alternativa de água adequada, no mês de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dezembro do ano de referência.”,</w:t>
      </w:r>
    </w:p>
    <w:p>
      <w:pPr>
        <w:autoSpaceDN w:val="0"/>
        <w:autoSpaceDE w:val="0"/>
        <w:widowControl/>
        <w:spacing w:line="245" w:lineRule="auto" w:before="202" w:after="0"/>
        <w:ind w:left="0" w:right="0" w:firstLine="720"/>
        <w:jc w:val="left"/>
      </w:pPr>
      <w:r>
        <w:rPr>
          <w:w w:val="98.20920770818536"/>
          <w:rFonts w:ascii="Arial" w:hAnsi="Arial" w:eastAsia="Arial"/>
          <w:b/>
          <w:i w:val="0"/>
          <w:color w:val="000000"/>
          <w:sz w:val="22"/>
        </w:rPr>
        <w:t xml:space="preserve">LEIA-SE: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“Quantidade total de domicílios residenciais ocupados existentes, independentemente da cobertura da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rede pública de abastecimento de água e/ou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esgotamento sanitário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 ou atendimento por solução alternativa adequada, no</w:t>
      </w:r>
    </w:p>
    <w:p>
      <w:pPr>
        <w:autoSpaceDN w:val="0"/>
        <w:autoSpaceDE w:val="0"/>
        <w:widowControl/>
        <w:spacing w:line="276" w:lineRule="exact" w:before="32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BEBEBE"/>
          <w:sz w:val="20"/>
        </w:rPr>
        <w:t>Errata - Res. 205/2025 (107260616)         SEI 2440.01.0000179/2023-49 / pg. 1</w:t>
      </w:r>
    </w:p>
    <w:p>
      <w:pPr>
        <w:sectPr>
          <w:pgSz w:w="11900" w:h="16840"/>
          <w:pgMar w:top="284" w:right="630" w:bottom="70" w:left="6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461009</wp:posOffset>
            </wp:positionH>
            <wp:positionV relativeFrom="page">
              <wp:posOffset>2228850</wp:posOffset>
            </wp:positionV>
            <wp:extent cx="845820" cy="57021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702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2540000</wp:posOffset>
            </wp:positionV>
            <wp:extent cx="50800" cy="50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2514600</wp:posOffset>
            </wp:positionV>
            <wp:extent cx="50800" cy="88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2501900</wp:posOffset>
            </wp:positionV>
            <wp:extent cx="63500" cy="889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2438400</wp:posOffset>
            </wp:positionV>
            <wp:extent cx="76200" cy="50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2641600</wp:posOffset>
            </wp:positionV>
            <wp:extent cx="50800" cy="50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2641600</wp:posOffset>
            </wp:positionV>
            <wp:extent cx="508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2641600</wp:posOffset>
            </wp:positionV>
            <wp:extent cx="50800" cy="50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2641600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2552700</wp:posOffset>
            </wp:positionV>
            <wp:extent cx="63500" cy="50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2552700</wp:posOffset>
            </wp:positionV>
            <wp:extent cx="76200" cy="50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</wp:posOffset>
            </wp:positionH>
            <wp:positionV relativeFrom="page">
              <wp:posOffset>2552700</wp:posOffset>
            </wp:positionV>
            <wp:extent cx="88900" cy="50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2552700</wp:posOffset>
            </wp:positionV>
            <wp:extent cx="38100" cy="508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2540000</wp:posOffset>
            </wp:positionV>
            <wp:extent cx="508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2527300</wp:posOffset>
            </wp:positionV>
            <wp:extent cx="63500" cy="50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2476500</wp:posOffset>
            </wp:positionV>
            <wp:extent cx="889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736600</wp:posOffset>
            </wp:positionH>
            <wp:positionV relativeFrom="page">
              <wp:posOffset>2476500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</wp:posOffset>
            </wp:positionH>
            <wp:positionV relativeFrom="page">
              <wp:posOffset>2413000</wp:posOffset>
            </wp:positionV>
            <wp:extent cx="508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2400300</wp:posOffset>
            </wp:positionV>
            <wp:extent cx="381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2400300</wp:posOffset>
            </wp:positionV>
            <wp:extent cx="508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2654300</wp:posOffset>
            </wp:positionV>
            <wp:extent cx="25400" cy="254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2501900</wp:posOffset>
            </wp:positionV>
            <wp:extent cx="25400" cy="254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2463800</wp:posOffset>
            </wp:positionV>
            <wp:extent cx="38100" cy="25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3556000</wp:posOffset>
            </wp:positionV>
            <wp:extent cx="50800" cy="38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3517900</wp:posOffset>
            </wp:positionV>
            <wp:extent cx="381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3238500</wp:posOffset>
            </wp:positionV>
            <wp:extent cx="38100" cy="508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3390900</wp:posOffset>
            </wp:positionV>
            <wp:extent cx="25400" cy="254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3124200</wp:posOffset>
            </wp:positionV>
            <wp:extent cx="25400" cy="254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461009</wp:posOffset>
            </wp:positionH>
            <wp:positionV relativeFrom="page">
              <wp:posOffset>2938780</wp:posOffset>
            </wp:positionV>
            <wp:extent cx="815340" cy="81534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10" w:right="0" w:firstLine="0"/>
        <w:jc w:val="left"/>
      </w:pP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mês de dezembro do ano de referência.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 xml:space="preserve">Caso a quantidade de domicílios da variável seja diferente para os serviços de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 xml:space="preserve">abastecimento de água e esgotamento sanitário, a variável deve ser segregada em Qua_dom_res_ocu_agu (para o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serviços de abastecimento de água) e Qua_dom_res_ocu_esg (para o serviços de esgotamento sanitário)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”.</w:t>
      </w:r>
    </w:p>
    <w:p>
      <w:pPr>
        <w:autoSpaceDN w:val="0"/>
        <w:autoSpaceDE w:val="0"/>
        <w:widowControl/>
        <w:spacing w:line="233" w:lineRule="auto" w:before="682" w:after="0"/>
        <w:ind w:left="730" w:right="0" w:firstLine="0"/>
        <w:jc w:val="left"/>
      </w:pP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Belo Horizonte, 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  <w:highlight w:val="yellow"/>
        </w:rPr>
        <w:t>06 de março</w:t>
      </w: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 xml:space="preserve"> de 2025.</w:t>
      </w:r>
    </w:p>
    <w:p>
      <w:pPr>
        <w:autoSpaceDN w:val="0"/>
        <w:autoSpaceDE w:val="0"/>
        <w:widowControl/>
        <w:spacing w:line="233" w:lineRule="auto" w:before="230" w:after="0"/>
        <w:ind w:left="0" w:right="4074" w:firstLine="0"/>
        <w:jc w:val="right"/>
      </w:pP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LAURA SERRANO</w:t>
      </w:r>
    </w:p>
    <w:p>
      <w:pPr>
        <w:autoSpaceDN w:val="0"/>
        <w:autoSpaceDE w:val="0"/>
        <w:widowControl/>
        <w:spacing w:line="233" w:lineRule="auto" w:before="226" w:after="0"/>
        <w:ind w:left="0" w:right="4290" w:firstLine="0"/>
        <w:jc w:val="right"/>
      </w:pPr>
      <w:r>
        <w:rPr>
          <w:w w:val="98.20920770818536"/>
          <w:rFonts w:ascii="Arial" w:hAnsi="Arial" w:eastAsia="Arial"/>
          <w:b w:val="0"/>
          <w:i w:val="0"/>
          <w:color w:val="000000"/>
          <w:sz w:val="22"/>
        </w:rPr>
        <w:t>Diretora-Geral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929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98" w:after="0"/>
        <w:ind w:left="1426" w:right="144" w:firstLine="0"/>
        <w:jc w:val="left"/>
      </w:pP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Documento assinado eletronicamente por </w:t>
          </w:r>
        </w:hyperlink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hyperlink r:id="rId11" w:history="1">
          <w:r>
            <w:rPr>
              <w:rStyle w:val="Hyperlink"/>
            </w:rPr>
            <w:t>Laura Mendes Serrano</w:t>
          </w:r>
        </w:hyperlink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, </w:t>
          </w:r>
        </w:hyperlink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hyperlink r:id="rId11" w:history="1">
          <w:r>
            <w:rPr>
              <w:rStyle w:val="Hyperlink"/>
            </w:rPr>
            <w:t>Diretor(a) Geral</w:t>
          </w:r>
        </w:hyperlink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, em 07/03/2025,</w:t>
          </w:r>
        </w:hyperlink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às 11:48, conforme horário oficial de Brasília, com fundamento no art. 6º, § 1º, do </w:t>
      </w:r>
      <w:r>
        <w:rPr>
          <w:w w:val="98.20920770818536"/>
          <w:rFonts w:ascii="Times New Roman" w:hAnsi="Times New Roman" w:eastAsia="Times New Roman"/>
          <w:b w:val="0"/>
          <w:i w:val="0"/>
          <w:color w:val="0000EE"/>
          <w:sz w:val="22"/>
          <w:u w:val="single"/>
        </w:rPr>
        <w:hyperlink r:id="rId11" w:history="1">
          <w:r>
            <w:rPr>
              <w:rStyle w:val="Hyperlink"/>
            </w:rPr>
            <w:t xml:space="preserve">Decreto nº 47.222, de </w:t>
          </w:r>
        </w:hyperlink>
      </w:r>
      <w:r>
        <w:rPr>
          <w:w w:val="98.20920770818536"/>
          <w:rFonts w:ascii="Times New Roman" w:hAnsi="Times New Roman" w:eastAsia="Times New Roman"/>
          <w:b w:val="0"/>
          <w:i w:val="0"/>
          <w:color w:val="0000EE"/>
          <w:sz w:val="22"/>
          <w:u w:val="single"/>
        </w:rPr>
        <w:hyperlink r:id="rId11" w:history="1">
          <w:r>
            <w:rPr>
              <w:rStyle w:val="Hyperlink"/>
            </w:rPr>
            <w:t>26 de julho de 2017</w:t>
          </w:r>
        </w:hyperlink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40" w:lineRule="auto" w:before="13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929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0" w:after="0"/>
        <w:ind w:left="1378" w:right="4032" w:firstLine="0"/>
        <w:jc w:val="left"/>
      </w:pP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A autenticidade deste documento pode ser conferida no site </w:t>
      </w:r>
      <w:r>
        <w:br/>
      </w:r>
      <w:r>
        <w:rPr>
          <w:w w:val="98.20920770818536"/>
          <w:rFonts w:ascii="Times New Roman" w:hAnsi="Times New Roman" w:eastAsia="Times New Roman"/>
          <w:b w:val="0"/>
          <w:i w:val="0"/>
          <w:color w:val="0000EE"/>
          <w:sz w:val="22"/>
          <w:u w:val="single"/>
        </w:rPr>
        <w:hyperlink r:id="rId13" w:history="1">
          <w:r>
            <w:rPr>
              <w:rStyle w:val="Hyperlink"/>
            </w:rPr>
            <w:t>http://sei.mg.gov.br/sei/controlador_externo.php?</w:t>
          </w:r>
        </w:hyperlink>
      </w:r>
    </w:p>
    <w:p>
      <w:pPr>
        <w:autoSpaceDN w:val="0"/>
        <w:autoSpaceDE w:val="0"/>
        <w:widowControl/>
        <w:spacing w:line="245" w:lineRule="auto" w:before="12" w:after="0"/>
        <w:ind w:left="1378" w:right="144" w:firstLine="0"/>
        <w:jc w:val="left"/>
      </w:pPr>
      <w:r>
        <w:rPr>
          <w:w w:val="98.20920770818536"/>
          <w:rFonts w:ascii="Times New Roman" w:hAnsi="Times New Roman" w:eastAsia="Times New Roman"/>
          <w:b w:val="0"/>
          <w:i w:val="0"/>
          <w:color w:val="0000EE"/>
          <w:sz w:val="22"/>
          <w:u w:val="single"/>
        </w:rPr>
        <w:hyperlink r:id="rId13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, informando o código verificador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107260616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 e 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 xml:space="preserve">o código CRC </w:t>
      </w:r>
      <w:r>
        <w:rPr>
          <w:w w:val="98.20920770818536"/>
          <w:rFonts w:ascii="Times New Roman" w:hAnsi="Times New Roman" w:eastAsia="Times New Roman"/>
          <w:b/>
          <w:i w:val="0"/>
          <w:color w:val="000000"/>
          <w:sz w:val="22"/>
        </w:rPr>
        <w:t>B252A8F9</w:t>
      </w:r>
      <w:r>
        <w:rPr>
          <w:w w:val="98.20920770818536"/>
          <w:rFonts w:ascii="Times New Roman" w:hAnsi="Times New Roman" w:eastAsia="Times New Roman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auto" w:before="1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675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030" w:after="248"/>
        <w:ind w:left="1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Gerência de Informações Operacionais - Agência Reguladora de Serviços de Abastecimento de Água 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Esgotamento Sanitário de Minas Gerais - Rod. Papa João Paulo II, 4001 - Bairro Serra Verde - CEP 31630-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901 - Belo Horizonte - MG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5300"/>
        <w:gridCol w:w="5300"/>
      </w:tblGrid>
      <w:tr>
        <w:trPr>
          <w:trHeight w:hRule="exact" w:val="322"/>
        </w:trPr>
        <w:tc>
          <w:tcPr>
            <w:tcW w:type="dxa" w:w="8306"/>
            <w:tcBorders>
              <w:top w:sz="4.799999999999727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Referência: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Caso responda este Ofício, indicar expressamente o Processo nº 2440.01.0000179/2023-49</w:t>
            </w:r>
          </w:p>
        </w:tc>
        <w:tc>
          <w:tcPr>
            <w:tcW w:type="dxa" w:w="2160"/>
            <w:tcBorders>
              <w:top w:sz="4.799999999999727" w:val="single" w:color="#33333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SEI nº 107260616</w:t>
            </w:r>
          </w:p>
        </w:tc>
      </w:tr>
    </w:tbl>
    <w:p>
      <w:pPr>
        <w:autoSpaceDN w:val="0"/>
        <w:autoSpaceDE w:val="0"/>
        <w:widowControl/>
        <w:spacing w:line="276" w:lineRule="exact" w:before="799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BEBEBE"/>
          <w:sz w:val="20"/>
        </w:rPr>
        <w:t>Errata - Res. 205/2025 (107260616)         SEI 2440.01.0000179/2023-49 / pg. 2</w:t>
      </w:r>
    </w:p>
    <w:sectPr w:rsidR="00FC693F" w:rsidRPr="0006063C" w:rsidSect="00034616">
      <w:pgSz w:w="11900" w:h="16840"/>
      <w:pgMar w:top="292" w:right="620" w:bottom="70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almg.gov.br/consulte/legislacao/completa/completa.html?tipo=DEC&amp;num=47222&amp;comp=&amp;ano=201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sei.mg.gov.br/sei/controlador_externo.php?acao=documento_conferir&amp;id_orgao_acesso_externo=0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