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5179"/>
        <w:gridCol w:w="5179"/>
      </w:tblGrid>
      <w:tr>
        <w:trPr>
          <w:trHeight w:hRule="exact" w:val="1288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684020" cy="7797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020" cy="7797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0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GOVERNO DO ESTADO DE MINAS GERAIS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AGÊNCIA REGULADORA DE SERVIÇOS DE ABASTECIMENTO 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ÁGUA E DE ESGOTAMENTO SANITÁRIO DE MINAS GERAIS </w:t>
            </w:r>
          </w:p>
        </w:tc>
      </w:tr>
    </w:tbl>
    <w:p>
      <w:pPr>
        <w:autoSpaceDN w:val="0"/>
        <w:autoSpaceDE w:val="0"/>
        <w:widowControl/>
        <w:spacing w:line="288" w:lineRule="exact" w:before="608" w:after="0"/>
        <w:ind w:left="138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RESOLUÇÃO ARSAE-MG Nº 205, DE 30 DE JANEIRO DE 2025 </w:t>
      </w:r>
    </w:p>
    <w:p>
      <w:pPr>
        <w:autoSpaceDN w:val="0"/>
        <w:autoSpaceDE w:val="0"/>
        <w:widowControl/>
        <w:spacing w:line="276" w:lineRule="exact" w:before="240" w:after="0"/>
        <w:ind w:left="528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Estabelece regras e diretrizes para o envio de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informações pelos prestadores regulados e para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avaliação de metas de universalização e indicadores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operacionais pela Agência Reguladora de Serviços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Abastecimento de Água e de Esgotamento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Sanitário do Estado de Minas Gerais (Arsae-MG). </w:t>
      </w:r>
    </w:p>
    <w:p>
      <w:pPr>
        <w:autoSpaceDN w:val="0"/>
        <w:autoSpaceDE w:val="0"/>
        <w:widowControl/>
        <w:spacing w:line="276" w:lineRule="exact" w:before="522" w:after="0"/>
        <w:ind w:left="0" w:right="0" w:firstLine="8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 DIRETORA-GERAL DA AGÊNCIA REGULADORA DE SERVIÇOS DE ABASTECIMENTO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DE ÁGUA E DE ESGOTAMENTO SANITÁRIO DO ESTADO DE MINAS GERAIS (ARSAE-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MG)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no uso de suas atribuições legais previstas na Lei Estadual nº 18.309, de 3 de agosto de 2009, e no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Decreto Estadual nº 47.884, de 13 de março de 2020, atendendo à decisão da Diretoria Colegiada e </w:t>
      </w:r>
    </w:p>
    <w:p>
      <w:pPr>
        <w:autoSpaceDN w:val="0"/>
        <w:autoSpaceDE w:val="0"/>
        <w:widowControl/>
        <w:spacing w:line="276" w:lineRule="exact" w:before="120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Considerando o disposto no art. 2º, inciso IX, da Lei nº 11.445, de 05 de janeiro de 2007, segundo o qual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os serviços públicos de saneamento básico serão prestados com base no princípio da transparência das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ações, baseado em sistemas de informações e processos decisórios institucionalizados; </w:t>
      </w:r>
    </w:p>
    <w:p>
      <w:pPr>
        <w:autoSpaceDN w:val="0"/>
        <w:autoSpaceDE w:val="0"/>
        <w:widowControl/>
        <w:spacing w:line="276" w:lineRule="exact" w:before="120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Considerando o disposto no art. 25 da Lei nº 11.445, de 05 de janeiro de 2007, segundo o qual 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prestadores de serviços públicos de saneamento básico deverão fornecer à entidade reguladora todos 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dados e informações necessários para o desempenho de suas atividades, na forma das normas legais,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regulamentares e contratuais; </w:t>
      </w:r>
    </w:p>
    <w:p>
      <w:pPr>
        <w:autoSpaceDN w:val="0"/>
        <w:autoSpaceDE w:val="0"/>
        <w:widowControl/>
        <w:spacing w:line="276" w:lineRule="exact" w:before="120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Considerando o disposto no § 2º do art. 16 da Norma de Referência nº 8/2024 da ANA, aprovada pela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Resolução ANA nº 192, de 8 de maio de 2024, segundo o qual o prestador de serviços públicos deve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fornecer as informações para o acompanhamento das metas progressivas de universalização ao titular dos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serviços públicos, à entidade reguladora infranacional, ao Sistema Nacional de Informações 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Saneamento Básico – SINISA, aos demais órgãos de controle externo e à sociedade civil; </w:t>
      </w:r>
    </w:p>
    <w:p>
      <w:pPr>
        <w:autoSpaceDN w:val="0"/>
        <w:autoSpaceDE w:val="0"/>
        <w:widowControl/>
        <w:spacing w:line="276" w:lineRule="exact" w:before="12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Considerando o disposto no art. 16 da Norma de Referência nº 9/2024 da ANA, aprovada pela Resolução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 nº 211, de 19 de setembro de 2024, segundo o qual o prestador de serviços públicos é o responsável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pela geração e fornecimento das informações primárias necessárias ao cálculo dos indicadores definidos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pela entidade reguladora infranacional, disponibilizando-as no formato e na periodicidade requeridos 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seus atos normativos; </w:t>
      </w:r>
    </w:p>
    <w:p>
      <w:pPr>
        <w:autoSpaceDN w:val="0"/>
        <w:autoSpaceDE w:val="0"/>
        <w:widowControl/>
        <w:spacing w:line="276" w:lineRule="exact" w:before="120" w:after="0"/>
        <w:ind w:left="0" w:right="3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Considerando o disposto no § 2º do art. 7 e no art. 9 da Norma de Referência nº 9/2024 da ANA, aprovada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pela Resolução ANA nº 211, de 19 de setembro de 2024, segundo os quais os indicadores Nível I e Nível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II apresentadas na referida norma são de adoção obrigatória pela entidade reguladora infranacional;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Considerando a necessidade de estabelecer procedimentos para a requisição de informações aos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prestadores de serviços e para o envio à Arsae-MG; </w:t>
      </w:r>
    </w:p>
    <w:p>
      <w:pPr>
        <w:autoSpaceDN w:val="0"/>
        <w:autoSpaceDE w:val="0"/>
        <w:widowControl/>
        <w:spacing w:line="266" w:lineRule="exact" w:before="13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RESOLVE: </w:t>
      </w:r>
    </w:p>
    <w:p>
      <w:pPr>
        <w:autoSpaceDN w:val="0"/>
        <w:autoSpaceDE w:val="0"/>
        <w:widowControl/>
        <w:spacing w:line="276" w:lineRule="exact" w:before="114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1º Estabelecer diretrizes para o envio de informações pelos prestadores de serviços regulados e para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avaliação dos indicadores operacionais, incluindo as metas de universalização, pela Agência Reguladora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Serviços de Abastecimento de Água e de Esgotamento Sanitário do Estado de Minas Gerais (Arsae-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MG).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CAPÍTULO I – DAS DEFINIÇÕES </w:t>
      </w:r>
    </w:p>
    <w:p>
      <w:pPr>
        <w:autoSpaceDN w:val="0"/>
        <w:autoSpaceDE w:val="0"/>
        <w:widowControl/>
        <w:spacing w:line="266" w:lineRule="exact" w:before="1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2º Para efeitos desta resolução, entende-se como: </w:t>
      </w:r>
    </w:p>
    <w:p>
      <w:pPr>
        <w:autoSpaceDN w:val="0"/>
        <w:autoSpaceDE w:val="0"/>
        <w:widowControl/>
        <w:spacing w:line="266" w:lineRule="exact" w:before="130" w:after="352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área de abrangência da prestação de serviços: área geográfica, conforme definição do objeto do contrato </w:t>
      </w:r>
    </w:p>
    <w:p>
      <w:pPr>
        <w:sectPr>
          <w:pgSz w:w="11899" w:h="16841"/>
          <w:pgMar w:top="398" w:right="728" w:bottom="82" w:left="8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1048" w:right="0" w:firstLine="0"/>
        <w:jc w:val="left"/>
      </w:pPr>
      <w:r>
        <w:rPr>
          <w:rFonts w:ascii="ArialMT" w:hAnsi="ArialMT" w:eastAsia="ArialMT"/>
          <w:b w:val="0"/>
          <w:i w:val="0"/>
          <w:color w:val="BEBEBE"/>
          <w:sz w:val="20"/>
        </w:rPr>
        <w:t>Resolução Arsae-MG nº 205/2025 (106355599)</w:t>
      </w:r>
    </w:p>
    <w:p>
      <w:pPr>
        <w:sectPr>
          <w:type w:val="continuous"/>
          <w:pgSz w:w="11899" w:h="16841"/>
          <w:pgMar w:top="398" w:right="728" w:bottom="82" w:left="812" w:header="720" w:footer="720" w:gutter="0"/>
          <w:cols w:num="2" w:equalWidth="0">
            <w:col w:w="5520" w:space="0"/>
            <w:col w:w="4840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BEBEBE"/>
          <w:sz w:val="20"/>
        </w:rPr>
        <w:t>SEI 2440.01.0000179/2023-49 / pg. 1</w:t>
      </w:r>
    </w:p>
    <w:p>
      <w:pPr>
        <w:sectPr>
          <w:type w:val="nextColumn"/>
          <w:pgSz w:w="11899" w:h="16841"/>
          <w:pgMar w:top="398" w:right="728" w:bottom="82" w:left="812" w:header="720" w:footer="720" w:gutter="0"/>
          <w:cols w:num="2" w:equalWidth="0">
            <w:col w:w="5520" w:space="0"/>
            <w:col w:w="4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 outro instrumento legalmente admitido, na qual o prestador de serviços obriga-se a prestar os serviços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abastecimento de água ou de esgotamento sanitário, considerados de forma individual ou conjunta. </w:t>
      </w:r>
    </w:p>
    <w:p>
      <w:pPr>
        <w:autoSpaceDN w:val="0"/>
        <w:autoSpaceDE w:val="0"/>
        <w:widowControl/>
        <w:spacing w:line="276" w:lineRule="exact" w:before="120" w:after="0"/>
        <w:ind w:left="0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bases de dados econômico-financeiras (EC): bases de dados que visam coletar informações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econômico-financeiras de modo a subsidiar as atividades regulatórias realizadas pela Coordenadoria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Técnica de Regulação e Fiscalização Econômico-Financeira (CRE) da Arsae-MG. </w:t>
      </w:r>
    </w:p>
    <w:p>
      <w:pPr>
        <w:autoSpaceDN w:val="0"/>
        <w:autoSpaceDE w:val="0"/>
        <w:widowControl/>
        <w:spacing w:line="276" w:lineRule="exact" w:before="120" w:after="0"/>
        <w:ind w:left="0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bases de dados operacionais (OP): bases de dados que visam coletar informações operacionais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modo a subsidiar as atividades regulatórias realizadas pela Coordenadoria Técnica de Regulação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Operacional e Fiscalização dos Serviços (CRO) da Arsae-MG.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bases de dados regimentais (RG): bases de dados que visam apurar as informações necessárias para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atendimento às normas de referência da Agência Nacional de Águas e Saneamento Básico (ANA). </w:t>
      </w:r>
    </w:p>
    <w:p>
      <w:pPr>
        <w:autoSpaceDN w:val="0"/>
        <w:autoSpaceDE w:val="0"/>
        <w:widowControl/>
        <w:spacing w:line="276" w:lineRule="exact" w:before="120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V- bases de dados sob demanda (SD): bases de dados que apresentam estrutura padrão, mas não dispõem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periodicidade de envio previamente definida, diferentemente das bases econômico-financeiras,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operacionais e regimentais.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estrutura padrão de organização das informações: modo padronizado de disposição de variáveis 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respectivos dados em documentos com sequência e características predefinidas;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informações eventuais: conjunto de variáveis e respectivos dados com conteúdo e estrutura padrão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organização das informações definidos no ato da requisição por parte da Arsae-MG; e </w:t>
      </w:r>
    </w:p>
    <w:p>
      <w:pPr>
        <w:autoSpaceDN w:val="0"/>
        <w:autoSpaceDE w:val="0"/>
        <w:widowControl/>
        <w:spacing w:line="280" w:lineRule="exact" w:before="11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informações rotineiras: conjunto de variáveis e respectivos dados com conteúdo e estrutura padrão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organização das informações predefinidos em resolução, seja o envio periódico ou mediante demanda.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CAPÍTULO II – DAS INFORMAÇÕES ROTINEIRAS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3º As informações rotineiras são organizadas em 4 (quatro) grupos de bases de dados, sendo eles: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EC: bases de dados econômico-financeiras;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OP: bases de dados operacionais;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SD: bases de dados sob demanda; e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RG: bases de dados regimentais. </w:t>
      </w:r>
    </w:p>
    <w:p>
      <w:pPr>
        <w:autoSpaceDN w:val="0"/>
        <w:autoSpaceDE w:val="0"/>
        <w:widowControl/>
        <w:spacing w:line="276" w:lineRule="exact" w:before="120" w:after="0"/>
        <w:ind w:left="0" w:right="3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Parágrafo único. As bases de dados regimentais são facultativas em caso de contratos de concessão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vigentes que foram firmados em decorrência de procedimento licitatório ou de desestatização ou cujo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edital ou consulta pública tenham sido publicados antes de 20 de maio de 2024.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4º As informações rotineiras deverão ser enviadas pelos prestadores de serviços considerando: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o nível de detalhamento, a periodicidade e os prazos máximos estabelecidos no ANEXO I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Periodicidades e prazos;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a estrutura padrão de organização de informações estabelecida no ANEXO II – Modelo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formatação;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as definições estabelecidas no ANEXO III – Glossário de Informações; e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as regras de formatação estabelecidas no ANEXO IV – Regras de formatação. </w:t>
      </w:r>
    </w:p>
    <w:p>
      <w:pPr>
        <w:autoSpaceDN w:val="0"/>
        <w:autoSpaceDE w:val="0"/>
        <w:widowControl/>
        <w:spacing w:line="276" w:lineRule="exact" w:before="12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1º Em casos de reajuste, revisão tarifária, deliberações da Agência Nacional de Águas e Saneamento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Básico (ANA) ou outro evento que exija maior urgência e tempestividade no envio de informações,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Arsae-MG poderá, excepcionalmente e mediante justificativa expressa, definir prazos menores que 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dispostos no ANEXO I - inclusive com envio parcial de dados, caso o período de apuração do prestador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serviços ainda não tenha sido encerrado. </w:t>
      </w:r>
    </w:p>
    <w:p>
      <w:pPr>
        <w:autoSpaceDN w:val="0"/>
        <w:autoSpaceDE w:val="0"/>
        <w:widowControl/>
        <w:spacing w:line="276" w:lineRule="exact" w:before="120" w:after="0"/>
        <w:ind w:left="0" w:right="3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2º As informações referentes às medidas atuais de racionamento do serviço de abastecimento de água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deverão ser fornecidas à Arsae-MG via OP17 – Informações de racionamento, uma única vez, em 240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(duzentos e quarenta) dias após a entrada em vigor desta resolução, nos moldes dispostos no ANEXO II,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devendo o prestador de serviços informar à Arsae-MG, em até 5 (cinco) dias úteis, sobre o início,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encerramento e aviso prévio de medidas de racionamento. </w:t>
      </w:r>
    </w:p>
    <w:p>
      <w:pPr>
        <w:autoSpaceDN w:val="0"/>
        <w:autoSpaceDE w:val="0"/>
        <w:widowControl/>
        <w:spacing w:line="280" w:lineRule="exact" w:before="116" w:after="28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3º O prestador deverá encaminhar os planos de racionamento, indicadores de monitoramento dos efeitos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das medidas adotadas e as comprovações de comunicação prévia aos usuários conforme estabelecido na </w:t>
      </w:r>
    </w:p>
    <w:p>
      <w:pPr>
        <w:sectPr>
          <w:pgSz w:w="11899" w:h="16841"/>
          <w:pgMar w:top="284" w:right="724" w:bottom="82" w:left="8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1048" w:right="0" w:firstLine="0"/>
        <w:jc w:val="left"/>
      </w:pPr>
      <w:r>
        <w:rPr>
          <w:rFonts w:ascii="ArialMT" w:hAnsi="ArialMT" w:eastAsia="ArialMT"/>
          <w:b w:val="0"/>
          <w:i w:val="0"/>
          <w:color w:val="BEBEBE"/>
          <w:sz w:val="20"/>
        </w:rPr>
        <w:t>Resolução Arsae-MG nº 205/2025 (106355599)</w:t>
      </w:r>
    </w:p>
    <w:p>
      <w:pPr>
        <w:sectPr>
          <w:type w:val="continuous"/>
          <w:pgSz w:w="11899" w:h="16841"/>
          <w:pgMar w:top="284" w:right="724" w:bottom="82" w:left="812" w:header="720" w:footer="720" w:gutter="0"/>
          <w:cols w:num="2" w:equalWidth="0">
            <w:col w:w="5520" w:space="0"/>
            <w:col w:w="4843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BEBEBE"/>
          <w:sz w:val="20"/>
        </w:rPr>
        <w:t>SEI 2440.01.0000179/2023-49 / pg. 2</w:t>
      </w:r>
    </w:p>
    <w:p>
      <w:pPr>
        <w:sectPr>
          <w:type w:val="nextColumn"/>
          <w:pgSz w:w="11899" w:h="16841"/>
          <w:pgMar w:top="284" w:right="724" w:bottom="82" w:left="812" w:header="720" w:footer="720" w:gutter="0"/>
          <w:cols w:num="2" w:equalWidth="0">
            <w:col w:w="5520" w:space="0"/>
            <w:col w:w="484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Resolução Arsae-MG nº 68/2015 e suas atualizações, ou resolução que venha a substituí-la.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4º As informações relacionadas às Bases de Dados Sob Demanda (SD) poderão ser solicitadas a partir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240 (duzentos e quarenta) dias após a entrada em vigor desta resolução. </w:t>
      </w:r>
    </w:p>
    <w:p>
      <w:pPr>
        <w:autoSpaceDN w:val="0"/>
        <w:autoSpaceDE w:val="0"/>
        <w:widowControl/>
        <w:spacing w:line="276" w:lineRule="exact" w:before="120" w:after="0"/>
        <w:ind w:left="0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5º As manifestações e os relatórios de ações corretivas enviados 240 (duzentos e quarenta) dias após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entrada em vigor desta resolução e que estejam relacionados a não conformidades de análises complexas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qualidade da água ou a aspectos relacionados ao monitoramento do tratamento de esgoto deverão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conter informações no formato da base de dados SD01 - Informações das análises complexas de qualidade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 água e SD02 - Informações detalhadas de monitoramento do tratamento de esgoto. </w:t>
      </w:r>
    </w:p>
    <w:p>
      <w:pPr>
        <w:autoSpaceDN w:val="0"/>
        <w:autoSpaceDE w:val="0"/>
        <w:widowControl/>
        <w:spacing w:line="276" w:lineRule="exact" w:before="120" w:after="0"/>
        <w:ind w:left="0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6º O prestador de serviços poderá solicitar à Arsae-MG o reconhecimento dos custos regulatórios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relacionados ao atendimento da solicitação da agência de Bases de Dados Sob Demanda (SD) de que trata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 §4º, conforme disposto no Capítulo V desta resolução. </w:t>
      </w:r>
    </w:p>
    <w:p>
      <w:pPr>
        <w:autoSpaceDN w:val="0"/>
        <w:autoSpaceDE w:val="0"/>
        <w:widowControl/>
        <w:spacing w:line="276" w:lineRule="exact" w:before="120" w:after="0"/>
        <w:ind w:left="0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7º Para cada estrutura padrão de organização das informações, os prestadores de serviços devem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fornecer um único arquivo digital, padronizado conforme regras dos ANEXOS II, III e IV, contendo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informações de todos os municípios de sua concessão. </w:t>
      </w:r>
    </w:p>
    <w:p>
      <w:pPr>
        <w:autoSpaceDN w:val="0"/>
        <w:autoSpaceDE w:val="0"/>
        <w:widowControl/>
        <w:spacing w:line="276" w:lineRule="exact" w:before="120" w:after="0"/>
        <w:ind w:left="0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8º É vedada, ao longo do envio de informações rotineiras, a alteração não autorizada de códigos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municípios, distritos e de outros códigos que identifiquem ativos ou serviços, de tal forma que os códigos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utilizados sejam preservados em todos os envios rotineiros, e qualquer alteração necessária seja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previamente comunicada e aprovada pela agência. </w:t>
      </w:r>
    </w:p>
    <w:p>
      <w:pPr>
        <w:autoSpaceDN w:val="0"/>
        <w:autoSpaceDE w:val="0"/>
        <w:widowControl/>
        <w:spacing w:line="280" w:lineRule="exact" w:before="11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9º A descrição de cada variável disposta no ANEXO II está disponível no Glossário de Informações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(ANEXO III).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10 As bases de dados com periodicidade de envio mensal e que apresentam registros que se acumulam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ao longo do mês deverão ser compiladas considerando do primeiro ao último dia do mês de referência. </w:t>
      </w:r>
    </w:p>
    <w:p>
      <w:pPr>
        <w:autoSpaceDN w:val="0"/>
        <w:autoSpaceDE w:val="0"/>
        <w:widowControl/>
        <w:spacing w:line="276" w:lineRule="exact" w:before="120" w:after="0"/>
        <w:ind w:left="0" w:right="3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5º As informações completas referentes aos contratos do serviço de abastecimento de água e/ou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esgotamento sanitário deverão ser fornecidas mensalmente via OP14 – Informações de contratos, nos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moldes dispostos no ANEXO II e conforme diretrizes do ANEXO III.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1º As alterações realizadas na base de dados mencionada no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caput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bem como os documentos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comprobatórios, deverão ser enviadas mensalmente à Arsae-MG para o e-mail </w:t>
      </w:r>
      <w:r>
        <w:rPr>
          <w:u w:val="single" w:color="0000ec"/>
          <w:rFonts w:ascii="TimesNewRomanPSMT" w:hAnsi="TimesNewRomanPSMT" w:eastAsia="TimesNewRomanPSMT"/>
          <w:b w:val="0"/>
          <w:i w:val="0"/>
          <w:color w:val="0000ED"/>
          <w:sz w:val="24"/>
        </w:rPr>
        <w:hyperlink r:id="rId10" w:history="1">
          <w:r>
            <w:rPr>
              <w:rStyle w:val="Hyperlink"/>
            </w:rPr>
            <w:t>contratos@arsae.mg.gov.br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120" w:after="0"/>
        <w:ind w:left="0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2º Nos meses em que não ocorrerem alterações na OP14, a base de dados inalterada deve ser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disponibilizada e um e-mail para </w:t>
      </w:r>
      <w:r>
        <w:rPr>
          <w:u w:val="single" w:color="0000ec"/>
          <w:rFonts w:ascii="TimesNewRomanPSMT" w:hAnsi="TimesNewRomanPSMT" w:eastAsia="TimesNewRomanPSMT"/>
          <w:b w:val="0"/>
          <w:i w:val="0"/>
          <w:color w:val="0000ED"/>
          <w:sz w:val="24"/>
        </w:rPr>
        <w:hyperlink r:id="rId10" w:history="1">
          <w:r>
            <w:rPr>
              <w:rStyle w:val="Hyperlink"/>
            </w:rPr>
            <w:t>contratos@arsae.mg.gov.br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ED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deverá ser enviado mencionando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permanência das informações prestadas no mês anterior.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6º Os primeiros envios das bases de dados previstas nesta resolução obedecerão a regra de transição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estabelecida com base nos seguintes níveis de prioridade: </w:t>
      </w:r>
    </w:p>
    <w:p>
      <w:pPr>
        <w:autoSpaceDN w:val="0"/>
        <w:autoSpaceDE w:val="0"/>
        <w:widowControl/>
        <w:spacing w:line="276" w:lineRule="exact" w:before="120" w:after="0"/>
        <w:ind w:left="0" w:right="4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Prioridade 1: bases de dados que precisam ser enviadas para Arsae-MG com urgência, devido ao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impacto direto nas entregas da Agência, devendo ter seu primeiro envio em 60 (sessenta) dias após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publicação desta resolução; </w:t>
      </w:r>
    </w:p>
    <w:p>
      <w:pPr>
        <w:autoSpaceDN w:val="0"/>
        <w:autoSpaceDE w:val="0"/>
        <w:widowControl/>
        <w:spacing w:line="276" w:lineRule="exact" w:before="120" w:after="0"/>
        <w:ind w:left="0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Prioridade 2: bases de dados não urgentes, mas que apresentam um limite máximo para o recebimento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 que não haja comprometimento das atividades, devendo ter seu primeiro envio em 120 (cento e vinte)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dias após a publicação desta resolução; </w:t>
      </w:r>
    </w:p>
    <w:p>
      <w:pPr>
        <w:autoSpaceDN w:val="0"/>
        <w:autoSpaceDE w:val="0"/>
        <w:widowControl/>
        <w:spacing w:line="276" w:lineRule="exact" w:before="120" w:after="0"/>
        <w:ind w:left="0" w:right="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Prioridade 3: bases de dados não urgentes, que permitem adaptações internas na Arsae-MG até que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novas versões sejam recebidas, devendo ter seu primeiro envio em 240 (duzentos e quarenta dias) após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publicação desta resolução.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1º O nível de prioridade de cada base de dados e o período de referência para o primeiro envio são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apresentados no ANEXO I desta resolução. </w:t>
      </w:r>
    </w:p>
    <w:p>
      <w:pPr>
        <w:autoSpaceDN w:val="0"/>
        <w:autoSpaceDE w:val="0"/>
        <w:widowControl/>
        <w:spacing w:line="278" w:lineRule="exact" w:before="118" w:after="0"/>
        <w:ind w:left="0" w:right="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2º O disposto no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caput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deste artigo não se aplica às bases de dados que não sofreram alteração 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relação aos padrões estabelecidos pela Resolução n° 114/2018 ou por instrumento formal utilizado para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solicitar a disponibilização desses dados. </w:t>
      </w:r>
    </w:p>
    <w:p>
      <w:pPr>
        <w:autoSpaceDN w:val="0"/>
        <w:autoSpaceDE w:val="0"/>
        <w:widowControl/>
        <w:spacing w:line="276" w:lineRule="exact" w:before="120" w:after="328"/>
        <w:ind w:left="0" w:right="3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3º Para as bases de dados contempladas na regra de transição com padrões estabelecidos previamente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pela Resolução n° 114/2018 ou por instrumento formal utilizado para solicitar a disponibilização desses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dados, deve ser mantido o envio das informações até o fim do seu respectivo período de transição, </w:t>
      </w:r>
    </w:p>
    <w:p>
      <w:pPr>
        <w:sectPr>
          <w:pgSz w:w="11899" w:h="16841"/>
          <w:pgMar w:top="282" w:right="720" w:bottom="82" w:left="8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1048" w:right="0" w:firstLine="0"/>
        <w:jc w:val="left"/>
      </w:pPr>
      <w:r>
        <w:rPr>
          <w:rFonts w:ascii="ArialMT" w:hAnsi="ArialMT" w:eastAsia="ArialMT"/>
          <w:b w:val="0"/>
          <w:i w:val="0"/>
          <w:color w:val="BEBEBE"/>
          <w:sz w:val="20"/>
        </w:rPr>
        <w:t>Resolução Arsae-MG nº 205/2025 (106355599)</w:t>
      </w:r>
    </w:p>
    <w:p>
      <w:pPr>
        <w:sectPr>
          <w:type w:val="continuous"/>
          <w:pgSz w:w="11899" w:h="16841"/>
          <w:pgMar w:top="282" w:right="720" w:bottom="82" w:left="812" w:header="720" w:footer="720" w:gutter="0"/>
          <w:cols w:num="2" w:equalWidth="0">
            <w:col w:w="5520" w:space="0"/>
            <w:col w:w="4848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BEBEBE"/>
          <w:sz w:val="20"/>
        </w:rPr>
        <w:t>SEI 2440.01.0000179/2023-49 / pg. 3</w:t>
      </w:r>
    </w:p>
    <w:p>
      <w:pPr>
        <w:sectPr>
          <w:type w:val="nextColumn"/>
          <w:pgSz w:w="11899" w:h="16841"/>
          <w:pgMar w:top="282" w:right="720" w:bottom="82" w:left="812" w:header="720" w:footer="720" w:gutter="0"/>
          <w:cols w:num="2" w:equalWidth="0">
            <w:col w:w="5520" w:space="0"/>
            <w:col w:w="48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conforme delimitado previamente em resolução ou instrumento formal. </w:t>
      </w:r>
    </w:p>
    <w:p>
      <w:pPr>
        <w:autoSpaceDN w:val="0"/>
        <w:autoSpaceDE w:val="0"/>
        <w:widowControl/>
        <w:spacing w:line="336" w:lineRule="exact" w:before="5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CAPÍTULO III – DAS INFORMAÇÕES EVENTUAIS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7º A requisição de informações eventuais, de ajustes ou esclarecimentos deve ser realizada pela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Arsae-MG mediante envio de ofício para os prestadores regulados. </w:t>
      </w:r>
    </w:p>
    <w:p>
      <w:pPr>
        <w:autoSpaceDN w:val="0"/>
        <w:autoSpaceDE w:val="0"/>
        <w:widowControl/>
        <w:spacing w:line="396" w:lineRule="exact" w:before="0" w:after="0"/>
        <w:ind w:left="0" w:right="259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1º No ato da requisição de informações eventuais, a Arsae-MG deverá indicar: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a periodicidade e os prazos máximos de envio;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a estrutura padrão de organização das informações;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as definições de cada variável; 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as regras de formatação. </w:t>
      </w:r>
    </w:p>
    <w:p>
      <w:pPr>
        <w:autoSpaceDN w:val="0"/>
        <w:autoSpaceDE w:val="0"/>
        <w:widowControl/>
        <w:spacing w:line="276" w:lineRule="exact" w:before="120" w:after="0"/>
        <w:ind w:left="0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2º Na contagem dos prazos para envio de informações eventuais, de ajustes ou esclarecimentos, será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excluído o dia de recebimento da comunicação pelo prestador de serviços e incluído o dia de recebimento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das informações pela Arsae-MG. </w:t>
      </w:r>
    </w:p>
    <w:p>
      <w:pPr>
        <w:autoSpaceDN w:val="0"/>
        <w:autoSpaceDE w:val="0"/>
        <w:widowControl/>
        <w:spacing w:line="324" w:lineRule="exact" w:before="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CAPÍTULO IV – DO ENVIO, RECEBIMENTO E TRATATIVAS DAS INFORMAÇÕES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8º Para alterar prazo, periodicidade, estrutura padrão de organização de informações, definições ou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regras de formatação de informações já requeridas, a Arsae-MG deverá adotar instrumento equivalente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àquele utilizado na requisição original, seja resolução ou ofício, salvo o disposto no § 1º do art. 4º.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9º O prestador de serviços poderá requerer à Arsae-MG, mediante justificativa expressa, a revisão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prazo para atendimento à requisição de informações, de ajuste ou de esclarecimentos.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1º Para cada requisição, a revisão de prazo poderá ser requerida pelo prestador de serviços apenas uma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vez, salvo o disposto no parágrafo segundo. </w:t>
      </w:r>
    </w:p>
    <w:p>
      <w:pPr>
        <w:autoSpaceDN w:val="0"/>
        <w:autoSpaceDE w:val="0"/>
        <w:widowControl/>
        <w:spacing w:line="266" w:lineRule="exact" w:before="1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2º Não serão aceitos requerimentos de revisão de prazo após a data limite para resposta à requisição. </w:t>
      </w:r>
    </w:p>
    <w:p>
      <w:pPr>
        <w:autoSpaceDN w:val="0"/>
        <w:autoSpaceDE w:val="0"/>
        <w:widowControl/>
        <w:spacing w:line="372" w:lineRule="exact" w:before="2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3º O requerimento de revisão de prazo deve conter no mínimo: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data do requerimento;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nome, cargo, unidade administrativa,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e-mail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telefone do remetente, pessoa física que responde pelo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requerimento de revisão de prazo;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novo(s) prazo(s) proposto(s) para atendimento à requisição pelo prestador de serviços; 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justificativa.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4º A contagem do tempo de resposta à requisição realizada pela Arsae-MG ficará suspensa no período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entre a data de requerimento de revisão do prazo e a data de resposta da agência. </w:t>
      </w:r>
    </w:p>
    <w:p>
      <w:pPr>
        <w:autoSpaceDN w:val="0"/>
        <w:autoSpaceDE w:val="0"/>
        <w:widowControl/>
        <w:spacing w:line="276" w:lineRule="exact" w:before="11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5º No dia em que não houver expediente na Arsae-MG ou for encerrado antes do horário regular,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considera-se prorrogado o prazo para envio de informações até o primeiro dia útil seguinte. </w:t>
      </w:r>
    </w:p>
    <w:p>
      <w:pPr>
        <w:autoSpaceDN w:val="0"/>
        <w:autoSpaceDE w:val="0"/>
        <w:widowControl/>
        <w:spacing w:line="278" w:lineRule="exact" w:before="11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6º O prazo limite será alterado apenas em caso de aprovação pela Arsae-MG, podendo o prazo aprovado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por esta agência diferir do requerido pelo prestador de serviços. </w:t>
      </w:r>
    </w:p>
    <w:p>
      <w:pPr>
        <w:autoSpaceDN w:val="0"/>
        <w:autoSpaceDE w:val="0"/>
        <w:widowControl/>
        <w:spacing w:line="336" w:lineRule="exact" w:before="60" w:after="512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10 O prestador de serviços deverá informar, no ato da resposta à requisição, nome, cargo, unidade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administrativa,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e-mail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telefone do remetente e do responsável principal pela geração das informações.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11 O envio de informações entre prestador de serviços e Arsae-MG poderá ocorrer pelos seguintes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meios de comunicação: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via Sistema de Informações Regulatórias (SIR), por meio de protocolo de transferência de arquivos,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sempre que informado pela Arsae-MG que este é o meio para disponibilização dos dados;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via Sistema Eletrônico de Informações (SEI-MG);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 via correio eletrônico (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e-mail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): com envio de documentos em formato digital e tamanho total limitado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10 MB (dez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megabytes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 por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e-mail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enviado; 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via nuvem ou ambiente virtual: com documentos em formato digital, especialmente quando 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documentos possuírem tamanho superior ao do inciso anterior. </w:t>
      </w:r>
    </w:p>
    <w:p>
      <w:pPr>
        <w:sectPr>
          <w:pgSz w:w="11899" w:h="16841"/>
          <w:pgMar w:top="284" w:right="728" w:bottom="82" w:left="8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1048" w:right="0" w:firstLine="0"/>
        <w:jc w:val="left"/>
      </w:pPr>
      <w:r>
        <w:rPr>
          <w:rFonts w:ascii="ArialMT" w:hAnsi="ArialMT" w:eastAsia="ArialMT"/>
          <w:b w:val="0"/>
          <w:i w:val="0"/>
          <w:color w:val="BEBEBE"/>
          <w:sz w:val="20"/>
        </w:rPr>
        <w:t>Resolução Arsae-MG nº 205/2025 (106355599)</w:t>
      </w:r>
    </w:p>
    <w:p>
      <w:pPr>
        <w:sectPr>
          <w:type w:val="continuous"/>
          <w:pgSz w:w="11899" w:h="16841"/>
          <w:pgMar w:top="284" w:right="728" w:bottom="82" w:left="812" w:header="720" w:footer="720" w:gutter="0"/>
          <w:cols w:num="2" w:equalWidth="0">
            <w:col w:w="5520" w:space="0"/>
            <w:col w:w="4840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BEBEBE"/>
          <w:sz w:val="20"/>
        </w:rPr>
        <w:t>SEI 2440.01.0000179/2023-49 / pg. 4</w:t>
      </w:r>
    </w:p>
    <w:p>
      <w:pPr>
        <w:sectPr>
          <w:type w:val="nextColumn"/>
          <w:pgSz w:w="11899" w:h="16841"/>
          <w:pgMar w:top="284" w:right="728" w:bottom="82" w:left="812" w:header="720" w:footer="720" w:gutter="0"/>
          <w:cols w:num="2" w:equalWidth="0">
            <w:col w:w="5520" w:space="0"/>
            <w:col w:w="48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1º As informações podem ser enviadas por outros meios não listados nos incisos do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caput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 artigo,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desde que previamente acordados entre o prestador de serviços e a Arsae-MG. </w:t>
      </w:r>
    </w:p>
    <w:p>
      <w:pPr>
        <w:autoSpaceDN w:val="0"/>
        <w:autoSpaceDE w:val="0"/>
        <w:widowControl/>
        <w:spacing w:line="276" w:lineRule="exact" w:before="12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2º Qualquer que seja o meio de comunicação utilizado, este deve ser capaz de comprovar a transmissão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informações ao destinatário mediante protocolo físico ou digital por meio do registro das datas de envio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recebimento e de identificação do remetente e do destinatário.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3º A contagem do prazo para envio de resposta à requisição de informações não será interrompida caso 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prestador de serviços utilize meio de comunicação diferente do especificado na requisição. </w:t>
      </w:r>
    </w:p>
    <w:p>
      <w:pPr>
        <w:autoSpaceDN w:val="0"/>
        <w:autoSpaceDE w:val="0"/>
        <w:widowControl/>
        <w:spacing w:line="276" w:lineRule="exact" w:before="120" w:after="0"/>
        <w:ind w:left="0" w:right="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4º A necessidade de substituição de dados previamente enviados à Arsae-MG deve ser comunicada à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gerência responsável pelas informações a serem sobrepostas para avaliação da pertinência e orientação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quanto ao processo de envio dos dados revisados.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12 O prestador de serviços é responsável pela veracidade das informações enviadas à Arsae-MG 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divulgadas ao público.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13 A Arsae-MG reportará o não atendimento à requisição de informação mediante comunicação ao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prestador de serviços nos casos em que houver: </w:t>
      </w:r>
    </w:p>
    <w:p>
      <w:pPr>
        <w:autoSpaceDN w:val="0"/>
        <w:autoSpaceDE w:val="0"/>
        <w:widowControl/>
        <w:spacing w:line="264" w:lineRule="exact" w:before="1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não atendimento ao prazo limite de resposta à requisição; </w:t>
      </w:r>
    </w:p>
    <w:p>
      <w:pPr>
        <w:autoSpaceDN w:val="0"/>
        <w:autoSpaceDE w:val="0"/>
        <w:widowControl/>
        <w:spacing w:line="264" w:lineRule="exact" w:before="1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não atendimento ao conteúdo discriminado na requisição; </w:t>
      </w:r>
    </w:p>
    <w:p>
      <w:pPr>
        <w:autoSpaceDN w:val="0"/>
        <w:autoSpaceDE w:val="0"/>
        <w:widowControl/>
        <w:spacing w:line="264" w:lineRule="exact" w:before="1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não atendimento à estrutura padrão de organização das informações; </w:t>
      </w:r>
    </w:p>
    <w:p>
      <w:pPr>
        <w:autoSpaceDN w:val="0"/>
        <w:autoSpaceDE w:val="0"/>
        <w:widowControl/>
        <w:spacing w:line="266" w:lineRule="exact" w:before="1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não atendimento às regras de formatação;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não atendimento às regras de validação; e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não atendimento a quaisquer outras condições que tenham sido apresentadas no requerimento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informações.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Parágrafo único. O não atendimento dos itens listados no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caput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são passíveis de sanções.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14 Caso haja necessidade, a Arsae-MG poderá requisitar ao prestador de serviços ajustes ou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esclarecimentos com relação às informações recebidas.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1º Entende-se como esclarecimento qualquer questionamento quanto à qualidade da informação ou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desvios de conduta identificados na validação dos dados.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2º As requisições de que trata o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caput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podem ser conduzidas a qualquer tempo pela agência, seguindo 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processo de requisição de informações apresentado no art. 7º.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15 As sanções relacionadas a informações estão estabelecidas em resolução específica vigente.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Parágrafo único. As informações enviadas que não atendam às condições previstas nos artigos 4º e 7º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serão consideradas informações não enviadas ou incompletas. </w:t>
      </w:r>
    </w:p>
    <w:p>
      <w:pPr>
        <w:autoSpaceDN w:val="0"/>
        <w:autoSpaceDE w:val="0"/>
        <w:widowControl/>
        <w:spacing w:line="266" w:lineRule="exact" w:before="52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CAPÍTULO V – DOS CUSTOS REGULATÓRIOS ATRELADOS AO ENVIO DE INFORMAÇÕES </w:t>
      </w:r>
    </w:p>
    <w:p>
      <w:pPr>
        <w:autoSpaceDN w:val="0"/>
        <w:autoSpaceDE w:val="0"/>
        <w:widowControl/>
        <w:spacing w:line="276" w:lineRule="exact" w:before="122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16 Diante da necessidade de alteração no prazo, periodicidade, estrutura padrão de organização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informações, definições ou regras de formatação de informações já requeridas, o prestador de serviços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poderá solicitar à Arsae-MG o reconhecimento de custos regulatórios, observando as diretrizes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estabelecidas pela Arsae-MG em resolução normativa específica vigente para o reconhecimento de custos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regulatórios. </w:t>
      </w:r>
    </w:p>
    <w:p>
      <w:pPr>
        <w:autoSpaceDN w:val="0"/>
        <w:autoSpaceDE w:val="0"/>
        <w:widowControl/>
        <w:spacing w:line="276" w:lineRule="exact" w:before="12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1º Na solicitação do reconhecimento de custos regulatórios de que trata o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caput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o prestador deverá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apresentar o fundamento para o reconhecimento dos custos regulatórios, as rubricas contábeis nas quais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estão registrados os custos e documentos que comprovem a realização dos gastos. </w:t>
      </w:r>
    </w:p>
    <w:p>
      <w:pPr>
        <w:autoSpaceDN w:val="0"/>
        <w:autoSpaceDE w:val="0"/>
        <w:widowControl/>
        <w:spacing w:line="278" w:lineRule="exact" w:before="118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2º A Arsae-MG poderá solicitar outros documentos para a análise do reconhecimento dos custos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regulatórios, cabendo à equipe técnica da agência a avaliação do pleito e o deferimento ou indeferimento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motivado do pedido. </w:t>
      </w:r>
    </w:p>
    <w:p>
      <w:pPr>
        <w:autoSpaceDN w:val="0"/>
        <w:autoSpaceDE w:val="0"/>
        <w:widowControl/>
        <w:spacing w:line="276" w:lineRule="exact" w:before="120" w:after="436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CAPÍTULO VI – DO CUMPRIMENTO DAS METAS DE UNIVERSALIZAÇÃO E DEMAIS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INDICADORES OPERACIONAIS </w:t>
      </w:r>
    </w:p>
    <w:p>
      <w:pPr>
        <w:sectPr>
          <w:pgSz w:w="11899" w:h="16841"/>
          <w:pgMar w:top="284" w:right="726" w:bottom="82" w:left="8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1048" w:right="0" w:firstLine="0"/>
        <w:jc w:val="left"/>
      </w:pPr>
      <w:r>
        <w:rPr>
          <w:rFonts w:ascii="ArialMT" w:hAnsi="ArialMT" w:eastAsia="ArialMT"/>
          <w:b w:val="0"/>
          <w:i w:val="0"/>
          <w:color w:val="BEBEBE"/>
          <w:sz w:val="20"/>
        </w:rPr>
        <w:t>Resolução Arsae-MG nº 205/2025 (106355599)</w:t>
      </w:r>
    </w:p>
    <w:p>
      <w:pPr>
        <w:sectPr>
          <w:type w:val="continuous"/>
          <w:pgSz w:w="11899" w:h="16841"/>
          <w:pgMar w:top="284" w:right="726" w:bottom="82" w:left="812" w:header="720" w:footer="720" w:gutter="0"/>
          <w:cols w:num="2" w:equalWidth="0">
            <w:col w:w="5520" w:space="0"/>
            <w:col w:w="4842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BEBEBE"/>
          <w:sz w:val="20"/>
        </w:rPr>
        <w:t>SEI 2440.01.0000179/2023-49 / pg. 5</w:t>
      </w:r>
    </w:p>
    <w:p>
      <w:pPr>
        <w:sectPr>
          <w:type w:val="nextColumn"/>
          <w:pgSz w:w="11899" w:h="16841"/>
          <w:pgMar w:top="284" w:right="726" w:bottom="82" w:left="812" w:header="720" w:footer="720" w:gutter="0"/>
          <w:cols w:num="2" w:equalWidth="0">
            <w:col w:w="5520" w:space="0"/>
            <w:col w:w="48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0" w:right="3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17 Os indicadores a serem monitorados pela Arsae-MG devido às normas de referência editadas pela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 serão calculados e avaliados com base nas informações regimentais, ou outras informações rotineiras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maneira complementar, apresentadas nesta norma. </w:t>
      </w:r>
    </w:p>
    <w:p>
      <w:pPr>
        <w:autoSpaceDN w:val="0"/>
        <w:autoSpaceDE w:val="0"/>
        <w:widowControl/>
        <w:spacing w:line="276" w:lineRule="exact" w:before="120" w:after="0"/>
        <w:ind w:left="0" w:right="3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1º Caso alguma informação regimental seja equivalente ao fornecido pelo prestador de serviços em bases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dados operacionais ou econômico-financeiras, o prestador de serviço poderá requisitar o não envio da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informação regimental e a utilização de informação equivalente já informada pelo prestador via OP ou EC. </w:t>
      </w:r>
    </w:p>
    <w:p>
      <w:pPr>
        <w:autoSpaceDN w:val="0"/>
        <w:autoSpaceDE w:val="0"/>
        <w:widowControl/>
        <w:spacing w:line="276" w:lineRule="exact" w:before="120" w:after="0"/>
        <w:ind w:left="0" w:right="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2º As requisições de que trata o § 1º devem ser justificadas e enviadas com antecedência mínima de 30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dias do envio previsto para informação, cabendo à equipe técnica da Arsae-MG a avaliação do pleito e 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deferimento ou indeferimento motivado. </w:t>
      </w:r>
    </w:p>
    <w:p>
      <w:pPr>
        <w:autoSpaceDN w:val="0"/>
        <w:autoSpaceDE w:val="0"/>
        <w:widowControl/>
        <w:spacing w:line="276" w:lineRule="exact" w:before="120" w:after="0"/>
        <w:ind w:left="0" w:right="4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3º Em sistemas integrados, que atendam mais de um município, o prestador de serviços deve possuir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mecanismos que possibilitem a segregação das informações primárias, para identificação das parcelas que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serão alocadas diretamente em cada município e as parcelas que devem ser rateadas. </w:t>
      </w:r>
    </w:p>
    <w:p>
      <w:pPr>
        <w:autoSpaceDN w:val="0"/>
        <w:autoSpaceDE w:val="0"/>
        <w:widowControl/>
        <w:spacing w:line="276" w:lineRule="exact" w:before="120" w:after="0"/>
        <w:ind w:left="0" w:right="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4º Eventuais rateios de informações primárias das bases de dados regimentais deverão ser realizados,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prioritariamente, conforme critérios definidos nos manuais e guias do Sistema Nacional de Informações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Saneamento Básico - SINISA e, caso inexistente, deve ser adotado o critério de quantidade de economias,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salvo quando especificado de outra forma pelas fichas de indicadores publicadas pela ANA. </w:t>
      </w:r>
    </w:p>
    <w:p>
      <w:pPr>
        <w:autoSpaceDN w:val="0"/>
        <w:autoSpaceDE w:val="0"/>
        <w:widowControl/>
        <w:spacing w:line="276" w:lineRule="exact" w:before="120" w:after="0"/>
        <w:ind w:left="0" w:right="3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5º Complementarmente às informações de aferição da concentração de DBO solicitadas via RG03, 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prestador de serviços deverá enviar para estações de tratamento de esgoto com disposição em solo, até 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final do mês de março de cada ano, comprovantes de monitoramento do solo e das águas subterrâneas. </w:t>
      </w:r>
    </w:p>
    <w:p>
      <w:pPr>
        <w:autoSpaceDN w:val="0"/>
        <w:autoSpaceDE w:val="0"/>
        <w:widowControl/>
        <w:spacing w:line="280" w:lineRule="exact" w:before="11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18 As metas de universalização dos serviços de abastecimento de água e de esgotamento sanitário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serão monitoradas por meio dos seguintes indicadores: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Índice de atendimento de abastecimento de água (IAA);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Índice de cobertura de abastecimento de água (ICA);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Índice de atendimento de esgotamento sanitário (IAE); e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Índice de cobertura de esgotamento sanitário (ICE). </w:t>
      </w:r>
    </w:p>
    <w:p>
      <w:pPr>
        <w:autoSpaceDN w:val="0"/>
        <w:autoSpaceDE w:val="0"/>
        <w:widowControl/>
        <w:spacing w:line="276" w:lineRule="exact" w:before="120" w:after="0"/>
        <w:ind w:left="0" w:right="3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1º O cálculo dos indicadores mencionados no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caput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deste artigo será realizado conforme metodologia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estabelecida pelo Anexo I da Norma de Referência n° 08/2024, aprovada pela Resolução ANA nº 192,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 de maio de 2024, ou nova metodologia proposta pela ANA. </w:t>
      </w:r>
    </w:p>
    <w:p>
      <w:pPr>
        <w:autoSpaceDN w:val="0"/>
        <w:autoSpaceDE w:val="0"/>
        <w:widowControl/>
        <w:spacing w:line="276" w:lineRule="exact" w:before="120" w:after="0"/>
        <w:ind w:left="0" w:right="3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2º As informações necessárias para composição das bases de dados solicitadas por esta agência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reguladora, incluindo as informações primárias para o cálculo dos indicadores de universalização, que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dependem do resultado do censo, deverão ser calculadas com base no último censo e ajustadas, diante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novas atualizações do censo, em até 6 (seis) meses da publicação dos dados pelo Instituto Brasileiro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Geografia e Estatística (IBGE). </w:t>
      </w:r>
    </w:p>
    <w:p>
      <w:pPr>
        <w:autoSpaceDN w:val="0"/>
        <w:autoSpaceDE w:val="0"/>
        <w:widowControl/>
        <w:spacing w:line="276" w:lineRule="exact" w:before="120" w:after="0"/>
        <w:ind w:left="0" w:right="3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3º O prestador de serviços poderá propor metodologias para o cálculo das informações primárias que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sejam distintas das apresentadas no Anexo I da Norma de Referência n° 08/2024, ou norma que venha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substituí-la, cabendo à equipe técnica da Arsae-MG a avaliação do pleito junto à ANA e o deferimento ou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indeferimento motivado da metodologia. </w:t>
      </w:r>
    </w:p>
    <w:p>
      <w:pPr>
        <w:autoSpaceDN w:val="0"/>
        <w:autoSpaceDE w:val="0"/>
        <w:widowControl/>
        <w:spacing w:line="276" w:lineRule="exact" w:before="12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4º A proposta de alteração da metodologia de cálculo das informações primárias deverá ser encaminhada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Arsae-MG via ofício com antecedência mínima de 60 (sessenta) dias do prazo final para envio da base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dados.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19 Os demais aspectos operacionais dos serviços de abastecimento de água e de esgotamento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sanitário serão monitorados por meio dos seguintes indicadores: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Nível I - 01: Índice de perdas de água na distribuição por ligação;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Nível I - 02: Índice das análises de coliformes totais da água no padrão estabelecido; </w:t>
      </w:r>
    </w:p>
    <w:p>
      <w:pPr>
        <w:autoSpaceDN w:val="0"/>
        <w:autoSpaceDE w:val="0"/>
        <w:widowControl/>
        <w:spacing w:line="276" w:lineRule="exact" w:before="12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Nível I - 03: Índice das análises de demanda bioquímica de oxigênio – DBO do esgoto na saída do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tratamento no padrão estabelecido;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Nível I - 04: Índice de intermitência do serviço de abastecimento de água; </w:t>
      </w:r>
    </w:p>
    <w:p>
      <w:pPr>
        <w:autoSpaceDN w:val="0"/>
        <w:autoSpaceDE w:val="0"/>
        <w:widowControl/>
        <w:spacing w:line="266" w:lineRule="exact" w:before="130" w:after="244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Nível I - 05: Índice de intermitência do serviço de esgotamento sanitário; </w:t>
      </w:r>
    </w:p>
    <w:p>
      <w:pPr>
        <w:sectPr>
          <w:pgSz w:w="11899" w:h="16841"/>
          <w:pgMar w:top="284" w:right="716" w:bottom="82" w:left="8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1048" w:right="0" w:firstLine="0"/>
        <w:jc w:val="left"/>
      </w:pPr>
      <w:r>
        <w:rPr>
          <w:rFonts w:ascii="ArialMT" w:hAnsi="ArialMT" w:eastAsia="ArialMT"/>
          <w:b w:val="0"/>
          <w:i w:val="0"/>
          <w:color w:val="BEBEBE"/>
          <w:sz w:val="20"/>
        </w:rPr>
        <w:t>Resolução Arsae-MG nº 205/2025 (106355599)</w:t>
      </w:r>
    </w:p>
    <w:p>
      <w:pPr>
        <w:sectPr>
          <w:type w:val="continuous"/>
          <w:pgSz w:w="11899" w:h="16841"/>
          <w:pgMar w:top="284" w:right="716" w:bottom="82" w:left="812" w:header="720" w:footer="720" w:gutter="0"/>
          <w:cols w:num="2" w:equalWidth="0">
            <w:col w:w="5520" w:space="0"/>
            <w:col w:w="4852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BEBEBE"/>
          <w:sz w:val="20"/>
        </w:rPr>
        <w:t>SEI 2440.01.0000179/2023-49 / pg. 6</w:t>
      </w:r>
    </w:p>
    <w:p>
      <w:pPr>
        <w:sectPr>
          <w:type w:val="nextColumn"/>
          <w:pgSz w:w="11899" w:h="16841"/>
          <w:pgMar w:top="284" w:right="716" w:bottom="82" w:left="812" w:header="720" w:footer="720" w:gutter="0"/>
          <w:cols w:num="2" w:equalWidth="0">
            <w:col w:w="5520" w:space="0"/>
            <w:col w:w="48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370" w:lineRule="exact" w:before="0" w:after="0"/>
        <w:ind w:left="4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Nível II - 01: Índice de micromedição relativo ao volume disponibilizado de água;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Nível II - 02: Índice de macromedição relativo ao volume disponibilizado de água;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VIII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Nível II - 03: Índice de duração média dos reparos de extravasamentos de esgoto;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IX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Nível II - 04: Índice de reclamações dos serviços de abastecimento de água; e </w:t>
      </w:r>
      <w:r>
        <w:br/>
      </w:r>
      <w:r>
        <w:rPr>
          <w:rFonts w:ascii="TimesNewRomanPSMT" w:hAnsi="TimesNewRomanPSMT" w:eastAsia="TimesNewRomanPSMT"/>
          <w:b w:val="0"/>
          <w:i w:val="0"/>
          <w:strike/>
          <w:color w:val="000000"/>
          <w:sz w:val="24"/>
        </w:rPr>
        <w:t>X</w:t>
      </w:r>
      <w:r>
        <w:rPr>
          <w:rFonts w:ascii="TimesNewRomanPSMT" w:hAnsi="TimesNewRomanPSMT" w:eastAsia="TimesNewRomanPSMT"/>
          <w:b w:val="0"/>
          <w:i w:val="0"/>
          <w:strike/>
          <w:color w:val="000000"/>
          <w:sz w:val="24"/>
        </w:rPr>
        <w:t>– Nível II - 05: Índice de reclamações dos serviços de abastecimento de esgotamento sanitário.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142" w:val="left"/>
        </w:tabs>
        <w:autoSpaceDE w:val="0"/>
        <w:widowControl/>
        <w:spacing w:line="306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strike/>
          <w:color w:val="000000"/>
          <w:sz w:val="24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Nível II - 05: Índice de reclamações dos serviços de esgotamento sanitário. (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 xml:space="preserve">Alteração realizada conforme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>Errata de 07 de março de 2025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Parágrafo único. O cálculo dos indicadores mencionados no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caput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deste artigo será realizado conforme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metodologia estabelecida pelo Anexo I da Norma de Referência n° 09/2024, aprovada pela Resolução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 nº 211, de 19 de maio de 2024, ou nova metodologia proposta pela ANA. </w:t>
      </w:r>
    </w:p>
    <w:p>
      <w:pPr>
        <w:autoSpaceDN w:val="0"/>
        <w:autoSpaceDE w:val="0"/>
        <w:widowControl/>
        <w:spacing w:line="276" w:lineRule="exact" w:before="120" w:after="0"/>
        <w:ind w:left="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20 Os indicadores a serem monitorados devido às normas de referência editadas pela ANA serão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calculados e avaliados pela Arsae-MG conforme a área de abrangência da prestação de serviços e outros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recortes definidos pela ANA nas Resolução ANA nº 192/2024 e Resolução ANA nº 211/2024 ou outras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que vierem a substituí-las. </w:t>
      </w:r>
    </w:p>
    <w:p>
      <w:pPr>
        <w:autoSpaceDN w:val="0"/>
        <w:autoSpaceDE w:val="0"/>
        <w:widowControl/>
        <w:spacing w:line="336" w:lineRule="exact" w:before="60" w:after="0"/>
        <w:ind w:left="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21 As metas finais de universalização serão consideradas atingidas quando: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no componente abastecimento de água potável do município, os indicadores de atendimento, IAA, e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cobertura, ICA, atingirem simultaneamente resultados iguais ou superiores a 99%. </w:t>
      </w:r>
    </w:p>
    <w:p>
      <w:pPr>
        <w:autoSpaceDN w:val="0"/>
        <w:autoSpaceDE w:val="0"/>
        <w:widowControl/>
        <w:spacing w:line="280" w:lineRule="exact" w:before="116" w:after="0"/>
        <w:ind w:left="4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no componente esgotamento sanitário do município, os indicadores de atendimento IAE, e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cobertura, ICE, atingirem simultaneamente resultados iguais ou superiores a 90%. </w:t>
      </w:r>
    </w:p>
    <w:p>
      <w:pPr>
        <w:autoSpaceDN w:val="0"/>
        <w:autoSpaceDE w:val="0"/>
        <w:widowControl/>
        <w:spacing w:line="276" w:lineRule="exact" w:before="120" w:after="0"/>
        <w:ind w:left="4" w:right="15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22 As avaliações dos municípios requeridas pela ANA, considerando a área de regulação desta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agência, serão realizadas com base nas informações, nos padrões de referência, nos prazos, nos produtos 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nas metodologias estabelecidas por normas específicas editadas pela ANA. </w:t>
      </w:r>
    </w:p>
    <w:p>
      <w:pPr>
        <w:autoSpaceDN w:val="0"/>
        <w:autoSpaceDE w:val="0"/>
        <w:widowControl/>
        <w:spacing w:line="276" w:lineRule="exact" w:before="120" w:after="0"/>
        <w:ind w:left="4" w:right="1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Parágrafo único. Mediante solicitação da Arsae-MG, o titular dos serviços de abastecimento de água e/ou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esgotamento sanitário deverá encaminhar as informações pertinentes à prestação dos serviços nas áreas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sob sua responsabilidade, a fim de viabilizar as avaliações mencionadas no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caput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120" w:after="0"/>
        <w:ind w:left="4" w:right="1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23 O relatório de avaliação do cumprimento dos indicadores operacionais do Nível I e Nível II,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incluindo as metas progressivas e informações primárias, será publicado anualmente pela Arsae-MG 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seu sítio eletrônico e encaminhado ao prestador de serviços, ao titular e à estrutura de prestação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regionalizada, se for o caso. </w:t>
      </w:r>
    </w:p>
    <w:p>
      <w:pPr>
        <w:autoSpaceDN w:val="0"/>
        <w:autoSpaceDE w:val="0"/>
        <w:widowControl/>
        <w:spacing w:line="276" w:lineRule="exact" w:before="120" w:after="0"/>
        <w:ind w:left="4" w:right="15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1º O relatório incluirá a avaliação segundo as metas estabelecidas e os resultados alcançados pelos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indicadores Nível I e a avaliação por comparação que considera os resultados alcançados pelos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indicadores Nível I e Nível II, e seus respectivos padrões de referência, caso existentes. </w:t>
      </w:r>
    </w:p>
    <w:p>
      <w:pPr>
        <w:autoSpaceDN w:val="0"/>
        <w:autoSpaceDE w:val="0"/>
        <w:widowControl/>
        <w:spacing w:line="276" w:lineRule="exact" w:before="120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2º Os indicadores Nível I serão avaliados a partir do primeiro relatório de avaliação operacional da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prestação dos serviços e os indicadores Nível II a partir do segundo relatório. </w:t>
      </w:r>
    </w:p>
    <w:p>
      <w:pPr>
        <w:autoSpaceDN w:val="0"/>
        <w:autoSpaceDE w:val="0"/>
        <w:widowControl/>
        <w:spacing w:line="276" w:lineRule="exact" w:before="120" w:after="0"/>
        <w:ind w:left="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3º A avaliação de que trata o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caput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observará um intervalo dos últimos 5 (cinco) anos, nos quais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metas deverão ter sido cumpridas em, pelo menos, 3 (três). </w:t>
      </w:r>
    </w:p>
    <w:p>
      <w:pPr>
        <w:autoSpaceDN w:val="0"/>
        <w:autoSpaceDE w:val="0"/>
        <w:widowControl/>
        <w:spacing w:line="362" w:lineRule="exact" w:before="34" w:after="0"/>
        <w:ind w:left="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4º A Arsae-MG considerará no processo de avaliação: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os recortes por município, área urbana e rural, contrato, prestação regionalizada (se houver) e prestador;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as condições locais iniciais ou linha de base do indicador;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a conformidade das informações primárias que compõem o indicador, a partir da segunda avaliação,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 base em seus níveis de confiança, nos casos em que a informação seja idêntica à informação do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SINISA e haja teste de controle definido no guia de certificação do SINISA;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as metas progressivas definidas pelos titulares nos planos municipais de saneamento básico; 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fatores alheios à responsabilidade do prestador de serviços. </w:t>
      </w:r>
    </w:p>
    <w:p>
      <w:pPr>
        <w:autoSpaceDN w:val="0"/>
        <w:autoSpaceDE w:val="0"/>
        <w:widowControl/>
        <w:spacing w:line="276" w:lineRule="exact" w:before="124" w:after="0"/>
        <w:ind w:left="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5º O período de referência das informações será anual, de 01 de janeiro a 31 de dezembro, com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informações consolidadas na data-base do mês de dezembro do ano de referência. </w:t>
      </w:r>
    </w:p>
    <w:p>
      <w:pPr>
        <w:autoSpaceDN w:val="0"/>
        <w:autoSpaceDE w:val="0"/>
        <w:widowControl/>
        <w:spacing w:line="266" w:lineRule="exact" w:before="130" w:after="4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6º Para os casos de impedimento de cálculo dos indicadores, o relatório de avaliação de que trata o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caput </w:t>
      </w:r>
    </w:p>
    <w:p>
      <w:pPr>
        <w:sectPr>
          <w:pgSz w:w="11899" w:h="16841"/>
          <w:pgMar w:top="282" w:right="602" w:bottom="82" w:left="8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1052" w:right="0" w:firstLine="0"/>
        <w:jc w:val="left"/>
      </w:pPr>
      <w:r>
        <w:rPr>
          <w:rFonts w:ascii="ArialMT" w:hAnsi="ArialMT" w:eastAsia="ArialMT"/>
          <w:b w:val="0"/>
          <w:i w:val="0"/>
          <w:color w:val="BEBEBE"/>
          <w:sz w:val="20"/>
        </w:rPr>
        <w:t>Resolução Arsae-MG nº 205/2025 (106355599)</w:t>
      </w:r>
    </w:p>
    <w:p>
      <w:pPr>
        <w:sectPr>
          <w:type w:val="continuous"/>
          <w:pgSz w:w="11899" w:h="16841"/>
          <w:pgMar w:top="282" w:right="602" w:bottom="82" w:left="808" w:header="720" w:footer="720" w:gutter="0"/>
          <w:cols w:num="2" w:equalWidth="0">
            <w:col w:w="5524" w:space="0"/>
            <w:col w:w="4965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BEBEBE"/>
          <w:sz w:val="20"/>
        </w:rPr>
        <w:t>SEI 2440.01.0000179/2023-49 / pg. 7</w:t>
      </w:r>
    </w:p>
    <w:p>
      <w:pPr>
        <w:sectPr>
          <w:type w:val="nextColumn"/>
          <w:pgSz w:w="11899" w:h="16841"/>
          <w:pgMar w:top="282" w:right="602" w:bottom="82" w:left="808" w:header="720" w:footer="720" w:gutter="0"/>
          <w:cols w:num="2" w:equalWidth="0">
            <w:col w:w="5524" w:space="0"/>
            <w:col w:w="496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informará para cada indicador uma das seguintes justificativas: </w:t>
      </w:r>
    </w:p>
    <w:p>
      <w:pPr>
        <w:autoSpaceDN w:val="0"/>
        <w:autoSpaceDE w:val="0"/>
        <w:widowControl/>
        <w:spacing w:line="276" w:lineRule="exact" w:before="62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se devido ao não envio ou envio parcial das informações primárias, devidamente comprovado,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entidade reguladora infranacional deve classificá-lo como insatisfatório e indicar: “Insatisfatório por falta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informações para avaliação”; </w:t>
      </w:r>
    </w:p>
    <w:p>
      <w:pPr>
        <w:autoSpaceDN w:val="0"/>
        <w:autoSpaceDE w:val="0"/>
        <w:widowControl/>
        <w:spacing w:line="276" w:lineRule="exact" w:before="120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se devido à inconsistência, à não conformidade das informações primárias ou ao não cumprimento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critérios mínimos para a avaliação, definidos, quando pertinente, na ficha do indicador, devidamente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comprovado, a entidade reguladora infranacional deve classificá-lo como insatisfatório e indicar: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“Insatisfatório por falta de condições de avaliação”; e </w:t>
      </w:r>
    </w:p>
    <w:p>
      <w:pPr>
        <w:autoSpaceDN w:val="0"/>
        <w:autoSpaceDE w:val="0"/>
        <w:widowControl/>
        <w:spacing w:line="276" w:lineRule="exact" w:before="12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se devido a motivos não circunscritos ao prestador de serviços, a entidade reguladora infranacional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 validar o motivo apresentado e indicar: “Não avaliado por motivos externos ao prestador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serviços”.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6º Os demais indicadores apresentados nos contratos de prestação de serviço também poderão ser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analisados no contexto das avaliações mencionadas no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caput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120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24 Os prestadores de serviço deverão disponibilizar dados suficientes para que o titular dos serviços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abastecimento de água e esgotamento sanitário possa atualizar seu contrato e plano municipal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saneamento básico, avaliar o cumprimento das metas e indicadores operacionais, incluindo os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universalização, e atuar junto aos domicílios que não estão conectados à rede disponível de abastecimento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água e/ou coletora de esgoto. </w:t>
      </w:r>
    </w:p>
    <w:p>
      <w:pPr>
        <w:autoSpaceDN w:val="0"/>
        <w:autoSpaceDE w:val="0"/>
        <w:widowControl/>
        <w:spacing w:line="264" w:lineRule="exact" w:before="1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1º O prestador de serviços deverá disponibilizar para o titular, no mínimo, as seguintes informações: </w:t>
      </w:r>
    </w:p>
    <w:p>
      <w:pPr>
        <w:autoSpaceDN w:val="0"/>
        <w:autoSpaceDE w:val="0"/>
        <w:widowControl/>
        <w:spacing w:line="276" w:lineRule="exact" w:before="124" w:after="0"/>
        <w:ind w:left="0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Informações primárias para cálculo dos indicadores de universalização estabelecidos pela ANA, nos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moldes da base de dados RG01 - Indicadores para monitoramento das metas progressivas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universalização do ANEXO II;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Informações sobre domicílios não conectados à rede de água e/ou esgoto disponível, nos moldes da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base de dados RG02 - Domicílios não conectados à rede pública do ANEXO II; </w:t>
      </w:r>
    </w:p>
    <w:p>
      <w:pPr>
        <w:autoSpaceDN w:val="0"/>
        <w:autoSpaceDE w:val="0"/>
        <w:widowControl/>
        <w:spacing w:line="276" w:lineRule="exact" w:before="120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Informações primárias para cálculo dos demais indicadores operacionais estabelecidos pela ANA, nos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moldes da base de dados RG03 – Informações primárias para o cálculo dos indicadores operacionais do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ANEXO II;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Informações sobre a execução das obras previstas contratualmente; e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Informações complementares para verificar o cumprimento das metas estabelecidas no plano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municipal de saneamento básico.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2º As informações de que trata o inciso I do §1º devem ser disponibilizadas por setor censitário,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acordo com a área de abrangência da prestação de serviço prevista contratualmente. </w:t>
      </w:r>
    </w:p>
    <w:p>
      <w:pPr>
        <w:autoSpaceDN w:val="0"/>
        <w:autoSpaceDE w:val="0"/>
        <w:widowControl/>
        <w:spacing w:line="276" w:lineRule="exact" w:before="120" w:after="0"/>
        <w:ind w:left="0" w:right="3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3º As informações do inciso I, II e III do §1º devem ser enviadas, ao titular dos serviços e a esta agência,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conforme prazo estabelecido no ANEXO I e diretrizes estabelecidas no ANEXO III, sendo que o primeiro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envio deve ser realizado conforme nível de prioridade e o período de referência para o primeiro envio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definidos no ANEXO I. </w:t>
      </w:r>
    </w:p>
    <w:p>
      <w:pPr>
        <w:autoSpaceDN w:val="0"/>
        <w:autoSpaceDE w:val="0"/>
        <w:widowControl/>
        <w:spacing w:line="276" w:lineRule="exact" w:before="12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4º As informações regimentais não enviadas para Arsae-MG devido ao deferimento de requisição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reconhecimento de equivalência das informações, conforme tratado no art. 17, serão enviadas aos titulares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pela Arsae-MG. </w:t>
      </w:r>
    </w:p>
    <w:p>
      <w:pPr>
        <w:autoSpaceDN w:val="0"/>
        <w:autoSpaceDE w:val="0"/>
        <w:widowControl/>
        <w:spacing w:line="276" w:lineRule="exact" w:before="120" w:after="0"/>
        <w:ind w:left="0" w:right="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5º As informações dos incisos IV e V do §1º devem ser enviadas mediante solicitação do titular dos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serviços ou, no mínimo anualmente, até o final do primeiro trimestre de cada ano com informações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referentes ao ano anterior.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6º A Arsae-MG deverá ser informada sobre o envio das informações tratadas no parágrafo 5º. </w:t>
      </w:r>
    </w:p>
    <w:p>
      <w:pPr>
        <w:autoSpaceDN w:val="0"/>
        <w:autoSpaceDE w:val="0"/>
        <w:widowControl/>
        <w:spacing w:line="276" w:lineRule="exact" w:before="120" w:after="0"/>
        <w:ind w:left="0" w:right="3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7º No ato do envio das informações apresentadas no §1º para os titulares do serviço, o prestador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serviços deverá mencionar na comunicação que a disponibilização das informações foi realizada por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determinação da Arsae-MG. </w:t>
      </w:r>
    </w:p>
    <w:p>
      <w:pPr>
        <w:autoSpaceDN w:val="0"/>
        <w:autoSpaceDE w:val="0"/>
        <w:widowControl/>
        <w:spacing w:line="278" w:lineRule="exact" w:before="118" w:after="328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8º O prestador de serviços deverá publicar em seu sítio eletrônico, de modo a dar publicidade aos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usuários e à sociedade civil, informações que permitam o acompanhamento, por contrato, do cumprimento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das metas progressivas de universalização. </w:t>
      </w:r>
    </w:p>
    <w:p>
      <w:pPr>
        <w:sectPr>
          <w:pgSz w:w="11899" w:h="16841"/>
          <w:pgMar w:top="252" w:right="726" w:bottom="82" w:left="8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1048" w:right="0" w:firstLine="0"/>
        <w:jc w:val="left"/>
      </w:pPr>
      <w:r>
        <w:rPr>
          <w:rFonts w:ascii="ArialMT" w:hAnsi="ArialMT" w:eastAsia="ArialMT"/>
          <w:b w:val="0"/>
          <w:i w:val="0"/>
          <w:color w:val="BEBEBE"/>
          <w:sz w:val="20"/>
        </w:rPr>
        <w:t>Resolução Arsae-MG nº 205/2025 (106355599)</w:t>
      </w:r>
    </w:p>
    <w:p>
      <w:pPr>
        <w:sectPr>
          <w:type w:val="continuous"/>
          <w:pgSz w:w="11899" w:h="16841"/>
          <w:pgMar w:top="252" w:right="726" w:bottom="82" w:left="812" w:header="720" w:footer="720" w:gutter="0"/>
          <w:cols w:num="2" w:equalWidth="0">
            <w:col w:w="5520" w:space="0"/>
            <w:col w:w="4842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BEBEBE"/>
          <w:sz w:val="20"/>
        </w:rPr>
        <w:t>SEI 2440.01.0000179/2023-49 / pg. 8</w:t>
      </w:r>
    </w:p>
    <w:p>
      <w:pPr>
        <w:sectPr>
          <w:type w:val="nextColumn"/>
          <w:pgSz w:w="11899" w:h="16841"/>
          <w:pgMar w:top="252" w:right="726" w:bottom="82" w:left="812" w:header="720" w:footer="720" w:gutter="0"/>
          <w:cols w:num="2" w:equalWidth="0">
            <w:col w:w="5520" w:space="0"/>
            <w:col w:w="48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0" w:right="5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25 O titular dos serviços terá até 30 de junho de 2025 para incluir em seu plano de saneamento básico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os indicadores e as metas progressivas e finais para o acompanhamento dos indicadores IAA, ICA, IAE 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ICE e, até 30 de junho de 2026, para incluir os demais indicadores Nível I e suas respectivas metas. </w:t>
      </w:r>
    </w:p>
    <w:p>
      <w:pPr>
        <w:autoSpaceDN w:val="0"/>
        <w:autoSpaceDE w:val="0"/>
        <w:widowControl/>
        <w:spacing w:line="276" w:lineRule="exact" w:before="120" w:after="0"/>
        <w:ind w:left="0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1º O titular dos serviços deverá estabelecer, para o município, metas anuais, específicas, aplicáveis,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exequíveis, mensuráveis, comparáveis e facilmente identificáveis, observando os valores iniciais e linhas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base de cada indicador. </w:t>
      </w:r>
    </w:p>
    <w:p>
      <w:pPr>
        <w:autoSpaceDN w:val="0"/>
        <w:autoSpaceDE w:val="0"/>
        <w:widowControl/>
        <w:spacing w:line="276" w:lineRule="exact" w:before="120" w:after="0"/>
        <w:ind w:left="0" w:right="4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2º As metas progressivas estabelecidas deverão observar o disposto na Norma de Referência nº 8/2024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 ANA, aprovada pela Resolução ANA nº 192, de 08 de maio de 2024, na Norma de Referência nº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9/2024 da ANA, aprovada pela Resolução ANA nº 211, de 19 de setembro de 2024, e na Portaria MCID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n° 788, de 1° de agosto de 2024, ou normativos que vierem a substituí-las. </w:t>
      </w:r>
    </w:p>
    <w:p>
      <w:pPr>
        <w:autoSpaceDN w:val="0"/>
        <w:autoSpaceDE w:val="0"/>
        <w:widowControl/>
        <w:spacing w:line="276" w:lineRule="exact" w:before="120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3º O titular dos serviços deverá encaminhar à Arsae-MG, até o fim do mês de junho de cada ano,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informações referentes ao plano de saneamento básico atualizado por meio de formulário eletrônico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disponibilizado no site da agência, bem como deverá enviar o plano de saneamento básico para o e-mail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planos@arsae.mg.gov.br. </w:t>
          </w:r>
        </w:hyperlink>
      </w:r>
    </w:p>
    <w:p>
      <w:pPr>
        <w:autoSpaceDN w:val="0"/>
        <w:autoSpaceDE w:val="0"/>
        <w:widowControl/>
        <w:spacing w:line="276" w:lineRule="exact" w:before="120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4º Caso o titular dos serviços não tenha feito as alterações em seu plano de saneamento básico nos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prazos estabelecidos neste artigo, ele será incluído na relação de municípios inadimplentes com a Norma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 Referência nº 8/2024 e a Norma de Referência nº 9/2024, a ser publicada pela Arsae-MG, observando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determinação das resoluções da ANA. </w:t>
      </w:r>
    </w:p>
    <w:p>
      <w:pPr>
        <w:autoSpaceDN w:val="0"/>
        <w:autoSpaceDE w:val="0"/>
        <w:widowControl/>
        <w:spacing w:line="264" w:lineRule="exact" w:before="1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CAPÍTULO VII – DO SIGILO DAS INFORMAÇÕES </w:t>
      </w:r>
    </w:p>
    <w:p>
      <w:pPr>
        <w:autoSpaceDN w:val="0"/>
        <w:autoSpaceDE w:val="0"/>
        <w:widowControl/>
        <w:spacing w:line="276" w:lineRule="exact" w:before="120" w:after="0"/>
        <w:ind w:left="0" w:right="3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26 O prestador de serviços deverá informar a condição de sigilo das informações, a legislação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específica que determina o sigilo e o prazo de restrição da divulgação no primeiro envio de informações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rotineiras ou no ato da resposta à requisição de informações eventuais, de ajustes ou esclarecimentos. </w:t>
      </w:r>
    </w:p>
    <w:p>
      <w:pPr>
        <w:autoSpaceDN w:val="0"/>
        <w:autoSpaceDE w:val="0"/>
        <w:widowControl/>
        <w:spacing w:line="276" w:lineRule="exact" w:before="12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1º O tratamento de dados pessoais no âmbito da Arsae-MG observará o princípio da necessidade no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contexto da execução de políticas públicas previstas em leis e regulamentos, nos termos do artigo 7°,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inciso III, da Lei n° 13.079/2018 (Lei Geral de Proteção de dados – LGPD), ou legislação que venha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substituí-la, observados mecanismos que visam garantir a confidencialidade, integridade e disponibilidade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das informações, bem como o dever de transparência, em conformidade com disposto no artigo 8° da Lei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n° 12.527/2011 (Lei de Acesso à Informação), ou legislação que venha a substituí-la.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2º As informações enviadas que não atenderem às especificações descritas no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caput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serão consideradas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incompletas e são passíveis de sanções. </w:t>
      </w:r>
    </w:p>
    <w:p>
      <w:pPr>
        <w:autoSpaceDN w:val="0"/>
        <w:autoSpaceDE w:val="0"/>
        <w:widowControl/>
        <w:spacing w:line="276" w:lineRule="exact" w:before="120" w:after="0"/>
        <w:ind w:left="0" w:right="3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27 As informações solicitadas pela ANA via sistema de monitoramento serão prontamente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disponibilizadas por esta agência para o cumprimento dos requisitos estabelecidos por ela através de suas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normas de referência. 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CAPÍTULO VIII – DAS DISPOSIÇÕES FINAIS </w:t>
      </w:r>
    </w:p>
    <w:p>
      <w:pPr>
        <w:autoSpaceDN w:val="0"/>
        <w:autoSpaceDE w:val="0"/>
        <w:widowControl/>
        <w:spacing w:line="276" w:lineRule="exact" w:before="120" w:after="0"/>
        <w:ind w:left="0" w:right="3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28 A Arsae-MG editará normativo específico para tratar das soluções alternativas às redes públicas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abastecimento de água e esgotamento sanitário, bem como das informações correlatas ao tema a serem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enviadas ao titular de serviços e a esta agência. </w:t>
      </w:r>
    </w:p>
    <w:p>
      <w:pPr>
        <w:autoSpaceDN w:val="0"/>
        <w:autoSpaceDE w:val="0"/>
        <w:widowControl/>
        <w:spacing w:line="278" w:lineRule="exact" w:before="118" w:after="0"/>
        <w:ind w:left="0" w:right="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29 O disposto nesta resolução não desobriga o prestador de serviços do cumprimento de outras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resoluções da Arsae-MG, inclusive aquelas relacionadas ao envio de informações, desde que não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contrariem as disposições da presente norma.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30 O prestador de serviços deverá manter cópia dos documentos enviados por, pelo menos, 10 (dez)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anos.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Parágrafo único. O prazo disposto no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caput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 ser adotado até que sejam previstos novos prazos no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plano de classificação e tabelas de temporalidade de documentos da Arsae-MG. </w:t>
      </w:r>
    </w:p>
    <w:p>
      <w:pPr>
        <w:autoSpaceDN w:val="0"/>
        <w:autoSpaceDE w:val="0"/>
        <w:widowControl/>
        <w:spacing w:line="276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31 Os anexos desta resolução serão publicados na íntegra no sítio eletrônico da Arsae-MG, no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endereço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 www.arsae.mg.gov.br. </w:t>
          </w:r>
        </w:hyperlink>
      </w:r>
    </w:p>
    <w:p>
      <w:pPr>
        <w:autoSpaceDN w:val="0"/>
        <w:autoSpaceDE w:val="0"/>
        <w:widowControl/>
        <w:spacing w:line="276" w:lineRule="exact" w:before="120" w:after="236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32 Fica acrescida à Tabela 2 do Anexo da Resolução Arsae-MG n° 133/2019, no grupo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Gerenciamento de Informações, a não conformidade de código NC-77, referente à conduta de deixar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cumprir as metas progressivas, intermediárias ou finais, de indicadores operacionais, incluindo os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universalização de abastecimento de água e de esgotamento sanitário previstas em contrato. </w:t>
      </w:r>
    </w:p>
    <w:p>
      <w:pPr>
        <w:sectPr>
          <w:pgSz w:w="11899" w:h="16841"/>
          <w:pgMar w:top="252" w:right="724" w:bottom="82" w:left="8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1048" w:right="0" w:firstLine="0"/>
        <w:jc w:val="left"/>
      </w:pPr>
      <w:r>
        <w:rPr>
          <w:rFonts w:ascii="ArialMT" w:hAnsi="ArialMT" w:eastAsia="ArialMT"/>
          <w:b w:val="0"/>
          <w:i w:val="0"/>
          <w:color w:val="BEBEBE"/>
          <w:sz w:val="20"/>
        </w:rPr>
        <w:t>Resolução Arsae-MG nº 205/2025 (106355599)</w:t>
      </w:r>
    </w:p>
    <w:p>
      <w:pPr>
        <w:sectPr>
          <w:type w:val="continuous"/>
          <w:pgSz w:w="11899" w:h="16841"/>
          <w:pgMar w:top="252" w:right="724" w:bottom="82" w:left="812" w:header="720" w:footer="720" w:gutter="0"/>
          <w:cols w:num="2" w:equalWidth="0">
            <w:col w:w="5520" w:space="0"/>
            <w:col w:w="4843" w:space="0"/>
          </w:cols>
          <w:docGrid w:linePitch="360"/>
        </w:sectPr>
      </w:pPr>
    </w:p>
    <w:p>
      <w:pPr>
        <w:autoSpaceDN w:val="0"/>
        <w:autoSpaceDE w:val="0"/>
        <w:widowControl/>
        <w:spacing w:line="222" w:lineRule="exact" w:before="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BEBEBE"/>
          <w:sz w:val="20"/>
        </w:rPr>
        <w:t>SEI 2440.01.0000179/2023-49 / pg. 9</w:t>
      </w:r>
    </w:p>
    <w:p>
      <w:pPr>
        <w:sectPr>
          <w:type w:val="nextColumn"/>
          <w:pgSz w:w="11899" w:h="16841"/>
          <w:pgMar w:top="252" w:right="724" w:bottom="82" w:left="812" w:header="720" w:footer="720" w:gutter="0"/>
          <w:cols w:num="2" w:equalWidth="0">
            <w:col w:w="5520" w:space="0"/>
            <w:col w:w="484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461009</wp:posOffset>
            </wp:positionH>
            <wp:positionV relativeFrom="page">
              <wp:posOffset>8173720</wp:posOffset>
            </wp:positionV>
            <wp:extent cx="845820" cy="570216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57021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762000</wp:posOffset>
            </wp:positionH>
            <wp:positionV relativeFrom="page">
              <wp:posOffset>8420100</wp:posOffset>
            </wp:positionV>
            <wp:extent cx="38100" cy="381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571500</wp:posOffset>
            </wp:positionH>
            <wp:positionV relativeFrom="page">
              <wp:posOffset>8420100</wp:posOffset>
            </wp:positionV>
            <wp:extent cx="38100" cy="381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</wp:posOffset>
            </wp:positionH>
            <wp:positionV relativeFrom="page">
              <wp:posOffset>8394700</wp:posOffset>
            </wp:positionV>
            <wp:extent cx="38100" cy="381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609600</wp:posOffset>
            </wp:positionH>
            <wp:positionV relativeFrom="page">
              <wp:posOffset>8343900</wp:posOffset>
            </wp:positionV>
            <wp:extent cx="50800" cy="381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812800</wp:posOffset>
            </wp:positionH>
            <wp:positionV relativeFrom="page">
              <wp:posOffset>8305800</wp:posOffset>
            </wp:positionV>
            <wp:extent cx="38100" cy="38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800100</wp:posOffset>
            </wp:positionH>
            <wp:positionV relativeFrom="page">
              <wp:posOffset>8280400</wp:posOffset>
            </wp:positionV>
            <wp:extent cx="38100" cy="381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685800</wp:posOffset>
            </wp:positionH>
            <wp:positionV relativeFrom="page">
              <wp:posOffset>8280400</wp:posOffset>
            </wp:positionV>
            <wp:extent cx="50800" cy="381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</wp:posOffset>
            </wp:positionH>
            <wp:positionV relativeFrom="page">
              <wp:posOffset>8280400</wp:posOffset>
            </wp:positionV>
            <wp:extent cx="38100" cy="381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812800</wp:posOffset>
            </wp:positionH>
            <wp:positionV relativeFrom="page">
              <wp:posOffset>8267700</wp:posOffset>
            </wp:positionV>
            <wp:extent cx="38100" cy="381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8255000</wp:posOffset>
            </wp:positionV>
            <wp:extent cx="76200" cy="508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</wp:posOffset>
            </wp:positionH>
            <wp:positionV relativeFrom="page">
              <wp:posOffset>8255000</wp:posOffset>
            </wp:positionV>
            <wp:extent cx="38100" cy="381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1117600</wp:posOffset>
            </wp:positionH>
            <wp:positionV relativeFrom="page">
              <wp:posOffset>8597900</wp:posOffset>
            </wp:positionV>
            <wp:extent cx="38100" cy="381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1016000</wp:posOffset>
            </wp:positionH>
            <wp:positionV relativeFrom="page">
              <wp:posOffset>8585200</wp:posOffset>
            </wp:positionV>
            <wp:extent cx="38100" cy="381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8585200</wp:posOffset>
            </wp:positionV>
            <wp:extent cx="38100" cy="381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1168400</wp:posOffset>
            </wp:positionH>
            <wp:positionV relativeFrom="page">
              <wp:posOffset>8572500</wp:posOffset>
            </wp:positionV>
            <wp:extent cx="50800" cy="381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1066800</wp:posOffset>
            </wp:positionH>
            <wp:positionV relativeFrom="page">
              <wp:posOffset>8572500</wp:posOffset>
            </wp:positionV>
            <wp:extent cx="88900" cy="381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990600</wp:posOffset>
            </wp:positionH>
            <wp:positionV relativeFrom="page">
              <wp:posOffset>8534400</wp:posOffset>
            </wp:positionV>
            <wp:extent cx="63500" cy="762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8534400</wp:posOffset>
            </wp:positionV>
            <wp:extent cx="38100" cy="381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8496300</wp:posOffset>
            </wp:positionV>
            <wp:extent cx="38100" cy="508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8496300</wp:posOffset>
            </wp:positionV>
            <wp:extent cx="38100" cy="381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952500</wp:posOffset>
            </wp:positionH>
            <wp:positionV relativeFrom="page">
              <wp:posOffset>8445500</wp:posOffset>
            </wp:positionV>
            <wp:extent cx="38100" cy="381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1003300</wp:posOffset>
            </wp:positionH>
            <wp:positionV relativeFrom="page">
              <wp:posOffset>8432800</wp:posOffset>
            </wp:positionV>
            <wp:extent cx="38100" cy="762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8420100</wp:posOffset>
            </wp:positionV>
            <wp:extent cx="38100" cy="508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965200</wp:posOffset>
            </wp:positionH>
            <wp:positionV relativeFrom="page">
              <wp:posOffset>8394700</wp:posOffset>
            </wp:positionV>
            <wp:extent cx="38100" cy="381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1016000</wp:posOffset>
            </wp:positionH>
            <wp:positionV relativeFrom="page">
              <wp:posOffset>8369300</wp:posOffset>
            </wp:positionV>
            <wp:extent cx="38100" cy="508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1028700</wp:posOffset>
            </wp:positionH>
            <wp:positionV relativeFrom="page">
              <wp:posOffset>8331200</wp:posOffset>
            </wp:positionV>
            <wp:extent cx="38100" cy="508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1181100</wp:posOffset>
            </wp:positionH>
            <wp:positionV relativeFrom="page">
              <wp:posOffset>8318500</wp:posOffset>
            </wp:positionV>
            <wp:extent cx="38100" cy="635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8318500</wp:posOffset>
            </wp:positionV>
            <wp:extent cx="38100" cy="381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8191500</wp:posOffset>
            </wp:positionV>
            <wp:extent cx="38100" cy="381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1092200</wp:posOffset>
            </wp:positionH>
            <wp:positionV relativeFrom="page">
              <wp:posOffset>8191500</wp:posOffset>
            </wp:positionV>
            <wp:extent cx="50800" cy="381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480059</wp:posOffset>
            </wp:positionH>
            <wp:positionV relativeFrom="page">
              <wp:posOffset>8897620</wp:posOffset>
            </wp:positionV>
            <wp:extent cx="775970" cy="77597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7759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965200</wp:posOffset>
            </wp:positionH>
            <wp:positionV relativeFrom="page">
              <wp:posOffset>9512300</wp:posOffset>
            </wp:positionV>
            <wp:extent cx="50800" cy="381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1016000</wp:posOffset>
            </wp:positionH>
            <wp:positionV relativeFrom="page">
              <wp:posOffset>9321800</wp:posOffset>
            </wp:positionV>
            <wp:extent cx="50800" cy="381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927100</wp:posOffset>
            </wp:positionH>
            <wp:positionV relativeFrom="page">
              <wp:posOffset>9169400</wp:posOffset>
            </wp:positionV>
            <wp:extent cx="50800" cy="381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787400</wp:posOffset>
            </wp:positionH>
            <wp:positionV relativeFrom="page">
              <wp:posOffset>9169400</wp:posOffset>
            </wp:positionV>
            <wp:extent cx="38100" cy="381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787400</wp:posOffset>
            </wp:positionH>
            <wp:positionV relativeFrom="page">
              <wp:posOffset>9055100</wp:posOffset>
            </wp:positionV>
            <wp:extent cx="38100" cy="381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711200</wp:posOffset>
            </wp:positionH>
            <wp:positionV relativeFrom="page">
              <wp:posOffset>8978900</wp:posOffset>
            </wp:positionV>
            <wp:extent cx="38100" cy="7620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1117600</wp:posOffset>
            </wp:positionH>
            <wp:positionV relativeFrom="page">
              <wp:posOffset>9537700</wp:posOffset>
            </wp:positionV>
            <wp:extent cx="25400" cy="2540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0" w:lineRule="exact" w:before="0" w:after="0"/>
        <w:ind w:left="1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1º A não conformidade apresentada no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caput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será considerada gravíssima e o prazo para envio de ação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corretiva será médio (90 dias úteis). </w:t>
      </w:r>
    </w:p>
    <w:p>
      <w:pPr>
        <w:autoSpaceDN w:val="0"/>
        <w:autoSpaceDE w:val="0"/>
        <w:widowControl/>
        <w:spacing w:line="276" w:lineRule="exact" w:before="120" w:after="0"/>
        <w:ind w:left="132" w:right="9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2º Para eventuais cálculos sancionatórios, a abrangência da NC-77 será calculada pela razão entre 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número de economias na localidade fiscalizada e o número de economias na área de concessão no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município. </w:t>
      </w:r>
    </w:p>
    <w:p>
      <w:pPr>
        <w:autoSpaceDN w:val="0"/>
        <w:autoSpaceDE w:val="0"/>
        <w:widowControl/>
        <w:spacing w:line="276" w:lineRule="exact" w:before="120" w:after="0"/>
        <w:ind w:left="1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33 A Resolução Arsae-MG nº 129, de 11 de novembro de 2019, passa a vigorar com as seguintes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alterações: </w:t>
      </w:r>
    </w:p>
    <w:p>
      <w:pPr>
        <w:autoSpaceDN w:val="0"/>
        <w:autoSpaceDE w:val="0"/>
        <w:widowControl/>
        <w:spacing w:line="266" w:lineRule="exact" w:before="130" w:after="0"/>
        <w:ind w:left="1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“Art. 5º ............................................................ </w:t>
      </w:r>
    </w:p>
    <w:p>
      <w:pPr>
        <w:autoSpaceDN w:val="0"/>
        <w:autoSpaceDE w:val="0"/>
        <w:widowControl/>
        <w:spacing w:line="276" w:lineRule="exact" w:before="120" w:after="0"/>
        <w:ind w:left="132" w:right="9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Parágrafo único. Os prestadores de serviço deverão comunicar à Arsae-MG, em até 30 (trinta) dias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corridos após a vigência desta resolução ou sempre que houver atualizações, os agentes responsáveis por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fornecer, de modo imediato quando requisitados, informações acerca da data, local, período e motivo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paralisações emergenciais na prestação dos serviços de abastecimento de água. </w:t>
      </w:r>
    </w:p>
    <w:p>
      <w:pPr>
        <w:autoSpaceDN w:val="0"/>
        <w:autoSpaceDE w:val="0"/>
        <w:widowControl/>
        <w:spacing w:line="264" w:lineRule="exact" w:before="132" w:after="0"/>
        <w:ind w:left="1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6º ............................................................ </w:t>
      </w:r>
    </w:p>
    <w:p>
      <w:pPr>
        <w:autoSpaceDN w:val="0"/>
        <w:autoSpaceDE w:val="0"/>
        <w:widowControl/>
        <w:spacing w:line="276" w:lineRule="exact" w:before="120" w:after="0"/>
        <w:ind w:left="1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3º As comunicações de paralisações programadas e emergenciais enviadas aos usuários via correio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eletrônico devem ser encaminhadas também para a agência.” </w:t>
      </w:r>
    </w:p>
    <w:p>
      <w:pPr>
        <w:autoSpaceDN w:val="0"/>
        <w:autoSpaceDE w:val="0"/>
        <w:widowControl/>
        <w:spacing w:line="276" w:lineRule="exact" w:before="120" w:after="0"/>
        <w:ind w:left="13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34 A Resolução Arsae-MG nº 110, de 28 de junho de 2018, passa a vigorar com as seguintes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alterações: </w:t>
      </w:r>
    </w:p>
    <w:p>
      <w:pPr>
        <w:autoSpaceDN w:val="0"/>
        <w:autoSpaceDE w:val="0"/>
        <w:widowControl/>
        <w:spacing w:line="264" w:lineRule="exact" w:before="132" w:after="0"/>
        <w:ind w:left="1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“Art. 2º ............................................................ </w:t>
      </w:r>
    </w:p>
    <w:p>
      <w:pPr>
        <w:autoSpaceDN w:val="0"/>
        <w:autoSpaceDE w:val="0"/>
        <w:widowControl/>
        <w:spacing w:line="276" w:lineRule="exact" w:before="124" w:after="0"/>
        <w:ind w:left="132" w:right="9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6º A partir de 2027, o reconhecimento tarifário dos repasses aos fundos municipais de saneamento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básico de que trata o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caput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está condicionado à inclusão dos indicadores operacionais do Nível I e suas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respectivas metas progressivas, incluindo os indicadores de universalização, no Plano Municipal 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Saneamento Básico, conforme Resolução ANA n° 192, de 08 de maio de 2024.” </w:t>
      </w:r>
    </w:p>
    <w:p>
      <w:pPr>
        <w:autoSpaceDN w:val="0"/>
        <w:autoSpaceDE w:val="0"/>
        <w:widowControl/>
        <w:spacing w:line="266" w:lineRule="exact" w:before="130" w:after="0"/>
        <w:ind w:left="1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35 Revogam-se as seguintes resoluções: </w:t>
      </w:r>
    </w:p>
    <w:p>
      <w:pPr>
        <w:autoSpaceDN w:val="0"/>
        <w:autoSpaceDE w:val="0"/>
        <w:widowControl/>
        <w:spacing w:line="266" w:lineRule="exact" w:before="130" w:after="0"/>
        <w:ind w:left="1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Resolução Arsae-MG nº 88, de 7 de novembro de 2016. </w:t>
      </w:r>
    </w:p>
    <w:p>
      <w:pPr>
        <w:autoSpaceDN w:val="0"/>
        <w:autoSpaceDE w:val="0"/>
        <w:widowControl/>
        <w:spacing w:line="266" w:lineRule="exact" w:before="130" w:after="0"/>
        <w:ind w:left="1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Resolução Arsae-MG nº 114, de 27 de setembro de 2018. </w:t>
      </w:r>
    </w:p>
    <w:p>
      <w:pPr>
        <w:autoSpaceDN w:val="0"/>
        <w:autoSpaceDE w:val="0"/>
        <w:widowControl/>
        <w:spacing w:line="276" w:lineRule="exact" w:before="120" w:after="0"/>
        <w:ind w:left="1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1º Ficam mantidos os envios de informações eventuais solicitadas com base na Resolução Arsae-MG nº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114/2018 que ainda não tenham findado seu prazo de entrega até a publicação desta resolução. </w:t>
      </w:r>
    </w:p>
    <w:p>
      <w:pPr>
        <w:autoSpaceDN w:val="0"/>
        <w:autoSpaceDE w:val="0"/>
        <w:widowControl/>
        <w:spacing w:line="276" w:lineRule="exact" w:before="120" w:after="0"/>
        <w:ind w:left="1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§ 2º Ficam mantidos os envios de outras informações requisitadas por outras resoluções ou instrumentos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oficiais que não estejam contempladas nesta resolução. </w:t>
      </w:r>
    </w:p>
    <w:p>
      <w:pPr>
        <w:autoSpaceDN w:val="0"/>
        <w:autoSpaceDE w:val="0"/>
        <w:widowControl/>
        <w:spacing w:line="266" w:lineRule="exact" w:before="130" w:after="0"/>
        <w:ind w:left="1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Art. 36 Esta resolução entra em vigor em 01 de fevereiro de 2025. </w:t>
      </w:r>
    </w:p>
    <w:p>
      <w:pPr>
        <w:autoSpaceDN w:val="0"/>
        <w:autoSpaceDE w:val="0"/>
        <w:widowControl/>
        <w:spacing w:line="266" w:lineRule="exact" w:before="130" w:after="0"/>
        <w:ind w:left="1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Belo Horizonte, 30 de janeiro de 2025. </w:t>
      </w:r>
    </w:p>
    <w:p>
      <w:pPr>
        <w:autoSpaceDN w:val="0"/>
        <w:autoSpaceDE w:val="0"/>
        <w:widowControl/>
        <w:spacing w:line="266" w:lineRule="exact" w:before="52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DEBORAH CARVALHO </w:t>
      </w:r>
    </w:p>
    <w:p>
      <w:pPr>
        <w:autoSpaceDN w:val="0"/>
        <w:autoSpaceDE w:val="0"/>
        <w:widowControl/>
        <w:spacing w:line="266" w:lineRule="exact" w:before="1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Diretora-Geral em exercício </w:t>
      </w:r>
    </w:p>
    <w:p>
      <w:pPr>
        <w:autoSpaceDN w:val="0"/>
        <w:autoSpaceDE w:val="0"/>
        <w:widowControl/>
        <w:spacing w:line="240" w:lineRule="auto" w:before="516" w:after="14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929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5280"/>
        <w:gridCol w:w="5280"/>
      </w:tblGrid>
      <w:tr>
        <w:trPr>
          <w:trHeight w:hRule="exact" w:val="302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6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Documento assinado eletronicamente por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Deborah Aparecida Alves de Carvalho Pereira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Diretor (a)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, </w:t>
            </w:r>
          </w:p>
        </w:tc>
      </w:tr>
    </w:tbl>
    <w:p>
      <w:pPr>
        <w:autoSpaceDN w:val="0"/>
        <w:autoSpaceDE w:val="0"/>
        <w:widowControl/>
        <w:spacing w:line="246" w:lineRule="exact" w:before="0" w:after="0"/>
        <w:ind w:left="142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em 30/01/2025, às 11:02, conforme horário oficial de Brasília, com fundamento no art. 6º, § 1º, do </w:t>
      </w:r>
      <w:r>
        <w:rPr>
          <w:u w:val="single" w:color="0000ec"/>
          <w:rFonts w:ascii="TimesNewRomanPSMT" w:hAnsi="TimesNewRomanPSMT" w:eastAsia="TimesNewRomanPSMT"/>
          <w:b w:val="0"/>
          <w:i w:val="0"/>
          <w:color w:val="0000ED"/>
          <w:sz w:val="21"/>
        </w:rPr>
        <w:hyperlink r:id="rId16" w:history="1">
          <w:r>
            <w:rPr>
              <w:rStyle w:val="Hyperlink"/>
            </w:rPr>
            <w:t>Decreto nº 47.222, de 26 de julho de 2017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ED"/>
          <w:sz w:val="21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. </w:t>
      </w:r>
    </w:p>
    <w:p>
      <w:pPr>
        <w:autoSpaceDN w:val="0"/>
        <w:autoSpaceDE w:val="0"/>
        <w:widowControl/>
        <w:spacing w:line="240" w:lineRule="auto" w:before="14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92900" cy="25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8" w:lineRule="exact" w:before="218" w:after="0"/>
        <w:ind w:left="1380" w:right="40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A autenticidade deste documento pode ser conferida no site </w:t>
      </w:r>
      <w:r>
        <w:br/>
      </w:r>
      <w:r>
        <w:rPr>
          <w:u w:val="single" w:color="0000ec"/>
          <w:rFonts w:ascii="TimesNewRomanPSMT" w:hAnsi="TimesNewRomanPSMT" w:eastAsia="TimesNewRomanPSMT"/>
          <w:b w:val="0"/>
          <w:i w:val="0"/>
          <w:color w:val="0000ED"/>
          <w:sz w:val="21"/>
        </w:rPr>
        <w:hyperlink r:id="rId18" w:history="1">
          <w:r>
            <w:rPr>
              <w:rStyle w:val="Hyperlink"/>
            </w:rPr>
            <w:t>http://sei.mg.gov.br/sei/controlador_externo.php?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ED"/>
          <w:sz w:val="21"/>
        </w:rPr>
        <w:t xml:space="preserve"> </w:t>
      </w:r>
    </w:p>
    <w:p>
      <w:pPr>
        <w:autoSpaceDN w:val="0"/>
        <w:autoSpaceDE w:val="0"/>
        <w:widowControl/>
        <w:spacing w:line="250" w:lineRule="exact" w:before="2" w:after="0"/>
        <w:ind w:left="1380" w:right="144" w:firstLine="0"/>
        <w:jc w:val="left"/>
      </w:pPr>
      <w:r>
        <w:rPr>
          <w:u w:val="single" w:color="0000ec"/>
          <w:rFonts w:ascii="TimesNewRomanPSMT" w:hAnsi="TimesNewRomanPSMT" w:eastAsia="TimesNewRomanPSMT"/>
          <w:b w:val="0"/>
          <w:i w:val="0"/>
          <w:color w:val="0000ED"/>
          <w:sz w:val="21"/>
        </w:rPr>
        <w:hyperlink r:id="rId18" w:history="1">
          <w:r>
            <w:rPr>
              <w:rStyle w:val="Hyperlink"/>
            </w:rPr>
            <w:t>acao=documento_conferir&amp;id_orgao_acesso_externo=0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hyperlink r:id="rId18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informando o código verificador </w:t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106355599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o código CRC </w:t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>E68EEFAC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. </w:t>
      </w:r>
    </w:p>
    <w:p>
      <w:pPr>
        <w:autoSpaceDN w:val="0"/>
        <w:autoSpaceDE w:val="0"/>
        <w:widowControl/>
        <w:spacing w:line="240" w:lineRule="auto" w:before="18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67500" cy="25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310"/>
        <w:sectPr>
          <w:pgSz w:w="11899" w:h="16841"/>
          <w:pgMar w:top="282" w:right="658" w:bottom="8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3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Referência: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Processo nº 2440.01.0000179/2023-49 </w:t>
      </w:r>
    </w:p>
    <w:p>
      <w:pPr>
        <w:autoSpaceDN w:val="0"/>
        <w:autoSpaceDE w:val="0"/>
        <w:widowControl/>
        <w:spacing w:line="222" w:lineRule="exact" w:before="540" w:after="0"/>
        <w:ind w:left="1180" w:right="0" w:firstLine="0"/>
        <w:jc w:val="left"/>
      </w:pPr>
      <w:r>
        <w:rPr>
          <w:rFonts w:ascii="ArialMT" w:hAnsi="ArialMT" w:eastAsia="ArialMT"/>
          <w:b w:val="0"/>
          <w:i w:val="0"/>
          <w:color w:val="BEBEBE"/>
          <w:sz w:val="20"/>
        </w:rPr>
        <w:t>Resolução Arsae-MG nº 205/2025 (106355599)</w:t>
      </w:r>
    </w:p>
    <w:p>
      <w:pPr>
        <w:sectPr>
          <w:type w:val="continuous"/>
          <w:pgSz w:w="11899" w:h="16841"/>
          <w:pgMar w:top="282" w:right="658" w:bottom="82" w:left="680" w:header="720" w:footer="720" w:gutter="0"/>
          <w:cols w:num="2" w:equalWidth="0">
            <w:col w:w="5652" w:space="0"/>
            <w:col w:w="491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SEI nº 106355599 </w:t>
      </w:r>
    </w:p>
    <w:p>
      <w:pPr>
        <w:autoSpaceDN w:val="0"/>
        <w:autoSpaceDE w:val="0"/>
        <w:widowControl/>
        <w:spacing w:line="222" w:lineRule="exact" w:before="540" w:after="0"/>
        <w:ind w:left="260" w:right="0" w:firstLine="0"/>
        <w:jc w:val="left"/>
      </w:pPr>
      <w:r>
        <w:rPr>
          <w:rFonts w:ascii="ArialMT" w:hAnsi="ArialMT" w:eastAsia="ArialMT"/>
          <w:b w:val="0"/>
          <w:i w:val="0"/>
          <w:color w:val="BEBEBE"/>
          <w:sz w:val="20"/>
        </w:rPr>
        <w:t>SEI 2440.01.0000179/2023-49 / pg. 10</w:t>
      </w:r>
    </w:p>
    <w:sectPr w:rsidR="00FC693F" w:rsidRPr="0006063C" w:rsidSect="00034616">
      <w:type w:val="nextColumn"/>
      <w:pgSz w:w="11899" w:h="16841"/>
      <w:pgMar w:top="282" w:right="658" w:bottom="82" w:left="680" w:header="720" w:footer="720" w:gutter="0"/>
      <w:cols w:num="2" w:equalWidth="0">
        <w:col w:w="5652" w:space="0"/>
        <w:col w:w="491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contratos@arsae.mg.gov.br" TargetMode="External"/><Relationship Id="rId11" Type="http://schemas.openxmlformats.org/officeDocument/2006/relationships/hyperlink" Target="https://www.arsae.mg.gov.br/wp-content/uploads/2025/03/205_2025_errata.pdf" TargetMode="External"/><Relationship Id="rId12" Type="http://schemas.openxmlformats.org/officeDocument/2006/relationships/hyperlink" Target="mailto:planos@arsae.mg.gov.br" TargetMode="External"/><Relationship Id="rId13" Type="http://schemas.openxmlformats.org/officeDocument/2006/relationships/hyperlink" Target="http://www.arsae.mg.gov.br/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s://www.almg.gov.br/consulte/legislacao/completa/completa.html?tipo=DEC&amp;num=47222&amp;comp&amp;ano=2017" TargetMode="External"/><Relationship Id="rId17" Type="http://schemas.openxmlformats.org/officeDocument/2006/relationships/image" Target="media/image4.png"/><Relationship Id="rId18" Type="http://schemas.openxmlformats.org/officeDocument/2006/relationships/hyperlink" Target="http://sei.mg.gov.br/sei/controlador_externo.php?acao=documento_conferir&amp;id_orgao_acesso_externo=0" TargetMode="External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