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752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75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 </w:t>
      </w:r>
    </w:p>
    <w:p>
      <w:pPr>
        <w:autoSpaceDN w:val="0"/>
        <w:autoSpaceDE w:val="0"/>
        <w:widowControl/>
        <w:spacing w:line="197" w:lineRule="auto" w:before="550" w:after="0"/>
        <w:ind w:left="0" w:right="1796" w:firstLine="0"/>
        <w:jc w:val="righ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Resolução Arsae-MG nº </w:t>
      </w:r>
      <w:r>
        <w:rPr>
          <w:rFonts w:ascii="Calibri" w:hAnsi="Calibri" w:eastAsia="Calibri"/>
          <w:b/>
          <w:i w:val="0"/>
          <w:color w:val="000000"/>
          <w:sz w:val="22"/>
          <w:highlight w:val="yellow"/>
        </w:rPr>
        <w:t>###, de ## de #####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de 2025 </w:t>
      </w:r>
    </w:p>
    <w:p>
      <w:pPr>
        <w:autoSpaceDN w:val="0"/>
        <w:autoSpaceDE w:val="0"/>
        <w:widowControl/>
        <w:spacing w:line="245" w:lineRule="auto" w:before="168" w:after="0"/>
        <w:ind w:left="4568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Estabelece condições para prestação de serviços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públicos de abastecimento de água e de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 por meio de soluções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/>
          <w:i w:val="0"/>
          <w:color w:val="000000"/>
          <w:sz w:val="22"/>
          <w:highlight w:val="yellow"/>
        </w:rPr>
        <w:t>A DIRETORA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-GERAL DA AGÊNCIA REGULADORA DE SERVIÇOS DE ABASTECIMENTO DE ÁGUA </w:t>
      </w:r>
      <w:r>
        <w:rPr>
          <w:rFonts w:ascii="Calibri" w:hAnsi="Calibri" w:eastAsia="Calibri"/>
          <w:b/>
          <w:i w:val="0"/>
          <w:color w:val="000000"/>
          <w:sz w:val="22"/>
        </w:rPr>
        <w:t>E DE ESGOTAMENTO SANITÁRIO DO ESTADO DE MINAS GERAIS (ARSAE-MG)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no uso de suas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atribuições legais previstas na Lei Estadual nº 18.309, de 3 de agosto de 2009, e no Decreto Estadual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nº 47.884, de 13 de março de 2020, atendendo a decisão da Diretoria Colegiada;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Considerando que é facultado à entidade reguladora prever hipóteses em que o prestador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poderá utilizar métodos alternativos e descentralizados para os serviços de abastecimento de água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coleta e tratamento de esgoto em áreas rurais, remotas ou em núcleos urbanos informais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consolidados, sem prejuízo da sua cobrança, com vistas a garantir a economicidade da prestação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serviços públicos de saneamento básico, conforme Lei Federal nº 11.445, de 5 de janeiro de 2007, art. </w:t>
      </w:r>
    </w:p>
    <w:p>
      <w:pPr>
        <w:autoSpaceDN w:val="0"/>
        <w:autoSpaceDE w:val="0"/>
        <w:widowControl/>
        <w:spacing w:line="197" w:lineRule="auto" w:before="4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11-B, § 4º;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Considerando que é objetivo da regulação estabelecer padrões e normas para a adequada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e a expansão da qualidade dos serviços e para a satisfação dos usuários, com observação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das normas de referência editadas pela Agência Nacional de Águas e Saneamento Básico – ANA,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Lei Federal nº 11.445, de 5 de janeiro de 2007, art. 22, inciso I;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Considerando que as entidades reguladoras devem publicar normativo que contenha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previsão de solução alternativa adequada utilizada na ausência de disponibilidade de redes públicas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abastecimento de água ou esgotamento sanitário, conforme a Norma de Referência nº 8, art. 20,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1º, aprovada pela Resolução ANA nº 192, de 8 de maio de 2024;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RESOLVE: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I – DO OBJETO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1º Esta resolução estabelece condições para prestação de serviços de abastecimento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água e de esgotamento sanitário por meio de soluções alternativas, sejam individuais ou coletivas,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quando configuradas como serviço público ou ações de saneamento básico de responsabilidade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privada.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As soluções alternativas implantadas nas situações dispostas no Art. 3º e Art. 4º desta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resolução se configuram serviço público, exceto quando houver previsão em contrário em contrato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do serviço, regulamento de prestação direta ou ato do titular.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Nos casos não abrangidos pelo § 1º, as soluções alternativas configuram ação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saneamento básico de responsabilidade privada.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Não faz parte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do objeto desta resolução a regulação de aspectos ambientais, urbanísticos,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uso e ocupação do solo, de gestão de recursos hídricos e de vigilância sanitária referente às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 de abastecimento de água e de esgotamento sanitário ou às ações de saneamento básico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responsabilidade privada. </w:t>
      </w:r>
    </w:p>
    <w:p>
      <w:pPr>
        <w:autoSpaceDN w:val="0"/>
        <w:autoSpaceDE w:val="0"/>
        <w:widowControl/>
        <w:spacing w:line="245" w:lineRule="auto" w:before="166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A prestação dos serviços para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comunidades indígenas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deverá observar as diretrizes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Subsistema de Atenção à Saúde Indígena – SasiSUS – para o Distrito Sanitário Especial Indígena – DSEI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– e ser articulada com unidades básicas de saúde indígenas, polos-base e Casas de Saúde Indígena –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CASAI. </w:t>
      </w:r>
    </w:p>
    <w:p>
      <w:pPr>
        <w:autoSpaceDN w:val="0"/>
        <w:autoSpaceDE w:val="0"/>
        <w:widowControl/>
        <w:spacing w:line="245" w:lineRule="auto" w:before="9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II – DAS DEFINIÇÕES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2º Para fins desta resolução, consideram-se as seguintes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definições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ação de saneamento básico de responsabilidade privada: ação executada por meio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 em que o usuário não depende de prestador de serviços públicos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 ou de esgotamento sanitário;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área de abrangência: área geográfica definida no contrato de prestação do serviço,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outro instrumento legalmente admitido, na qual o prestador obriga-se a prestar os serviços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 ou de esgotamento sanitário, considerados de forma individual ou conjunta;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áreas elegíveis para prestação de serviços por meio de soluções alternativas: áreas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atendem ao disposto no Art. 7º, nas quais é permitida ou exigida a implantação de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cadeia de valor de solução alternativa de abastecimento de água: conjunto de atividades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que garantem a prestação do serviço de abastecimento de água por meio de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adequadas, abrangendo as seguintes etapas: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captação: obtenção da água a partir de manancial superficial ou subterrâneo;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adução: transporte da água bruta entre as unidades de captação, tratamento,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armazenamento e distribuição;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c) armazenamento: acumulação da água captada de forma segura para garantia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disponibilidade contínua;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d) tratamento: utilização de processos físicos, químicos ou biológicos utilizados para tornar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água potável e segura para consumo humano e adequação dos lodos e outros resíduos, se houver,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para destinação final ambientalmente adequada;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e) distribuição: transporte e disponibilização da água tratada até as instalações prediais.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cadeia de valor de solução alternativa de esgotamento sanitário: conjunto de atividades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que garantem a prestação do serviço de esgotamento sanitário por meio de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adequadas, abrangendo as seguintes etapas: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coleta ou armazenamento: recebimento ou acumulação dos esgotos sanitários no ponto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geração;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106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esvaziamento: remoção, por métodos manuais ou mecânicos, dos esgotos sanitários ou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lodos acumulados das unidades de armazenamento;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1.9999999999999" w:type="dxa"/>
      </w:tblPr>
      <w:tblGrid>
        <w:gridCol w:w="3057"/>
        <w:gridCol w:w="3057"/>
        <w:gridCol w:w="3057"/>
      </w:tblGrid>
      <w:tr>
        <w:trPr>
          <w:trHeight w:hRule="exact" w:val="304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3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c) transporte: 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deslocamento dos 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1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esgotos sanitários ou dos lodos da unidade de </w:t>
            </w:r>
          </w:p>
        </w:tc>
      </w:tr>
    </w:tbl>
    <w:p>
      <w:pPr>
        <w:autoSpaceDN w:val="0"/>
        <w:autoSpaceDE w:val="0"/>
        <w:widowControl/>
        <w:spacing w:line="245" w:lineRule="auto" w:before="24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armazenamento até a unidade de tratamento ou desta até a destinação final ambientalmente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adequada;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d) tratamento: utilização de processos físicos, químicos ou biológicos para tratamento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efluentes domésticos, dos lodos e demais resíduos para destinação final ambientalmente adequada; e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e) destinação final ambientalmente adequada: envio dos efluentes sanitários, dos lodos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demais resíduos tratados para reúso, compostagem, recuperação, aproveitamento energético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outras destinações admitidas pelos órgãos ambientais competentes, entre elas a disposição final. </w:t>
      </w:r>
    </w:p>
    <w:p>
      <w:pPr>
        <w:autoSpaceDN w:val="0"/>
        <w:autoSpaceDE w:val="0"/>
        <w:widowControl/>
        <w:spacing w:line="245" w:lineRule="auto" w:before="166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domicílio: domicílios particulares permanentes onde as pessoas naturais estabelecem suas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residências com ânimo definitivo ou exercem suas atividades profissionais ou as pessoas jurídicas </w:t>
      </w:r>
    </w:p>
    <w:p>
      <w:pPr>
        <w:autoSpaceDN w:val="0"/>
        <w:autoSpaceDE w:val="0"/>
        <w:widowControl/>
        <w:spacing w:line="245" w:lineRule="auto" w:before="8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autoSpaceDN w:val="0"/>
        <w:autoSpaceDE w:val="0"/>
        <w:widowControl/>
        <w:spacing w:line="245" w:lineRule="auto" w:before="5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promovem o funcionamento de suas atividades ou estabelecem domicílio especial, nos termos de seus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estatutos ou atos consecutivos;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economias: unidades usuárias dos serviços, podendo ser casas, apartamentos, unidades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comerciais, salas de escritório, indústrias, órgãos públicos e similares, objeto de ocupação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independente, que são atendidos pelos serviços de abastecimento de água ou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por meio de ligação individual ou compartilhada com outras unidades usuárias;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família de baixa renda: economia ou unidade usuária que se enquadra no critério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pela Lei Federal 14.898/2024 ou por outra lei que vier a substituí-la;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IX – preço público: em sentido amplo, é o valor de natureza não tributária cobrado dos usuários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contrapartida à prestação dos serviços públicos de abastecimento de água 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sanitário, ainda que executados por entidade privada, e, em sentido estrito, o termo é utilizado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 referir ao valor cobrado pelos serviços auxiliares ou complementares solicitados esporadicamente;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 – prestador de serviço: pessoa jurídica responsável pela prestação do serviço público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 ou de esgotamento sanitário, incluindo autarquias, administração pública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direta pelos municípios, empresas privadas, sociedades de economia mista, empresas públicas,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consórcio de empresas, consórcio público e associações comunitárias de usuários reconhecidas pelo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titular como responsáveis pela autogestão dos referidos serviços;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 – solução alternativa: conjunto de infraestruturas, materiais, equipamentos e serviços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destinado ao abastecimento de água ou esgotamento sanitário em situações nas quais as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convencionais que se utilizam de rede de distribuição de água ou rede coletora de esgoto não são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tecnicamente ou economicamente viáveis ou acessíveis;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 – solução alternativa adequada: solução alternativa que atende aos critérios definidos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Art. 3º e Art. 4º desta resolução;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XIII – solução alternativa coletiva: solução alternativa que atenda a dois ou mais domicílios;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XIV – solução alternativa individual: solução alternativa que atenda a um único domicílio; </w:t>
      </w:r>
    </w:p>
    <w:p>
      <w:pPr>
        <w:autoSpaceDN w:val="0"/>
        <w:autoSpaceDE w:val="0"/>
        <w:widowControl/>
        <w:spacing w:line="245" w:lineRule="auto" w:before="168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 – tarifa: valor de natureza não tributária cobrado mensalmente dos usuários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contrapartida à prestação dos serviços públicos de abastecimento de água e esgotamento sanitário,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sendo um tipo de preço público;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 – tarifa fixa ou tarifa de disponibilidade: valor fixo mensal cobrado de cada economia após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adesão ao serviço ou após a disponibilização de rede, conforme regulamentação específica,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independentemente do uso efetivo do serviço pelo usuário, com a finalidade de cobertura, total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parcial, dos custos fixos relacionados à infraestrutura da prestação do serviço público;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XVII – tarifa variável: tarifa cobrada por m³ (metro cúbico), variando de acordo com a faixa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volume utilizado;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XVIII – titular: ente federado responsável pela organização, pelo planejamento, pela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fiscalização, pela prestação dos serviços de saneamento básico de forma direta ou indireta e pela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definição da entidade responsável pela regulação dos serviços públicos de abastecimento de água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esgotamento sanitário; </w:t>
      </w:r>
    </w:p>
    <w:p>
      <w:pPr>
        <w:autoSpaceDN w:val="0"/>
        <w:autoSpaceDE w:val="0"/>
        <w:widowControl/>
        <w:spacing w:line="245" w:lineRule="auto" w:before="166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XIX – universalização: ampliação progressiva do acesso de todos os domicílios ocupados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 e ao esgotamento sanitário, tanto em termos de cobertura da disponibilidade,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como de atendimento aos domicílios residenciais ocupados, conforme os critérios e indicadores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definidos pela Agência Nacional de Águas e Saneamento Básico – ANA; e </w:t>
      </w:r>
    </w:p>
    <w:p>
      <w:pPr>
        <w:autoSpaceDN w:val="0"/>
        <w:autoSpaceDE w:val="0"/>
        <w:widowControl/>
        <w:spacing w:line="245" w:lineRule="auto" w:before="7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autoSpaceDN w:val="0"/>
        <w:autoSpaceDE w:val="0"/>
        <w:widowControl/>
        <w:spacing w:line="245" w:lineRule="auto" w:before="550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XX – usuário potencial: usuário que, respeitada a viabilidade técnica e econômica, pode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atendido pelos serviços públicos de abastecimento de água ou de esgotamento sanitário por meio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convencionais ou alternativas.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III – DAS SOLUÇÕES ALTERNATIVAS ADEQUADAS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 – Dos Requisitos para Adequabilidade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3º Para que uma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solução alternativa de abastecimento de água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seja considerada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adequada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ela deve atender, cumulativamente, aos seguintes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requisitos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 solução alternativa deve ser caracterizada por tecnologia adequada, projetada,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construída, operada e manutenida de acordo com ao menos uma das seguintes diretrizes: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Normas Brasileiras Regulamentadoras – NBR;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Programa Nacional de Saneamento Rural – PNSR, quando não houver NBR que regulamente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solução alternativa; ou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c) resolução da Arsae-MG.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o perímetro da instalação da unidade de captação deve ser protegido do contato com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excrementos, resíduos, produtos químicos e outros potenciais contaminantes;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o manancial, superficial ou subterrâneo, deve ser capaz de prover água em quantidade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qualidade suficientes;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 tratamento deve ser capaz de tornar a água potável e segura para consumo humano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garantir concentração mínima de cloro residual livre;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os procedimentos de controle periódico da qualidade da água devem atender à Portaria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GM/MS nº 888, de 4 de maio de 2021, ou outra norma que a substitua;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a água deve ser fornecida mediante ligação domiciliar.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 controle a que se refere o inciso V do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caput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deste artigo para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individuais deverá seguir o estabelecido pelo sistema de vigilância sanitária ou, na sua ausência,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Diretrizes de Monitoramento da Qualidade da Água para Consumo Humano em Aldeias Indígenas –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DMQAI – estabelecidas pela Secretaria Especial de Saúde Indígena – SESAI.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Desde que atendidas as condições expressas nos incisos do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caput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deste artigo, são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consideradas soluções alternativas adequadas de abastecimento de água: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captação em manancial superficial, com tratamento – por meio de filtração lenta, filtração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múltiplas etapas ou tratamento convencional – e desinfecção, conforme disposto em NBRs e no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PNSR;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7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captação em poço raso ou cisterna e tratamento abrangendo a desinfecção,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disposto em NBRs e no PNSR;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captação em poço profundo e tratamento abrangendo a desinfecção, conforme disposto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NBRs e no PNSR;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outras soluções alternativas homologadas pela Arsae-MG.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previsto no § 2º não impede que a água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outras fontes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como água de reúso e águas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pluviais, seja utilizada para fins diferentes do consumo humano. </w:t>
      </w:r>
    </w:p>
    <w:p>
      <w:pPr>
        <w:autoSpaceDN w:val="0"/>
        <w:autoSpaceDE w:val="0"/>
        <w:widowControl/>
        <w:spacing w:line="245" w:lineRule="auto" w:before="113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Ressalvados os casos de inviabilidade técnica comprovada, é obrigatória a instalação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medidor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para a micromedição do volume de água consumido associado à solução alternativa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4º Para que uma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solução alternativa de esgotamento sanitário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seja considerada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adequada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ela deve atender, cumulativamente, aos seguintes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requisitos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 solução alternativa deve ser caracterizada por tecnologia adequada, projetada,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construída, operada e manutenida de acordo com ao menos uma das seguintes diretrizes: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Normas Brasileiras Regulamentadoras – NBR;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Programa Nacional de Saneamento Rural – PNSR, quando não houver NBR que regulamente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solução alternativa; ou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c) Resolução da Arsae-MG.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 instalação sanitária, quando integrada à solução alternativa, não deve ser compartilhada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por mais de uma unidade familiar, salvo nos casos de soluções coletivas projetadas para este fim; </w:t>
      </w:r>
    </w:p>
    <w:p>
      <w:pPr>
        <w:autoSpaceDN w:val="0"/>
        <w:autoSpaceDE w:val="0"/>
        <w:widowControl/>
        <w:spacing w:line="245" w:lineRule="auto" w:before="168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não deve haver contato entre os esgotos sanitários e seres humanos, de maneira direta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 indireta, ou contaminação de recursos hídricos superficiais e subterrâneos, de plantações ou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outros elementos que posteriormente entrem em contato com seres humanos;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a solução alternativa deve promover o tratamento dos esgotos sanitários e dos lodos, seja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local próximo ao ponto de geração ou em outro local; e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os efluentes sanitários e lodos devem receber destinação final ambientalmente adequada,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podendo incluir o reúso, compostagem, recuperação e aproveitamento energético ou outras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destinações admitidas pelos órgãos ambientais competentes, entre elas a disposição final.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Desde que atendidas as condições expressas nos incisos do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caput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deste artigo, são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consideradas soluções alternativas adequadas de esgotamento sanitário: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fossa séptica seguida de pós-tratamento – por meio de filtro anaeróbio – e destinação final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ambientalmente adequada, conforme disposto em NBRs e no PNSR, para locais com disponibilidade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hídrica que permita esta solução;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</w:t>
      </w:r>
      <w:r>
        <w:rPr>
          <w:rFonts w:ascii="Calibri" w:hAnsi="Calibri" w:eastAsia="Calibri"/>
          <w:b w:val="0"/>
          <w:i/>
          <w:color w:val="000000"/>
          <w:sz w:val="22"/>
        </w:rPr>
        <w:t>wetland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construído com destinação final ambientalmente adequada, conforme disposto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PNSR, para locais com disponibilidade hídrica que permita esta solução;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tanque de evapotranspiração, conforme disposto no PNSR, para locais com disponibilidade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hídrica que permita esta solução;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fossa seca ventilada e similares, conforme disposto no PNSR, para locais sem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disponibilidade hídrica que permita outras soluções;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outras soluções alternativas homologadas pela Arsae-MG.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Em áreas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difícil acesso ou inacessíveis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para caminhões limpa-fossa, ou outros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equipamentos necessários para o correto funcionamento das soluções alternativas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sanitário, não serão admitidas soluções que dependam dessas atividades.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A solução ou a combinação de soluções alternativas adequadas propostas devem garantir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 manejo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todos os efluentes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sanitários gerados, incluindo águas fecais e águas cinzas. </w:t>
      </w:r>
    </w:p>
    <w:p>
      <w:pPr>
        <w:autoSpaceDN w:val="0"/>
        <w:autoSpaceDE w:val="0"/>
        <w:widowControl/>
        <w:spacing w:line="245" w:lineRule="auto" w:before="166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Os efluentes tratados cuja disposição final é o lançamento em corpos d'água receptores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devem atender às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condições e padrões de lançamento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estabelecidos pelos órgãos ambientais, </w:t>
      </w:r>
    </w:p>
    <w:p>
      <w:pPr>
        <w:autoSpaceDN w:val="0"/>
        <w:autoSpaceDE w:val="0"/>
        <w:widowControl/>
        <w:spacing w:line="245" w:lineRule="auto" w:before="7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3073400</wp:posOffset>
            </wp:positionV>
            <wp:extent cx="5270500" cy="4749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autoSpaceDN w:val="0"/>
        <w:autoSpaceDE w:val="0"/>
        <w:widowControl/>
        <w:spacing w:line="245" w:lineRule="auto" w:before="5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especialmente o Conselho Estadual de Política Ambiental – COPAM, o Conselho Estadual de Recursos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Hídricos de Minas Gerais – CERH-MG – e o Conselho Nacional do Meio Ambiente – CONAMA.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5º A consideração de uma solução alternativa como adequada, nos termos desta resolução,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exime o usuário ou o prestador da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responsabilidade de obtenção de eventuais licenças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autorizações, inclusive ambientais, urbanísticas e de uso de recursos hídricos, quando aplicáveis,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necessárias à regularização, desativação, implantação e operação das infraestruturas.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As soluções alternativas de abastecimento de água e esgotamento sanitário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podem ser, a qualquer tempo,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desqualificadas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como adequadas, caso seja identificado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descumprimento das condições previstas nesta resolução ou operação inadequada.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6º O prestador poderá, com base em estudo técnico, solicitar à Arsae-MG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reconhecimento de outras soluções alternativas de abastecimento de água e esgotamento sanitário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como adequadas, procedimento este que se dará por meio de homologação.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Para solicitação de que trata o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o prestador deverá apresentar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menos as seguintes informações: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descrição técnica da solução alternativa proposta;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comprovação do atendimento da solução alternativa proposta aos requisitos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adequabilidade previstos nos Art. 3º e Art. 4º desta resolução;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manual de operação e manutenção da solução alternativa proposta, observadas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atividades das cadeias de valor previstas no Art. 2º, IV e V;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cartilha orientativa para os usuários sobre a solução alternativa proposta, conforme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17.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II – Dos Requisitos para Implantação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7º As soluções alternativas adequadas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podem ser implantadas quando atendidos ao menos um dos seguintes requisitos: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quando não houver disponibilidade de rede pública, situação na qual 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poderá ser: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definitiva, se comprovada a inviabilidade de implantação de rede pública;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temporária, até a disponibilização da rede pública.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quando houver disponibilidade de rede pública, mas não houver viabilidade técnica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econômica para ligação.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Uma vez que a rede pública estiver disponível e a ligação viável: </w:t>
      </w:r>
    </w:p>
    <w:p>
      <w:pPr>
        <w:autoSpaceDN w:val="0"/>
        <w:autoSpaceDE w:val="0"/>
        <w:widowControl/>
        <w:spacing w:line="197" w:lineRule="auto" w:before="170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o usuário deve, obrigatoriamente, se ligar à rede pública e pagar as respectivas tarifas; e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 solução alternativa temporária será desativada ou passará a ser considerada ação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saneamento de responsabilidade privada, sem prejuízo das obrigações dispostas no inciso I deste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No caso de inviabilidade de implantação da rede pública, o prestador deverá enviar para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Arsae-MG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estudo técnico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local ou regional, demonstrando a inviabilidade com a delimitação da área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que ela se refere.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Considera-se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inviável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 implantação de rede pública nas seguintes situações: </w:t>
      </w:r>
    </w:p>
    <w:p>
      <w:pPr>
        <w:autoSpaceDN w:val="0"/>
        <w:autoSpaceDE w:val="0"/>
        <w:widowControl/>
        <w:spacing w:line="245" w:lineRule="auto" w:before="8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244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nas localidades nas quais a densidade habitacional é relativamente baixa, com maiores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distâncias entre os imóveis; </w:t>
      </w:r>
    </w:p>
    <w:p>
      <w:pPr>
        <w:autoSpaceDN w:val="0"/>
        <w:autoSpaceDE w:val="0"/>
        <w:widowControl/>
        <w:spacing w:line="245" w:lineRule="auto" w:before="168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quando a ligação está em posição que impeça ou dificulte o escoamento por gravidade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esgoto para a rede pública de esgotamento sanitário projetada e não for viável a adoção de sistema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condominial. </w:t>
      </w:r>
    </w:p>
    <w:p>
      <w:pPr>
        <w:autoSpaceDN w:val="0"/>
        <w:autoSpaceDE w:val="0"/>
        <w:widowControl/>
        <w:spacing w:line="245" w:lineRule="auto" w:before="168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nas áreas de assentamentos urbanos informais consolidados, mesmo passíveis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regularização, nas quais a ausência, irregularidade ou largura das vias públicas criem grandes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obstáculos ou riscos para a implantação das obras;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em áreas com restrições impostas pela legislação urbanística, em especial para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preservação do patrimônio histórico, nas quais as obras poderiam comprometer edificações;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nas localidades em que não for admitida pela legislação ambiental;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quando houver outros fatores, situações nas quais é necessária ratificação pela Arsae-MG.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No caso de inviabilidade da ligação à rede pública ou constatação de que a coleta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esgotos da edificação não pode ser conduzida por gravidade, o prestador deverá propor para o usuário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 adequada para o atendimento.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IV – DA PRESTAÇÃO DO SERVIÇO PÚBLICO NA MODALIDADE DE SOLUÇÕES ALTERNATIVAS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 – Da Comunicação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8º Previamente ao início da prestação dos serviços de abastecimento de água 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 por meio de soluções alternativas, o prestador de serviços deve realizar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campanha de comunicação social e educação ambiental visando à sensibilização da população sobre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os benefícios advindos da implantação, da correta operação e da limpeza das soluções, bem como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importância para a conservação do meio ambiente e para a melhoria das condições sanitárias.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As campanhas a que se refere o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devem ser iniciadas no mínimo 60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(sessenta) dias úteis antes do início da prestação dos serviços e faturamento.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9º O prestador de serviços deve realizar, na sua área de atuação, o levantamento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cadastro de usuários potenciais e efetivamente atendidos com os serviços de abastecimento de água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de esgotamento sanitário por meio de soluções alternativas.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10º O prestador de serviços deve notificar o usuário potencial, mediante carta com aviso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recebimento, informando, no mínimo, sobre os seguintes aspectos: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o início de oferta dos serviços de abastecimento de água e esgotamento sanitário por meio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soluções alternativas;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os benefícios da adesão ao serviço público;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os possíveis tipos de soluções alternativas que podem ser adotadas;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os valores, meios e prazos de cobrança pelas atividades de implantação, operação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manutenção das soluções alternativas;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as regras gerais para adesão à tarifa social;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a necessidade de o usuário entrar em contato com o prestador, no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prazo de 30 (trinta)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dias corridos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contados da notificação, para agendar vistoria técnica preparatória para verificação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adequabilidade de solução alternativa existente ou proposta de nova solução alternativa adequada; </w:t>
      </w:r>
    </w:p>
    <w:p>
      <w:pPr>
        <w:autoSpaceDN w:val="0"/>
        <w:autoSpaceDE w:val="0"/>
        <w:widowControl/>
        <w:spacing w:line="245" w:lineRule="auto" w:before="98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24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a possibilidade de denúncia do usuário às autoridades competentes em caso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lançamento de esgoto sem tratamento ou operação irregular de solução alternativa;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os meios de contato que podem ser utilizados pelo usuário para agendamento, incluindo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mínimo um canal de atendimento presencial e um remoto.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As informações dispostas no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caput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deste artigo devem ser disponibilizadas no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sítio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eletrônico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do prestador.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Alternativamente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à forma de atendimento disposta no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 notificação poderá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realizada: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por meio de correspondência eletrônica, caso seja viável que o prestador de serviços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verifique o respectivo recebimento; ou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por meio de material impresso disponibilizado junto à fatura, caso o usuário já seja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faturado pela prestação de outro serviço oferecido pelo prestador.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usuário que ainda não tiver sido notificado pelo prestador também pode entrar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contato para agendar a vistoria técnica de que trata o inciso VI.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Caso o usuário, tendo recebido a primeira notificação, não entre em contato com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 para agendar a vistoria técnica, o prestador deve enviar uma segunda notificação em até 90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(noventa) dias corridos, contados do vencimento do prazo do usuário;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5º Caso o usuário, tendo recebido a segunda notificação, não entre em contato com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 para agendar a vistoria técnica, o prestador deve notificar o titular, a Arsae-MG e demais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autoridades competentes sobre o lançamento de esgoto sem tratamento ou operação irregular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 e enviar notificações com frequência anual para o usuário, podendo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excepcionalizados: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usuários em relação aos quais as autoridades competentes já tenham tomado providências;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usuários que adotam ações de saneamento de responsabilidade privada.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II – Da Vistoria Preparatória e Adesão aos Serviços Públicos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11. Na vistoria preparatória o prestador verificará a observância às condições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estabelecidas nos Art. 3º, Art. 4º e Art. 7º desta resolução.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 vistoria preparatória será presencial e deverá ser realizada no prazo de 30 (trinta) dias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corridos, contados da data de recebimento da solicitação do usuário, prorrogável por igual período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mediante justificativa.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Quando o usuário que solicitar o serviço já dispuser de solução alternativa, o prestador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verificará a adequabilidade da solução existente, devendo: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Emitir parecer técnico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no prazo de 15 (quinze) dias corridos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atestando a adequabilidade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 existente, ficando dispensado da construção de nova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adequada; ou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Emitir parecer técnico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no prazo de 15 (quinze) dias corridos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atestando a inadequabilidade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solução alternativa existente, devendo propor as seguintes opções para o usuário: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correção das irregularidades identificadas na solução alternativa existente; ou </w:t>
      </w:r>
    </w:p>
    <w:p>
      <w:pPr>
        <w:autoSpaceDN w:val="0"/>
        <w:autoSpaceDE w:val="0"/>
        <w:widowControl/>
        <w:spacing w:line="245" w:lineRule="auto" w:before="110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2895600</wp:posOffset>
            </wp:positionV>
            <wp:extent cx="5778500" cy="49276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92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4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desativação da solução alternativa existente e construção de nova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adequada.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prestador deve indicar para o usuário qual das opções, dentre as apresentadas no inciso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do § 2º, é a mais vantajosa – considerando aspectos econômicos, ambientais e sociais – ou se alguma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delas é inviável. </w:t>
      </w:r>
    </w:p>
    <w:p>
      <w:pPr>
        <w:autoSpaceDN w:val="0"/>
        <w:autoSpaceDE w:val="0"/>
        <w:widowControl/>
        <w:spacing w:line="245" w:lineRule="auto" w:before="168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O prestador de serviço deverá manter os pareceres técnicos em sua guarda pelo período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mínimo correspondente ao vencimento do contrato de prestação do serviço acrescido de cinco anos,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garantido acesso facilitado da Arsae-MG para fiscalização.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5º As vistorias preparatórias devem ser registradas pelo prestador de serviços nas bases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dados de solicitações e reclamações e de ordens de serviços, conforme estabelecido em resolução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específica que trata do envio de informações e procedimento estabelecido no ANEXO V.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12. Após a emissão do parecer técnico, o prestador deverá disponibilizar para o usuário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potencial o contrato de adesão aos serviços públicos, ou instrumento equivalente, seguindo o seguinte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procedimento: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caso o usuário adira ao contrato de adesão, será considerado a partir desta data como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integrante do serviço público de abastecimento de água ou esgotamento sanitário e o prestador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procederá prestação regular dos serviços, incluindo, quando couber, a correção das irregularidades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identificadas na solução alternativa existente ou desativação da solução alternativa existente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construção de nova solução alternativa adequada; ou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 caso o usuário não adira ao contrato de adesão, não será considerado como integrante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 público de abastecimento de água ou esgotamento e o prestador deverá: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notificar o titular e a Arsae-MG e considerar a solução alternativa existente como ação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saneamento de responsabilidade privada; ou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notificar o titular, a Arsae-MG e demais autoridades competentes sobre o lançamento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esgoto sem tratamento ou operação irregular de solução alternativa.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 usuário terá o prazo de 30 (trinta) dias corridos para assinatura do contrato de adesão.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 prestador deverá disponibilizar o contrato de adesão para assinatura do usuário, no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mínimo, nas seguintes condições: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nas agências de atendimento presencial;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nos canais de atendimento remoto, podendo incluir telefone, aplicativo, </w:t>
      </w:r>
      <w:r>
        <w:rPr>
          <w:rFonts w:ascii="Calibri" w:hAnsi="Calibri" w:eastAsia="Calibri"/>
          <w:b w:val="0"/>
          <w:i/>
          <w:color w:val="000000"/>
          <w:sz w:val="22"/>
        </w:rPr>
        <w:t>site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 canais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equivalentes.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contrato de adesão conterá no mínimo: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os direitos do usuário: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a) à adequação, pelo prestador, da solução alternativa existente, quando couber;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b) à desativação, pelo prestador, da solução alternativa existente, quando couber;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c) à disponibilização, pelo prestador, de solução alternativa adequada, quando couber;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d) à manutenção, pelo prestador, da solução alternativa adequada considerando toda a cadeia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valor das soluções alternativas, conforme Art. 2º, incisos IV e V, com frequência não superior 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12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(doze) meses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;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e) ao recebimento de informações do prestador sobre o uso adequado da solução alternativa. </w:t>
      </w:r>
    </w:p>
    <w:p>
      <w:pPr>
        <w:autoSpaceDN w:val="0"/>
        <w:autoSpaceDE w:val="0"/>
        <w:widowControl/>
        <w:spacing w:line="245" w:lineRule="auto" w:before="60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244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p>
      <w:pPr>
        <w:autoSpaceDN w:val="0"/>
        <w:autoSpaceDE w:val="0"/>
        <w:widowControl/>
        <w:spacing w:line="245" w:lineRule="auto" w:before="550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as tarifas e demais preços públicos aplicáveis a serem pagos pelos usuários ao prestador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serviço em razão da realização de atividades da cadeia de valor das soluções alternativas,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2º, incisos IV e V, observadas as resoluções específicas sobre reajuste e revisão tarifária de cada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 publicadas pela Arsae-MG; e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a responsabilidade civil do prestador de serviço em relação aos danos e perdas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possuem nexo de causalidade com os serviços, admitida ação de regresso contra o usuário que tenha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dado causa aos danos.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Nas situações nas quais o usuário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não adira ao contrato de adesão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as notificações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direcionadas ao titular e às autoridades competentes devem ser realizadas atendendo ao prazo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frequência mínima estabelecida no ANEXO I – Nível de detalhamento, periodicidade e prazos máximos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para envio de informações rotineiras – e, quando direcionadas à Arsae-MG, devem ser feitas por meio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das bases de dados específicas, conforme Art. 19.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III – Da Regularização, Desativação e Construção de Soluções Alternativas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13. Uma vez que o contrato de adesão seja assinado pelo usuário, a regularização,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desativação e construção de soluções alternativas é de responsabilidade do prestador, podendo esse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encargo ser conferido aos usuários, desde que previsto em contrato de prestação do serviço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regulamento de prestação direta.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 regularização ou desativação de solução alternativa inadequada já existente deverá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>realizada no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prazo de 30 (trinta) dias corridos, contados da data de assinatura do contrato de adesão.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A construção de nova solução alternativa adequada deverá ser realizada no prazo de 60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(sessenta) dias corridos, contados da data de assinatura do contrato de adesão.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Após a regularização ou construção de novas soluções alternativas adequadas,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 deverá realizar nova vistoria preparatória e emitir novo parecer técnico atestando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adequabilidade da solução alternativa, observado o § 4º do Art. 11.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A regularização, desativação e a construção de nova solução alternativa devem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registradas pelo prestador de serviços nas bases de dados de solicitações e reclamações e de ordens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serviços, conforme estabelecido em resolução específica que trata do envio de informações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procedimento estabelecido no ANEXO V.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Seção IV – Da Operação e Manutenção </w:t>
      </w:r>
    </w:p>
    <w:p>
      <w:pPr>
        <w:autoSpaceDN w:val="0"/>
        <w:autoSpaceDE w:val="0"/>
        <w:widowControl/>
        <w:spacing w:line="245" w:lineRule="auto" w:before="164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14. O prestador de serviços deve realizar a operação e a manutenção das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 de abastecimento de água e de esgotamento sanitário considerando todas as atividades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associadas às respectivas cadeias de valor, conforme Art. 2º, incisos IV e V, incluindo: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 disponibilização de energia elétrica, de produtos químicos e demais recursos necessários;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o monitoramento e controle da qualidade da água, no caso de abastecimento de água;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o monitoramento e controle dos padrões de lançamento de efluentes, no caso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a realização de vistorias periódicas;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a destinação ambientalmente adequada dos resíduos gerados.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 responsabilidade pelo fornecimento ou custeio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energia elétrica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pode ser atribuída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ao usuário desde que: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previsto no contrato de adesão e acatado pelo usuário; </w:t>
      </w:r>
    </w:p>
    <w:p>
      <w:pPr>
        <w:autoSpaceDN w:val="0"/>
        <w:autoSpaceDE w:val="0"/>
        <w:widowControl/>
        <w:spacing w:line="245" w:lineRule="auto" w:before="57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haja contrapartida do prestador por meio de outros mecanismos, podendo ser inclusive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tarifários;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não haja prejuízo à qualidade do serviço prestado.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Os registros 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monitoramento da qualidade da água e dos padrões de lançamento de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efluentes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devem seguir os procedimentos estabelecidos em resolução específica que trata do envio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informações e o procedimento estabelecido nos seguintes anexos: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- ANEXO I – Nível de detalhamento, periodicidade e prazos máximos para envio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informações rotineiras;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- ANEXO II – Modelo de formatação;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- ANEXO III – Glossário de Informações; e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- ANEXO IV – Regras de formatação.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As vistorias periódicas de cada solução alternativa deverão ser realizadas em intervalo </w:t>
      </w:r>
      <w:r>
        <w:rPr>
          <w:rFonts w:ascii="Calibri" w:hAnsi="Calibri" w:eastAsia="Calibri"/>
          <w:b w:val="0"/>
          <w:i w:val="0"/>
          <w:color w:val="000000"/>
          <w:sz w:val="22"/>
        </w:rPr>
        <w:t>não superior a seis meses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verificar, no mínimo, os seguintes aspectos: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 manutenção dos requisitos de adequabilidade previstos nos Art. 3º e Art. 4º;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 necessidade de limpeza, manejo de resíduos e ações similares;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a necessidade de reparos, substituição de dispositivos, correção de vazamentos, remoção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obstruções e solução de outros problemas; e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a existência de conduta irregular por parte do usuário, sendo passível de sanção.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Além das vistorias periódicas, poderão ser realizadas vistorias eventuais, motivadas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pelo usuário. </w:t>
      </w:r>
    </w:p>
    <w:p>
      <w:pPr>
        <w:autoSpaceDN w:val="0"/>
        <w:autoSpaceDE w:val="0"/>
        <w:widowControl/>
        <w:spacing w:line="245" w:lineRule="auto" w:before="166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5º Quando a vistoria indicar a necessidade de intervenções por parte do prestador,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especialmente nas situações descritas nos incisos I, II e III do § 3º, o procedimento deverá ser realizado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pelo prestador de serviços no prazo de 30 (trinta) dias corridos, dispensada a necessidade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solicitação pelo usuário.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6º As vistorias periódicas e eventuais e os procedimentos de limpeza e remoção de resíduos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devem ser registrados pelo prestador de serviços nas bases de dados de solicitações e de ordens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serviços, conforme estabelecido em resolução específica que trata do envio de informações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procedimento estabelecido no ANEXO V.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15. Os procedimentos de limpeza e de remoção de resíduos, bem como outras atividades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>associadas à cadeira de valor, realizados com frequência maior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que a frequência mínima de 12 (doze)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meses, estabelecida no contrato de adesão, podem ser efetuados: </w:t>
      </w:r>
    </w:p>
    <w:p>
      <w:pPr>
        <w:autoSpaceDN w:val="0"/>
        <w:autoSpaceDE w:val="0"/>
        <w:widowControl/>
        <w:spacing w:line="245" w:lineRule="auto" w:before="17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pelo prestador de serviço, mediante solicitação e pagamento, pelo usuário, de preço público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homologado pela Arsae-MG, sem prejuízo da cobrança prevista no CAPÍTULO V – DOS ASPECTOS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ECONÔMICO-FINANCEIROS.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pelo titular, caso os procedimentos sejam disponibilizados, conforme procedimentos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preços públicos pré-definidos em ato próprio; ou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por outros prestadores de serviço credenciados pelo titular para realizar tais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procedimentos. </w:t>
      </w:r>
    </w:p>
    <w:p>
      <w:pPr>
        <w:autoSpaceDN w:val="0"/>
        <w:autoSpaceDE w:val="0"/>
        <w:widowControl/>
        <w:spacing w:line="245" w:lineRule="auto" w:before="12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5461000" cy="47244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Os procedimentos de limpeza e de remoção de resíduos da solução alternativa não devem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realizados pelos próprios usuários, a menos que o usuário seja um prestador de serviço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credenciado.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 titular deve manter e publicar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listagem de prestadores de serviços credenciados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realização de atividades associadas à cadeia de valor das soluções alternativas.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Aos prestadores de serviços credenciados pelo titular, aplicam-se as mesmas regras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estabelecidas na presente resolução, respeitados o escopo, frequência e abrangência das atividades.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16. O prestador de serviço deve elaborar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manual de operação e manutenção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para cada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tipo de solução alternativa adequada adotada, antes de sua adoção, observado o Art. 3º, § 2º, e Art. </w:t>
      </w:r>
    </w:p>
    <w:p>
      <w:pPr>
        <w:autoSpaceDN w:val="0"/>
        <w:tabs>
          <w:tab w:pos="750" w:val="left"/>
        </w:tabs>
        <w:autoSpaceDE w:val="0"/>
        <w:widowControl/>
        <w:spacing w:line="290" w:lineRule="auto" w:before="4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4º, § 1º, contendo, no mínimo: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as regras de higiene e segurança a serem adotadas pelos empregados ou prepostos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responsáveis pela operação e manutenção;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os requisitos de adequabilidade previstos nos Art. 3º e Art. 4º suscetíveis de alteração com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 tempo;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as condições, parâmetros, frequência e locais de amostragem para monitoramento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qualidade da água e dos padrões de lançamento de efluentes dos sistemas de abastecimento de água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de esgotamento sanitários, respectivamente;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os procedimentos e frequência das vistorias periódicas;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os procedimentos e a frequência de limpeza e de remoção de resíduos, bem como ações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similares, quando couber;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as rotas de transporte, tratamento e destinação ambientalmente adequada dos resíduos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gerados, inclusive com a identificação dos locais de tratamento e de disposição final dos resíduos; 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os procedimentos para verificação e registro de conduta irregular por parte do usuário.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O manual de operação e manutenção deve ser específico para cada 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alternativa, preceder a adoção da solução e atualizado quando necessário. </w:t>
      </w:r>
    </w:p>
    <w:p>
      <w:pPr>
        <w:autoSpaceDN w:val="0"/>
        <w:tabs>
          <w:tab w:pos="750" w:val="left"/>
        </w:tabs>
        <w:autoSpaceDE w:val="0"/>
        <w:widowControl/>
        <w:spacing w:line="254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17. O prestador deve elaborar e disponibilizar para os usuários cartilhas orientativas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contendo, no mínimo: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importância do acesso a água potável e ao tratamento de esgoto, conforme tipo de serviço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oferecido. </w:t>
      </w:r>
    </w:p>
    <w:p>
      <w:pPr>
        <w:autoSpaceDN w:val="0"/>
        <w:tabs>
          <w:tab w:pos="750" w:val="left"/>
        </w:tabs>
        <w:autoSpaceDE w:val="0"/>
        <w:widowControl/>
        <w:spacing w:line="314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principais componentes da solução alternativa adotada;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cuidados para evitar contaminação e risco à saúde;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frequência de realização de vistoria periódica e de atividades de limpeza e remoção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resíduos;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o que pode e o que não pode ser descartado em pias, vasos, ralos e similares;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problemas causados pelo descarte inadequado de sólidos e líquidos no esgoto;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sinais de mau funcionamento da solução alternativa; 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canais de atendimento oferecidos pelo prestador.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 cartilha deve ser elaborada considerando as seguintes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diretrizes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</w:p>
    <w:p>
      <w:pPr>
        <w:autoSpaceDN w:val="0"/>
        <w:autoSpaceDE w:val="0"/>
        <w:widowControl/>
        <w:spacing w:line="245" w:lineRule="auto" w:before="8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24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 </w:t>
      </w:r>
    </w:p>
    <w:p>
      <w:pPr>
        <w:autoSpaceDN w:val="0"/>
        <w:autoSpaceDE w:val="0"/>
        <w:widowControl/>
        <w:spacing w:line="322" w:lineRule="auto" w:before="550" w:after="0"/>
        <w:ind w:left="750" w:right="100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redigir o texto visando à simplicidade e objetividade;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preferir palavras do cotidiano;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evitar termos complexos e, quando necessário, explicá-los de forma simples;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evitar informações redundantes ou desnecessárias;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estruturar o conteúdo de forma organizada e didática; 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incluir, quando pertinente, ilustrações para reforçar o entendimento.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A cartilha deve ser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específica para cada solução alternativa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preceder a adoção da solução,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disponibilizada no sítio eletrônico do prestador e atualizada quando necessário.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18. As situações de emergência e contingência relacionadas às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coletivas com dano potencial à saúde pública, ao meio ambiente ou aos recursos hídricos devem ser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comunicadas à Arsae-MG, ao titular e, quando couber, aos órgãos públicos responsáveis,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disposto em resolução específica.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 comunicação deverá ser acompanhada, sempre que possível, da indicação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das ações já adotadas ou em vias de serem executadas para correção do problema e mitigação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danos. </w:t>
      </w:r>
    </w:p>
    <w:p>
      <w:pPr>
        <w:autoSpaceDN w:val="0"/>
        <w:tabs>
          <w:tab w:pos="750" w:val="left"/>
          <w:tab w:pos="1822" w:val="left"/>
        </w:tabs>
        <w:autoSpaceDE w:val="0"/>
        <w:widowControl/>
        <w:spacing w:line="262" w:lineRule="auto" w:before="168" w:after="0"/>
        <w:ind w:left="30" w:right="0" w:firstLine="0"/>
        <w:jc w:val="left"/>
      </w:pPr>
      <w:r>
        <w:tab/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Seção V – Do Cadastro de Usuários e de Soluções Alternativas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19. O prestador de serviço deve manter e atualizar periodicamente cadastro de usuários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de soluções alternativas localizados na sua área de abrangência.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 cadastro deve incluir usuários potenciais – que podem ser atendidos – e usuários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efetivamente já são atendidos pelos serviços públicos por meio de soluções alternativas.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 cadastro de soluções alternativas deve incluir ações de saneamento básico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responsabilidade privada. </w:t>
      </w:r>
    </w:p>
    <w:p>
      <w:pPr>
        <w:autoSpaceDN w:val="0"/>
        <w:tabs>
          <w:tab w:pos="750" w:val="left"/>
        </w:tabs>
        <w:autoSpaceDE w:val="0"/>
        <w:widowControl/>
        <w:spacing w:line="288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cadastro de usuários de soluções alternativas deve seguir os procedimentos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estabelecidos em resolução específica que trata do envio de informações e o procedimento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nos seguintes anexos: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- ANEXO I – Nível de detalhamento, periodicidade e prazos máximos para envio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informações rotineiras;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- ANEXO II – Modelo de formatação;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- ANEXO III – Glossário de Informações; 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- ANEXO IV – Regras de formatação. </w:t>
      </w:r>
    </w:p>
    <w:p>
      <w:pPr>
        <w:autoSpaceDN w:val="0"/>
        <w:tabs>
          <w:tab w:pos="750" w:val="left"/>
        </w:tabs>
        <w:autoSpaceDE w:val="0"/>
        <w:widowControl/>
        <w:spacing w:line="29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4º Os cadastros poderão ser subsidiados por informações provenientes de: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sistemas de informação de órgãos municipais, estaduais e federais;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sistemas de informação de prestadores de serviços públicos, inclusive de serviços não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regulados pela Arsae-MG; 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vistorias realizadas pelo prestador de serviços. </w:t>
      </w:r>
    </w:p>
    <w:p>
      <w:pPr>
        <w:autoSpaceDN w:val="0"/>
        <w:autoSpaceDE w:val="0"/>
        <w:widowControl/>
        <w:spacing w:line="245" w:lineRule="auto" w:before="17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5219700" cy="4724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V – DOS ASPECTOS ECONÔMICO-FINANCEIROS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20. No caso de soluções alternativas configuradas como serviço público, o prestador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 deverá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recuperar os custos e despesas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relacionados às infraestruturas e às atividades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necessárias à: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comunicação;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vistoria preparatória;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regularização, desativação e construção de soluções alternativas;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operação e manutenção;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atividades das cadeias de valor de soluções alternativas de abastecimento de água 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sanitário, conforme incisos IV e V do Art. 2º;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administração, cadastro, gerenciamento de informações, faturamento e cobrança;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outras atividades regulamentadas pela Arsae-MG.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 disposto no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caput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será aplicado desde que não haja disposição em contrário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contrato de prestação do serviço ou regulamento de prestação direta.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 usuário que aderir ao serviço público de abastecimento de água ou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e que já dispuser de solução alternativa própria, adequada ou não, na data da vistoria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preparatória, não fará jus ao ressarcimento de eventuais despesas de projeto, construção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manutenção incorridas até o momento.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21. As tarifas e demais preços públicos a serem pagos pelos usuários em razão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dos serviços públicos de abastecimento de água e de esgotamento sanitário por meio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 serão previstas em resolução específica.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22. A cobrança de tarifas e demais preços públicos referentes a soluções alternativas será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realizada nos mesmos modelos de fatura dos serviços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prestados por meio de soluções convencionais.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23. A cobrança de tarifas só pode ser iniciada após a adesão do usuário ao serviço público,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Art. 12, e após o início da efetiva prestação do serviço. </w:t>
      </w:r>
    </w:p>
    <w:p>
      <w:pPr>
        <w:autoSpaceDN w:val="0"/>
        <w:autoSpaceDE w:val="0"/>
        <w:widowControl/>
        <w:spacing w:line="245" w:lineRule="auto" w:before="168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 efetiva prestação do serviço será considerada iniciada quando 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estiver implantada e em operação, após concluídas as etapas de vistoria, regularização, construção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emissão de parecer técnico previstas nos Art. 11, Art. 12 e Art. 13. </w:t>
      </w:r>
    </w:p>
    <w:p>
      <w:pPr>
        <w:autoSpaceDN w:val="0"/>
        <w:autoSpaceDE w:val="0"/>
        <w:widowControl/>
        <w:spacing w:line="245" w:lineRule="auto" w:before="164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Os usuários que aderirem aos serviços públicos de abastecimento de água 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 prestados por meio de soluções alternativas na primeira notificação realizada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pelo prestador de serviços, conforme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do Art. 10º, terão o início da cobrança adiado em 90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(noventa) dias corridos a partir do início da efetiva prestação do serviço.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24. O prestador de serviços deverá criar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registros contábeis específicos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tanto na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contabilidade societária quanto na contabilidade individualizada por município, para cada tipo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 de abastecimento de água e de esgotamento sanitário regulamentado nos Art. 3º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Art. 4º desta resolução e outros tipos homologados pela Arsae-MG.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Os registros contábeis criados devem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separar de maneira inequívoca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as receitas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despesas relacionadas a cada tipo de solução alternativa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sanitário, de modo a permitir o tratamento regulatório individualizado para cada tipo. </w:t>
      </w:r>
    </w:p>
    <w:p>
      <w:pPr>
        <w:autoSpaceDN w:val="0"/>
        <w:autoSpaceDE w:val="0"/>
        <w:widowControl/>
        <w:spacing w:line="245" w:lineRule="auto" w:before="8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2895600</wp:posOffset>
            </wp:positionV>
            <wp:extent cx="5778500" cy="49276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92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Caso sejam necessários rateios de despesas, o prestador deve utilizar os critérios de rateio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estabelecidos no glossário de informações do Sistema Nacional de Informações em Saneamento Básico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– SINISA.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Caso algum custo atrelado à implantação das soluções alternativas seja registrado como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investimento, os ativos devem ser identificados no banco patrimonial.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25. O prestador de serviços deverá criar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registros contábeis específicos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tanto na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contabilidade societária quanto na contabilidade individualizada por município, que permitam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identificação das despesas relacionadas às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intervenções para regularização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 soluções alternativas.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Os registros contábeis criados devem separar de maneira inequívoca as despesas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relacionadas às intervenções para adequação de cada uma das soluções alternativas de abastecimento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água e de esgotamento sanitário.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Caso sejam necessários rateios de despesas, o prestador deve utilizar os critérios de rateio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estabelecidos no glossário de informações do Sistema Nacional de Informações em Saneamento Básico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– SINISA.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Caso algum custo atrelado à regularização das soluções alternativas seja registrado como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investimento, os ativos devem ser identificados no banco patrimonial.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VI – DAS OBRIGAÇÕES DA ENTIDADE REGULADORA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26. Com relação aos serviços regulados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prestados por meio de soluções alternativas, sem prejuízo de outras obrigações legais,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compete à Arsae-MG: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homologar outros tipos soluções alternativas adequadas de abastecimento de água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 apresentadas pelo prestador, conforme Art. 6º; </w:t>
      </w:r>
    </w:p>
    <w:p>
      <w:pPr>
        <w:autoSpaceDN w:val="0"/>
        <w:autoSpaceDE w:val="0"/>
        <w:widowControl/>
        <w:spacing w:line="245" w:lineRule="auto" w:before="168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definir tarifas e demais preços públicos a serem pagos pelos usuários em razão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dos serviços públicos de abastecimento de água e de esgotamento sanitário por meio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definir preço público para os procedimentos de limpeza e de remoção de resíduos, bem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como outras atividades associadas à cadeira de valor, realizados com frequência adicional àquela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estabelecida no contrato de adesão, conforme Art. 15;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avaliar e tomar providências em situações de emergência e contingência, conforme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18;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fomentar a adesão dos usuários ao serviço público;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monitorar os indicadores de desempenho, conforme Art. 27;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regulamentar sanções passíveis de aplicação aos usuários em decorrência de condutas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irregulares cometidas, conforme resolução específica; e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fiscalizar a prestação dos serviços e a cobrança adequada ao serviço prestado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disposto nesta resolução, resguardada a possibilidade de condução de processo sancionatório 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processo administrativo para apuração de cobrança indevida, regulamentados em resolução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específica. </w:t>
      </w:r>
    </w:p>
    <w:p>
      <w:pPr>
        <w:autoSpaceDN w:val="0"/>
        <w:autoSpaceDE w:val="0"/>
        <w:widowControl/>
        <w:spacing w:line="245" w:lineRule="auto" w:before="166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27. O monitoramento da prestação dos serviços públicos de abastecimento de água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esgotamento sanitário por meio de soluções alternativas será realizado, no mínimo, por meio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seguintes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indicadores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</w:p>
    <w:p>
      <w:pPr>
        <w:autoSpaceDN w:val="0"/>
        <w:autoSpaceDE w:val="0"/>
        <w:widowControl/>
        <w:spacing w:line="245" w:lineRule="auto" w:before="69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244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16 </w:t>
      </w:r>
    </w:p>
    <w:p>
      <w:pPr>
        <w:autoSpaceDN w:val="0"/>
        <w:autoSpaceDE w:val="0"/>
        <w:widowControl/>
        <w:spacing w:line="310" w:lineRule="auto" w:before="550" w:after="0"/>
        <w:ind w:left="750" w:right="172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percentual de cobertura de soluções alternativas;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percentual de soluções alternativas adequadas;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percentual de lodo com destinação final ambientalmente adequada;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percentual de usuários notificados que aderiram ao serviço público.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Os procedimentos para cálculo dos indicadores estão apresentados no ANEXO VI.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Os indicadores serão apurados com frequência trimestral e segregados por tipo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serviço, por localidade, por município e por prestador, desde que haja informações disponíveis. </w:t>
      </w:r>
    </w:p>
    <w:p>
      <w:pPr>
        <w:autoSpaceDN w:val="0"/>
        <w:tabs>
          <w:tab w:pos="750" w:val="left"/>
          <w:tab w:pos="2188" w:val="left"/>
        </w:tabs>
        <w:autoSpaceDE w:val="0"/>
        <w:widowControl/>
        <w:spacing w:line="290" w:lineRule="auto" w:before="168" w:after="0"/>
        <w:ind w:left="30" w:right="0" w:firstLine="0"/>
        <w:jc w:val="left"/>
      </w:pP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VII – DAS OBRIGAÇÕES DOS PRESTADORES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28. Com relação aos serviços de abastecimento de água e de esgotamento sanitário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prestados por meio de soluções alternativas, sem prejuízo de outras obrigações legais, compete aos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prestadores regulados: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submeter para apreciação da Arsae-MG estudo técnico demonstrando a inviabilidade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implantação da rede pública, conforme Art. 7º, § 1º;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realizar campanha de comunicação social e educação ambiental, conforme Art. 8º;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notificar usuários passíveis de atendimento por meio de soluções alternativas,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10º;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realizar vistorias preparatórias, periódicas e eventuais, conforme Art. 11, Art. 14, §§ 3º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adotar soluções alternativas adequadas apenas quando atendidos os requisitos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implantação estabelecidos pela Arsae-MG, conforme Art. 7º;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adotar apenas soluções alternativas adequadas e previstas pela Arsae-MG, conforme Art. </w:t>
      </w:r>
    </w:p>
    <w:p>
      <w:pPr>
        <w:autoSpaceDN w:val="0"/>
        <w:tabs>
          <w:tab w:pos="750" w:val="left"/>
        </w:tabs>
        <w:autoSpaceDE w:val="0"/>
        <w:widowControl/>
        <w:spacing w:line="288" w:lineRule="auto" w:before="4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3º e Art. 4º;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solicitar à Arsae-MG, quando couber, o reconhecimento de outras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abastecimento de água e esgotamento sanitário como adequadas baseados em estudos técnicos,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Art. 6º;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disponibilizar contrato de adesão para os usuários;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IX – notificar o titular e a Arsae-MG informando a relação dos usuários que não aderiram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 público mediante contrato de adesão, a existência de ação de saneamento de responsabilidade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privada, a existência de lançamento de esgoto sem tratamento ou ainda a operação irregular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alternativa, conforme Art. 12;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 – regularizar, desativar e construir  soluções alternativas, quando couber, conforme Art. 13;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 – elaborar manual e realizar a operação e manutenção das soluções alternativas, observadas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 atividades das cadeias de valor previstas no Art. 2º, IV e V;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 – fornecer cartilha orientativa para os usuários sobre a solução alternativa adotada,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Art. 17;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XIII – realizar a limpeza e a remoção de resíduos, conforme Art. 15;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XIV – realizar o faturamento e a cobrança pelos serviços prestados, conforme previsto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resoluções da Arsae-MG; </w:t>
      </w:r>
    </w:p>
    <w:p>
      <w:pPr>
        <w:autoSpaceDN w:val="0"/>
        <w:autoSpaceDE w:val="0"/>
        <w:widowControl/>
        <w:spacing w:line="245" w:lineRule="auto" w:before="8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5461000" cy="47244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17 </w:t>
      </w:r>
    </w:p>
    <w:p>
      <w:pPr>
        <w:autoSpaceDN w:val="0"/>
        <w:tabs>
          <w:tab w:pos="750" w:val="left"/>
        </w:tabs>
        <w:autoSpaceDE w:val="0"/>
        <w:widowControl/>
        <w:spacing w:line="293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 – comunicar situações de emergência e contingência à Arsae-MG, ao titular e, quando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couber, aos órgãos públicos responsáveis, conforme Art. 18;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 – realizar a capacitação e atualização técnica periódica dos funcionários e colaboradores;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XVII – manter e atualizar periodicamente cadastro de usuários e soluções alternativas,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Art. 19;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XVIII – enviar informações para a Arsae-MG, conforme previsto em resolução específica;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XIX – manter em sua guarda documentos comprobatórios do atendimento dos dispositivos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previstos nesta resolução; 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XX – solicitar à Arsae-MG a regulamentação das tarifas e dos preços públicos relacionados aos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serviços de abastecimento de água e de esgotamento sanitário alternativos, conforme Art. 21.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As condutas irregulares cometidas pelo prestador são passíveis de sanção. </w:t>
      </w:r>
    </w:p>
    <w:p>
      <w:pPr>
        <w:autoSpaceDN w:val="0"/>
        <w:tabs>
          <w:tab w:pos="750" w:val="left"/>
        </w:tabs>
        <w:autoSpaceDE w:val="0"/>
        <w:widowControl/>
        <w:spacing w:line="269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29. As atividades de reponsabilidade do prestador deverão ser executadas nos prazos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estabelecidos nesta resolução e atender, simultaneamente, as seguintes metas: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90% (noventa por cento) das atividades devem ser realizadas no prazo estipulado nesta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resolução;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100% (cem por cento) das atividades devem ser realizadas em prazo igual ao dobro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estipulado nesta resolução. </w:t>
      </w:r>
    </w:p>
    <w:p>
      <w:pPr>
        <w:autoSpaceDN w:val="0"/>
        <w:autoSpaceDE w:val="0"/>
        <w:widowControl/>
        <w:spacing w:line="310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As metas previstas no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aplicam-se às seguintes atividades: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envio de segunda notificação solicitando ao usuário o agendamento de vistoria técnica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preparatória;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realização de vistoria preparatória;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emissão de parecer técnico após vistoria preparatória;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regularização ou desativação de solução alternativa inadequada já existente;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construção de nova solução alternativa adequada;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realização de vistoria periódica; 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realização de intervenções para adequação na solução alternativa quando constatada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irregularidade nas vistorias periódicas e eventuais. </w:t>
      </w:r>
    </w:p>
    <w:p>
      <w:pPr>
        <w:autoSpaceDN w:val="0"/>
        <w:autoSpaceDE w:val="0"/>
        <w:widowControl/>
        <w:spacing w:line="245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O alcance das metas será avaliado com frequência trimestral e segregado por tipo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 e por localidade, desde que haja informações disponíveis. </w:t>
      </w:r>
    </w:p>
    <w:p>
      <w:pPr>
        <w:autoSpaceDN w:val="0"/>
        <w:tabs>
          <w:tab w:pos="750" w:val="left"/>
          <w:tab w:pos="2330" w:val="left"/>
        </w:tabs>
        <w:autoSpaceDE w:val="0"/>
        <w:widowControl/>
        <w:spacing w:line="274" w:lineRule="auto" w:before="168" w:after="0"/>
        <w:ind w:left="30" w:right="0" w:firstLine="0"/>
        <w:jc w:val="left"/>
      </w:pP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VIII – DAS OBRIGAÇÕES DOS TITULARES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30. Com relação aos serviços regulados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prestados por meio de soluções alternativas, sem prejuízo de outras obrigações legais,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compete aos titulares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elaborar e atualizar os planos de saneamento básico considerando a necessidade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de serviço por meio de soluções alternativas;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quando couber, alterar os contratos de prestação do serviço existentes que impeçam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prestação dos serviços por meio de soluções alternativas; </w:t>
      </w:r>
    </w:p>
    <w:p>
      <w:pPr>
        <w:autoSpaceDN w:val="0"/>
        <w:autoSpaceDE w:val="0"/>
        <w:widowControl/>
        <w:spacing w:line="245" w:lineRule="auto" w:before="10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270500" cy="47244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18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quando disponíveis, encaminhar para o prestador as informações sobre as edificações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possuem solução alternativa, seja individual ou coletiva, incluindo ações de saneamento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responsabilidade privada;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tomar providências em relação a usuários que não solicitaram o agendamento de vistoria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preparatória, que realizam lançamento de esgoto sem tratamento ou que operam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inadequada;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manter e publicar listagem de prestadores de serviços credenciados para a realização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atividades associadas à cadeia de valor das soluções alternativas realizadas em frequência superior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àquela estabelecida no contrato de adesão;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fomentar a adesão dos usuários ao serviço público;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6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avaliar e tomar providências em situações de emergência e contingência, conforme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18;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regulamentar sanções passíveis de aplicação aos usuários em decorrência de condutas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irregulares cometidas, conforme resolução específica;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IX – fiscalizar e aplicar sanções, por meio de suas autoridades administrativas, com o exercício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do poder de polícia, aos usuários em decorrência de condutas irregulares cometidas.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IX – DAS OBRIGAÇÕES DOS USUÁRIOS </w:t>
      </w:r>
    </w:p>
    <w:p>
      <w:pPr>
        <w:autoSpaceDN w:val="0"/>
        <w:autoSpaceDE w:val="0"/>
        <w:widowControl/>
        <w:spacing w:line="245" w:lineRule="auto" w:before="168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31. Com relação aos serviços regulados de abastecimento de água e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prestados por meio de soluções alternativas, sem prejuízo de outras obrigações legais, são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obrigações dos usuários: </w:t>
      </w:r>
    </w:p>
    <w:p>
      <w:pPr>
        <w:autoSpaceDN w:val="0"/>
        <w:autoSpaceDE w:val="0"/>
        <w:widowControl/>
        <w:spacing w:line="197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solicitar o agendamento de vistoria preparatória; </w:t>
      </w:r>
    </w:p>
    <w:p>
      <w:pPr>
        <w:autoSpaceDN w:val="0"/>
        <w:autoSpaceDE w:val="0"/>
        <w:widowControl/>
        <w:spacing w:line="245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aderir ao serviço público prestado por meio de soluções alternativas quando não for viável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ligação à rede pública; </w:t>
      </w:r>
    </w:p>
    <w:p>
      <w:pPr>
        <w:autoSpaceDN w:val="0"/>
        <w:autoSpaceDE w:val="0"/>
        <w:widowControl/>
        <w:spacing w:line="245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realizar o pagamento das tarifas e preços públicos devidos em razão da prestação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serviços públicos;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utilizar as soluções alternativas conforme orientações do prestador de serviços; </w:t>
      </w:r>
    </w:p>
    <w:p>
      <w:pPr>
        <w:autoSpaceDN w:val="0"/>
        <w:autoSpaceDE w:val="0"/>
        <w:widowControl/>
        <w:spacing w:line="245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comunicar imediatamente ao prestador eventuais sinais de mau funcionamento da 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alternativa; </w:t>
      </w:r>
    </w:p>
    <w:p>
      <w:pPr>
        <w:autoSpaceDN w:val="0"/>
        <w:autoSpaceDE w:val="0"/>
        <w:widowControl/>
        <w:spacing w:line="245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reportar ao prestador de serviço e ao titular a existência de soluções alternativas adotadas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seu imóvel; </w:t>
      </w:r>
    </w:p>
    <w:p>
      <w:pPr>
        <w:autoSpaceDN w:val="0"/>
        <w:autoSpaceDE w:val="0"/>
        <w:widowControl/>
        <w:spacing w:line="245" w:lineRule="auto" w:before="166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em caso de solução alternativa temporária, solicitar a ligação à rede pública e pagar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respectivas tarifas quando a rede for disponibilizada e a ligação for viável; e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seguir o disposto no contrato de adesão.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As condutas irregulares cometidas pelos usuários são passíveis de sanção pelo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prestador de serviços. </w:t>
      </w:r>
    </w:p>
    <w:p>
      <w:pPr>
        <w:autoSpaceDN w:val="0"/>
        <w:autoSpaceDE w:val="0"/>
        <w:widowControl/>
        <w:spacing w:line="197" w:lineRule="auto" w:before="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CAPÍTULO X – DAS DISPOSIÇÕES FINAIS E TRANSITÓRIAS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32. Para os casos omissos nesta resolução, aplica-se, de forma subsidiária, 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Resolução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Arsae-MG nº 131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 13 de novembro de 2019, e resoluções específicas sobre as tarifas e outros preços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públicos cobrados pelos serviços. </w:t>
      </w:r>
    </w:p>
    <w:p>
      <w:pPr>
        <w:autoSpaceDN w:val="0"/>
        <w:autoSpaceDE w:val="0"/>
        <w:widowControl/>
        <w:spacing w:line="245" w:lineRule="auto" w:before="8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19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550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33. O cadastro do qual trata o Art. 19 poderá ser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realizado de forma gradual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observados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os seguintes prazos e percentual de municípios abrangidos: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no prazo de 12 (doze) meses após a entrada em vigor desta resolução, mínimo de 25%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municípios;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no prazo de 24 (vinte e quatro) meses após a entrada em vigor desta resolução, mínimo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50% dos municípios;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no prazo de 36 (trinta e seis) meses após a entrada em vigor desta resolução, mínimo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100% dos municípios. </w:t>
      </w:r>
    </w:p>
    <w:p>
      <w:pPr>
        <w:autoSpaceDN w:val="0"/>
        <w:autoSpaceDE w:val="0"/>
        <w:widowControl/>
        <w:spacing w:line="245" w:lineRule="auto" w:before="168" w:after="0"/>
        <w:ind w:left="30" w:right="26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Para prestadores de serviços regulados de abrangência local, o cadastro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deverá ser integralmente realizado no prazo de 12 (doze) meses após a entrada em vigor desta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resolução.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34. A Resolução Arsae-MG nº 130, de 13 de novembro de 2019, passa a vigorar com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seguintes alterações: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“Art. 1º (...)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Parágrafo único. As disposições referentes à prestação dos serviços de esgotamento sanitário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por meio do uso de soluções alternativas serão estabelecidas em resolução específica.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(...)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30 (...)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(…)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4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As regras para prestação do serviço de esgotamento sanitário por meio de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 serão estabelecidas em resolução específica”.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35. A Tabela 2 do Anexo da Resolução Arsae-MG nº 133, de 9 de dezembro de 2019, passa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vigorar com as seguintes alterações: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na seção “operação em geral” será adicionada a não conformidade código NC-77, referente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à conduta de “descumprir metas ou prazos máximos para execução de atividades relacionadas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 de abastecimento de água ou esgotamento sanitário conforme exigências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normativas”, com gravidade leve e prazo médio, correspondente a 90 (noventa) dias úteis, para envio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ação corretiva;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na seção “operação em geral” será adicionada a não conformidade código NC-78, referente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à conduta de “descumprir a frequência mínima de realização de vistorias periódicas de cada 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 de abastecimento de água ou esgotamento sanitário conforme exigências normativas”,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 gravidade leve e prazo longo, correspondente a 180 (cento e oitenta) dias úteis, para envio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ação corretiva;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na seção “controle da qualidade da água” será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adicionada a não conformidade código NC-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79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referente à conduta de “Deixar de cumprir 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plano de amostragem para controle da qualidade da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água de soluções alternativas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conforme normas vigentes”, com gravidade leve e prazo médio,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correspondente a 90 (noventa) dias úteis, para envio de ação corretiva;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72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na seção “controle da qualidade da água” será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adicionada a não conformidade código NC-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80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referente à conduta de “deixar de cumprir os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 xml:space="preserve">padrões de potabilidade de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exigências normativas”, com gravidade média e prazo curto, correspondente a 30 (trinta)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dias úteis, para envio de ação corretiva; </w:t>
      </w:r>
    </w:p>
    <w:p>
      <w:pPr>
        <w:autoSpaceDN w:val="0"/>
        <w:autoSpaceDE w:val="0"/>
        <w:widowControl/>
        <w:spacing w:line="245" w:lineRule="auto" w:before="69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2997200</wp:posOffset>
            </wp:positionV>
            <wp:extent cx="5778500" cy="49784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97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– na seção “controle da qualidade da água” a não conformidade código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NC-47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terá a conduta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alterada para “deixar de cumprir o plano de amostragem para controle da qualidade da água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em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sistemas de abastecimento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norma vigente para os parâmetros com frequência de análise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horária, diária e semanal”;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– na seção “controle da qualidade da água” a não conformidade código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NC-48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terá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conduta alterada para “deixar de cumprir os padrões de potabilidade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em sistemas de abastecimento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de água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conforme exigências normativas”;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– na seção “controle da qualidade da água” a não conformidade código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NC-49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terá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conduta alterada para “deixar de realizar inspeção e análise trimestrais em reservatório de distribuição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>de sistema de abastecimento de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água para consumo humano conforme exigências normativas”; </w:t>
      </w:r>
    </w:p>
    <w:p>
      <w:pPr>
        <w:autoSpaceDN w:val="0"/>
        <w:autoSpaceDE w:val="0"/>
        <w:widowControl/>
        <w:spacing w:line="245" w:lineRule="auto" w:before="166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– na seção “controle da qualidade da água” a não conformidade código NC-50 terá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conduta alterada para “deixar de efetuar e registrar a limpeza e desinfecção de reservatório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distribuição de sistema de abastecimento de água para consumo humano conforme exigências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normativas”;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IX – na seção “esgotamento sanitário” a não conformidade código NC-59 terá a conduta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alterada para “descumprir a frequência mínima de monitoramento de estação de tratamento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>sistema de esgotamento sanitário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exigências normativas”;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 – na seção “esgotamento sanitário” será adicionada a não conformidade código NC-81,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referente à conduta de “descumprir a frequência mínima de monitoramento de solução alternativa de </w:t>
      </w:r>
      <w:r>
        <w:rPr>
          <w:rFonts w:ascii="Calibri" w:hAnsi="Calibri" w:eastAsia="Calibri"/>
          <w:b w:val="0"/>
          <w:i w:val="0"/>
          <w:color w:val="000000"/>
          <w:sz w:val="22"/>
        </w:rPr>
        <w:t>esgotamento sanitário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conforme exigências normativas”, com gravidade leve e prazo médio,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correspondente a 90 (noventa) dias úteis, para envio de ação corretiva;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 – na seção “esgotamento sanitário” a não conformidade código NC-60 terá a conduta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alterada para “descumprir os padrões de lançamento para efluentes de estações de tratamento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sistemas de esgotamento sanitário conforme exigências normativas”;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 – na seção “controle da qualidade da água” a não conformidade código NC-72 terá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conduta alterada para “deixar de cumprir o plano de amostragem para controle da qualidade da água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sistemas de abastecimento conforme norma vigente para os parâmetros com frequência de análise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mensal, bimestral e trimestral”;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XIII – na seção “controle da qualidade da água” a não conformidade código NC-73 terá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conduta alterada para “deixar de cumprir o plano de amostragem para controle da qualidade da água </w:t>
      </w:r>
      <w:r>
        <w:rPr>
          <w:rFonts w:ascii="Calibri" w:hAnsi="Calibri" w:eastAsia="Calibri"/>
          <w:b/>
          <w:i w:val="0"/>
          <w:color w:val="000000"/>
          <w:sz w:val="22"/>
        </w:rPr>
        <w:t>em sistemas de abastecimento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conforme norma vigente para os parâmetros com frequência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análise semestral e anual”; e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XIV – na seção “esgotamento sanitário” será adicionada a não conformidade código NC-82,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referente à conduta de “descumprir os padrões de lançamento para efluentes de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esgotamento sanitário conforme exigências normativas”, com gravidade leve e prazo médio,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correspondente a 90 (noventa) dias úteis, para envio de ação corretiva.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36. As expressões presentes na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Resolução Arsae-MG nº 203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 24 de janeiro de 2025,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receberão o seguinte tratamento: </w:t>
      </w:r>
    </w:p>
    <w:p>
      <w:pPr>
        <w:autoSpaceDN w:val="0"/>
        <w:autoSpaceDE w:val="0"/>
        <w:widowControl/>
        <w:spacing w:line="245" w:lineRule="auto" w:before="166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o serviço de esgotamento estático, citado na Resolução Arsae-MG nº 203, de 24 de janeiro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2025, corresponde ao serviço de esgotamento sanitário prestado por meio de solução alternativa,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regulamentado nesta resolução; e </w:t>
      </w:r>
    </w:p>
    <w:p>
      <w:pPr>
        <w:autoSpaceDN w:val="0"/>
        <w:autoSpaceDE w:val="0"/>
        <w:widowControl/>
        <w:spacing w:line="245" w:lineRule="auto" w:before="129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78500" cy="4749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49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21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a unidade individual de tratamento de esgoto – UITE, citada na Resolução Arsae-MG nº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203, de 24 de janeiro de 2025, corresponde a uma ou mais das soluções alternativas de esgotamento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sanitário regulamentadas no Art. 4º, § 4º, desta resolução.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37. O § 3º do Art. 1º da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Resolução Arsae-MG nº 203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 24 de janeiro de 2025, passa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vigorar com a seguinte redação: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“3º O início da cobrança fica condicionado também à observação das regras de comunicação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prévia e demais dispositivos da Resolução Arsae-MG </w:t>
      </w:r>
      <w:r>
        <w:rPr>
          <w:rFonts w:ascii="Calibri" w:hAnsi="Calibri" w:eastAsia="Calibri"/>
          <w:b w:val="0"/>
          <w:i w:val="0"/>
          <w:color w:val="000000"/>
          <w:sz w:val="22"/>
          <w:highlight w:val="yellow"/>
        </w:rPr>
        <w:t>nº ##, de ## de ###### de 2025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”.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38. A </w:t>
      </w:r>
      <w:r>
        <w:rPr>
          <w:shd w:val="clear" w:color="auto" w:fill="d2d2d2"/>
          <w:rFonts w:ascii="Calibri" w:hAnsi="Calibri" w:eastAsia="Calibri"/>
          <w:b w:val="0"/>
          <w:i w:val="0"/>
          <w:color w:val="000000"/>
          <w:sz w:val="22"/>
        </w:rPr>
        <w:t>Resolução Arsae-MG nº 205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 30 de janeiro de 2025, passa a vigorar com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seguintes alterações: </w:t>
      </w:r>
    </w:p>
    <w:p>
      <w:pPr>
        <w:autoSpaceDN w:val="0"/>
        <w:autoSpaceDE w:val="0"/>
        <w:widowControl/>
        <w:spacing w:line="245" w:lineRule="auto" w:before="164" w:after="0"/>
        <w:ind w:left="30" w:right="24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– o Anexo I da Resolução Arsae-MG nº 205, de 30 de janeiro de 2025, para a vigorar com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acréscimo disposto no ANEXO I – Nível de detalhamento, periodicidade e prazos máximos para envio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informações rotineiras – desta resolução;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– o Anexo II da Resolução Arsae-MG nº 205, de 30 de janeiro de 2025, para a vigorar com 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acréscimo disposto no ANEXO II – Modelo de formatação – desta resolução;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– o Anexo III da Resolução Arsae-MG nº 205, de 30 de janeiro de 2025, para a vigorar com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 acréscimo disposto no ANEXO III – Glossário de Informações – desta resolução; e </w:t>
      </w:r>
    </w:p>
    <w:p>
      <w:pPr>
        <w:autoSpaceDN w:val="0"/>
        <w:tabs>
          <w:tab w:pos="750" w:val="left"/>
        </w:tabs>
        <w:autoSpaceDE w:val="0"/>
        <w:widowControl/>
        <w:spacing w:line="245" w:lineRule="auto" w:before="168" w:after="0"/>
        <w:ind w:left="3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– o Anexo IV da Resolução Arsae-MG nº 205, de 30 de janeiro de 2025, para a vigorar com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 acréscimo disposto no ANEXO IV – Regras de formatação – desta resolução.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1º O registro e envio de informações sobre soluções alternativas em bases de dados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regulamentadas pela Resolução Arsae-MG nº 205, de 30 de janeiro de 2025, devem seguir o disposto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ANEXO V – Procedimento para registro e envio de informações sobre soluções alternativas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bases de dados 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2º As bases de dados operacionais com códigos de OP01 até OP11, regulamentadas pela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Resolução Arsae-MG nº 205, de 30 de janeiro de 2025, não deverão conter informações relativas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alternativas, coletivas ou individuais, de abastecimento de água ou esgotamento sanitário.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72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§ 3º O prestador e a Arsae-MG deverão realizar as alterações de que trata o </w:t>
      </w:r>
      <w:r>
        <w:rPr>
          <w:rFonts w:ascii="Calibri" w:hAnsi="Calibri" w:eastAsia="Calibri"/>
          <w:b w:val="0"/>
          <w:i/>
          <w:color w:val="000000"/>
          <w:sz w:val="22"/>
        </w:rPr>
        <w:t>caput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no prazo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(seis) meses após a entrada em vigor desta resolução, sem prejuízo à possibilidade de cadastro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gradual de que trata o Art. 33. </w:t>
      </w:r>
    </w:p>
    <w:p>
      <w:pPr>
        <w:autoSpaceDN w:val="0"/>
        <w:autoSpaceDE w:val="0"/>
        <w:widowControl/>
        <w:spacing w:line="197" w:lineRule="auto" w:before="168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Art. 39. Esta resolução entra em vigor em ## de agosto de 2025. </w:t>
      </w:r>
    </w:p>
    <w:p>
      <w:pPr>
        <w:autoSpaceDN w:val="0"/>
        <w:autoSpaceDE w:val="0"/>
        <w:widowControl/>
        <w:spacing w:line="197" w:lineRule="auto" w:before="554" w:after="0"/>
        <w:ind w:left="75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Belo Horizonte, ## de ##### de 2025. </w:t>
      </w:r>
    </w:p>
    <w:p>
      <w:pPr>
        <w:autoSpaceDN w:val="0"/>
        <w:autoSpaceDE w:val="0"/>
        <w:widowControl/>
        <w:spacing w:line="197" w:lineRule="auto" w:before="168" w:after="0"/>
        <w:ind w:left="0" w:right="318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Laura Mendes Serrano </w:t>
      </w:r>
    </w:p>
    <w:p>
      <w:pPr>
        <w:autoSpaceDN w:val="0"/>
        <w:autoSpaceDE w:val="0"/>
        <w:widowControl/>
        <w:spacing w:line="197" w:lineRule="auto" w:before="168" w:after="0"/>
        <w:ind w:left="0" w:right="355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  <w:highlight w:val="yellow"/>
        </w:rPr>
        <w:t>Diretora-Geral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245" w:lineRule="auto" w:before="296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22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ANEXOS </w:t>
      </w:r>
    </w:p>
    <w:p>
      <w:pPr>
        <w:autoSpaceDN w:val="0"/>
        <w:autoSpaceDE w:val="0"/>
        <w:widowControl/>
        <w:spacing w:line="240" w:lineRule="auto" w:before="2550" w:after="0"/>
        <w:ind w:left="5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53000" cy="4724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33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</w:p>
    <w:p>
      <w:pPr>
        <w:autoSpaceDN w:val="0"/>
        <w:autoSpaceDE w:val="0"/>
        <w:widowControl/>
        <w:spacing w:line="197" w:lineRule="auto" w:before="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402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1549400</wp:posOffset>
            </wp:positionV>
            <wp:extent cx="8547100" cy="48006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7100" cy="4800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02" w:val="left"/>
        </w:tabs>
        <w:autoSpaceDE w:val="0"/>
        <w:widowControl/>
        <w:spacing w:line="240" w:lineRule="auto" w:before="0" w:after="0"/>
        <w:ind w:left="4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899" cy="53975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899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23 </w:t>
      </w:r>
    </w:p>
    <w:p>
      <w:pPr>
        <w:autoSpaceDN w:val="0"/>
        <w:autoSpaceDE w:val="0"/>
        <w:widowControl/>
        <w:spacing w:line="197" w:lineRule="auto" w:before="550" w:after="118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I – Nível de detalhamento, periodicidade e prazos máximos para envio de informações rotineiras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745"/>
        <w:gridCol w:w="1745"/>
        <w:gridCol w:w="1745"/>
        <w:gridCol w:w="1745"/>
        <w:gridCol w:w="1745"/>
        <w:gridCol w:w="1745"/>
        <w:gridCol w:w="1745"/>
        <w:gridCol w:w="1745"/>
      </w:tblGrid>
      <w:tr>
        <w:trPr>
          <w:trHeight w:hRule="exact" w:val="272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37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Código da 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Base de dados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Nível de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Prestador 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Periodicidade de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Prazo máximo para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Nível de prioridade (regra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Setor de </w:t>
            </w:r>
          </w:p>
        </w:tc>
      </w:tr>
      <w:tr>
        <w:trPr>
          <w:trHeight w:hRule="exact" w:val="26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19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base de dados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detalhamento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envio à Arsae-MG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envio à Arsae-MG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 transição)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recebimento </w:t>
            </w:r>
          </w:p>
        </w:tc>
      </w:tr>
      <w:tr>
        <w:trPr>
          <w:trHeight w:hRule="exact" w:val="24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4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OP18 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Soluções alternativas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Por solução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Regional e 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Trimestral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Até o final do mês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Início do envio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GIO </w:t>
            </w:r>
          </w:p>
        </w:tc>
      </w:tr>
      <w:tr>
        <w:trPr>
          <w:trHeight w:hRule="exact" w:val="252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74" w:after="0"/>
              <w:ind w:left="0" w:right="4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OP19 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de abastecimento de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alternativa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local 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7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Trimestral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 subsequente ao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imediatamente após o 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7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GIO </w:t>
            </w:r>
          </w:p>
        </w:tc>
      </w:tr>
      <w:tr>
        <w:trPr>
          <w:trHeight w:hRule="exact" w:val="248"/>
        </w:trPr>
        <w:tc>
          <w:tcPr>
            <w:tcW w:type="dxa" w:w="1745"/>
            <w:vMerge/>
            <w:tcBorders/>
          </w:tcPr>
          <w:p/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água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fim de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primeiro trimestre sob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123"/>
        </w:trPr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Por solução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Regional e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cada trimestre </w:t>
            </w:r>
          </w:p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vigência da resolução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1745"/>
            <w:vMerge/>
            <w:tcBorders/>
          </w:tcPr>
          <w:p/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Soluções alternativas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Até o final do mês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Início do envio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745"/>
            <w:vMerge/>
            <w:tcBorders/>
          </w:tcPr>
          <w:p/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de esgotamento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alternativa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local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 subsequente ao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imediatamente após o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745"/>
            <w:vMerge/>
            <w:tcBorders/>
          </w:tcPr>
          <w:p/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sanitário </w:t>
            </w:r>
          </w:p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fim de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primeiro trimestre sob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286"/>
        </w:trPr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745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trimestre 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vigência da resolução </w:t>
            </w:r>
          </w:p>
        </w:tc>
        <w:tc>
          <w:tcPr>
            <w:tcW w:type="dxa" w:w="1745"/>
            <w:vMerge/>
            <w:tcBorders/>
          </w:tcPr>
          <w:p/>
        </w:tc>
      </w:tr>
      <w:tr>
        <w:trPr>
          <w:trHeight w:hRule="exact" w:val="5624"/>
        </w:trPr>
        <w:tc>
          <w:tcPr>
            <w:tcW w:type="dxa" w:w="13580"/>
            <w:gridSpan w:val="8"/>
            <w:tcBorders>
              <w:bottom w:sz="4.0" w:val="single" w:color="#0885A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4" w:lineRule="auto" w:before="1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andar. Bairro Serra Verde, Belo Horizonte (MG). CEP </w:t>
      </w:r>
    </w:p>
    <w:p>
      <w:pPr>
        <w:autoSpaceDN w:val="0"/>
        <w:autoSpaceDE w:val="0"/>
        <w:widowControl/>
        <w:spacing w:line="194" w:lineRule="auto" w:before="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>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6838" w:h="11906"/>
          <w:pgMar w:top="356" w:right="1440" w:bottom="3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24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II – Modelo de formatação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Este anexo será disponibilizado no site da Arsae-MG, na página eletrônica desta resolução. </w:t>
      </w:r>
    </w:p>
    <w:p>
      <w:pPr>
        <w:autoSpaceDN w:val="0"/>
        <w:autoSpaceDE w:val="0"/>
        <w:widowControl/>
        <w:spacing w:line="240" w:lineRule="auto" w:before="2160" w:after="0"/>
        <w:ind w:left="5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53000" cy="47244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33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</w:p>
    <w:p>
      <w:pPr>
        <w:autoSpaceDN w:val="0"/>
        <w:autoSpaceDE w:val="0"/>
        <w:widowControl/>
        <w:spacing w:line="197" w:lineRule="auto" w:before="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402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25 </w:t>
      </w:r>
    </w:p>
    <w:p>
      <w:pPr>
        <w:autoSpaceDN w:val="0"/>
        <w:autoSpaceDE w:val="0"/>
        <w:widowControl/>
        <w:spacing w:line="295" w:lineRule="auto" w:before="550" w:after="0"/>
        <w:ind w:left="30" w:right="0" w:firstLine="2834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III – Glossário de Informações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OP18: Soluções alternativas de abastecimento de água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Descrição da base de dados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São informações cadastrais de soluções alternativas de abastecimento de água, sejam coletivas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individuais, identificadas pelo prestador. </w:t>
      </w:r>
    </w:p>
    <w:p>
      <w:pPr>
        <w:autoSpaceDN w:val="0"/>
        <w:autoSpaceDE w:val="0"/>
        <w:widowControl/>
        <w:spacing w:line="283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Lista de variáveis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1) Código do IBGE para o município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do IBGE para o município”,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59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2) Município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“Nome do município”,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3) Código para a localidade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para a localidade”,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4) Localidade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“Nome da localidade”,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71" w:lineRule="auto" w:before="168" w:after="0"/>
        <w:ind w:left="30" w:right="100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5) Código identificador do usuário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identificador do usuário”, na seção 3.12 (OP12 – Solicitações e reclamações). </w:t>
      </w:r>
    </w:p>
    <w:p>
      <w:pPr>
        <w:autoSpaceDN w:val="0"/>
        <w:autoSpaceDE w:val="0"/>
        <w:widowControl/>
        <w:spacing w:line="254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6) Matrícula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numérica correspondente ao número de matrícula do imóvel, conforme seções 3.12 (OP12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– Solicitações e reclamações) e 3.13 (OP13 – Ordens de serviços). É diferente do “Número do imóvel”,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seção 3.13.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7) Latitude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Coordenada geográfica de latitude da localização da solução alternativa no formato graus, minutos e </w:t>
      </w:r>
      <w:r>
        <w:rPr>
          <w:rFonts w:ascii="Calibri" w:hAnsi="Calibri" w:eastAsia="Calibri"/>
          <w:b w:val="0"/>
          <w:i w:val="0"/>
          <w:color w:val="000000"/>
          <w:sz w:val="22"/>
        </w:rPr>
        <w:t>segundos. As informações devem ser reportadas no seguinte formato e intervalo: entre -14º13'58" e 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22º54'00" ou 14°13'58"S e 22°54'00"S.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8) Longitude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Coordenada geográfica de longitude da localização da solução alternativa no formato graus, minutos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segundos. As informações devem ser reportadas no seguinte formato e intervalo: entre -39º51'32"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-51º02'35" ou 39°51'32"O e 51°02'35"O.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9) Datum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Datum geodésico considerado na obtenção das variáveis Latitude e Longitude da localização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alternativa. Exemplos: SIRGAS2000 (Sistema de Referência Geocêntrico para as Américas),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SAD69 (South American Datum 1969), CA (Córrego Alegre), WGS84 (World Geodetic System).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10) Solicitação de agendamento de vistoria pelo usuário </w:t>
      </w:r>
    </w:p>
    <w:p>
      <w:pPr>
        <w:autoSpaceDN w:val="0"/>
        <w:autoSpaceDE w:val="0"/>
        <w:widowControl/>
        <w:spacing w:line="245" w:lineRule="auto" w:before="92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26 </w:t>
      </w:r>
    </w:p>
    <w:p>
      <w:pPr>
        <w:autoSpaceDN w:val="0"/>
        <w:tabs>
          <w:tab w:pos="390" w:val="left"/>
        </w:tabs>
        <w:autoSpaceDE w:val="0"/>
        <w:widowControl/>
        <w:spacing w:line="264" w:lineRule="auto" w:before="550" w:after="0"/>
        <w:ind w:left="30" w:right="518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Não; ou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avaliado. </w:t>
      </w:r>
    </w:p>
    <w:p>
      <w:pPr>
        <w:autoSpaceDN w:val="0"/>
        <w:tabs>
          <w:tab w:pos="390" w:val="left"/>
        </w:tabs>
        <w:autoSpaceDE w:val="0"/>
        <w:widowControl/>
        <w:spacing w:line="278" w:lineRule="auto" w:before="168" w:after="0"/>
        <w:ind w:left="30" w:right="5184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11) Adesão do usuário ao serviço público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Não; ou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avaliado. </w:t>
      </w:r>
    </w:p>
    <w:p>
      <w:pPr>
        <w:autoSpaceDN w:val="0"/>
        <w:autoSpaceDE w:val="0"/>
        <w:widowControl/>
        <w:spacing w:line="262" w:lineRule="auto" w:before="170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12) Data da adesão do usuário ao serviço público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a data da assinatura do contrato de adesão pelo usuário, reportada no formato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numérico, na sequência dia/mês/ano (dd/mm/aaaa) e não por extenso. </w:t>
      </w:r>
    </w:p>
    <w:p>
      <w:pPr>
        <w:autoSpaceDN w:val="0"/>
        <w:autoSpaceDE w:val="0"/>
        <w:widowControl/>
        <w:spacing w:line="269" w:lineRule="auto" w:before="168" w:after="64"/>
        <w:ind w:left="30" w:right="345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13) Ação necessária para implantação da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4586"/>
        <w:gridCol w:w="4586"/>
      </w:tblGrid>
      <w:tr>
        <w:trPr>
          <w:trHeight w:hRule="exact" w:val="1518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31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Nenhuma;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e construção;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Outra (especificar). </w:t>
            </w:r>
          </w:p>
        </w:tc>
      </w:tr>
    </w:tbl>
    <w:p>
      <w:pPr>
        <w:autoSpaceDN w:val="0"/>
        <w:autoSpaceDE w:val="0"/>
        <w:widowControl/>
        <w:spacing w:line="254" w:lineRule="auto" w:before="10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14) Código identificador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utilizada pelo prestador de serviços para identificar cada solução alternativa, seja coletiva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 individual. Esse código é similar ao “Código identificador do sistema ou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coletiva”, na seção 3.12 (OP12 – Solicitações e reclamações). </w:t>
      </w:r>
    </w:p>
    <w:p>
      <w:pPr>
        <w:autoSpaceDN w:val="0"/>
        <w:autoSpaceDE w:val="0"/>
        <w:widowControl/>
        <w:spacing w:line="271" w:lineRule="auto" w:before="168" w:after="0"/>
        <w:ind w:left="30" w:right="388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15) Imobilizado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“Imobilizado”, na seção 3.23 (EC10 – Base de Ativos). </w:t>
      </w:r>
    </w:p>
    <w:p>
      <w:pPr>
        <w:autoSpaceDN w:val="0"/>
        <w:autoSpaceDE w:val="0"/>
        <w:widowControl/>
        <w:spacing w:line="271" w:lineRule="auto" w:before="168" w:after="0"/>
        <w:ind w:left="30" w:right="417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16) Subnível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“Subnível”, na seção 3.23 (EC10 – Base de Ativos). </w:t>
      </w:r>
    </w:p>
    <w:p>
      <w:pPr>
        <w:autoSpaceDN w:val="0"/>
        <w:autoSpaceDE w:val="0"/>
        <w:widowControl/>
        <w:spacing w:line="262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17) Tipo de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o nome de uma das soluções alternativas de abastecimento de água indicadas no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3º, § 2º, ou homologada pela Arsae-MG, conforme Art. 6º. </w:t>
      </w:r>
    </w:p>
    <w:p>
      <w:pPr>
        <w:autoSpaceDN w:val="0"/>
        <w:autoSpaceDE w:val="0"/>
        <w:widowControl/>
        <w:spacing w:line="262" w:lineRule="auto" w:before="168" w:after="64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18) Adequação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Indicar se a solução alternativa de abastecimento de água é adequada, preenchendo com uma das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categorias padrão: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4586"/>
        <w:gridCol w:w="4586"/>
      </w:tblGrid>
      <w:tr>
        <w:trPr>
          <w:trHeight w:hRule="exact" w:val="956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37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Sim;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Não; ou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Não avaliado. </w:t>
            </w:r>
          </w:p>
        </w:tc>
      </w:tr>
    </w:tbl>
    <w:p>
      <w:pPr>
        <w:autoSpaceDN w:val="0"/>
        <w:autoSpaceDE w:val="0"/>
        <w:widowControl/>
        <w:spacing w:line="271" w:lineRule="auto" w:before="108" w:after="0"/>
        <w:ind w:left="30" w:right="5184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19) Tipo de manancial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</w:p>
    <w:p>
      <w:pPr>
        <w:autoSpaceDN w:val="0"/>
        <w:autoSpaceDE w:val="0"/>
        <w:widowControl/>
        <w:spacing w:line="245" w:lineRule="auto" w:before="61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3057"/>
        <w:gridCol w:w="3057"/>
        <w:gridCol w:w="3057"/>
      </w:tblGrid>
      <w:tr>
        <w:trPr>
          <w:trHeight w:hRule="exact" w:val="1130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8900" cy="53975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539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4" w:after="0"/>
              <w:ind w:left="0" w:right="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27 </w:t>
            </w:r>
          </w:p>
        </w:tc>
      </w:tr>
      <w:tr>
        <w:trPr>
          <w:trHeight w:hRule="exact" w:val="480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2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Superficial; ou </w:t>
            </w:r>
          </w:p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3057"/>
            <w:vMerge/>
            <w:tcBorders/>
          </w:tcPr>
          <w:p/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312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Subterrâneo. </w:t>
            </w:r>
          </w:p>
        </w:tc>
        <w:tc>
          <w:tcPr>
            <w:tcW w:type="dxa" w:w="305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2" w:lineRule="auto" w:before="10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20) Nome do manancial superficial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Nome do corpo d’água superficial no qual é realizada a captação, conforme grafia utilizada nos bancos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dados dos órgãos gestores de recursos hídricos, por extenso e sem abreviaturas. </w:t>
      </w:r>
    </w:p>
    <w:p>
      <w:pPr>
        <w:autoSpaceDN w:val="0"/>
        <w:tabs>
          <w:tab w:pos="390" w:val="left"/>
        </w:tabs>
        <w:autoSpaceDE w:val="0"/>
        <w:widowControl/>
        <w:spacing w:line="278" w:lineRule="auto" w:before="168" w:after="0"/>
        <w:ind w:left="30" w:right="5184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21) Tipo de licença de captação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Cadastro de uso insignificante;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Outorga; ou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possui. </w:t>
      </w:r>
    </w:p>
    <w:p>
      <w:pPr>
        <w:autoSpaceDN w:val="0"/>
        <w:autoSpaceDE w:val="0"/>
        <w:widowControl/>
        <w:spacing w:line="271" w:lineRule="auto" w:before="168" w:after="0"/>
        <w:ind w:left="30" w:right="144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22) Número de economias atendidas (economias)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de economias atendidas pela solução alternativa de abastecimento de água. </w:t>
      </w:r>
    </w:p>
    <w:p>
      <w:pPr>
        <w:autoSpaceDN w:val="0"/>
        <w:autoSpaceDE w:val="0"/>
        <w:widowControl/>
        <w:spacing w:line="271" w:lineRule="auto" w:before="168" w:after="0"/>
        <w:ind w:left="30" w:right="2592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23) População atendida (habitantes)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População atendida pela solução alternativa de abastecimento de água. </w:t>
      </w:r>
    </w:p>
    <w:p>
      <w:pPr>
        <w:autoSpaceDN w:val="0"/>
        <w:tabs>
          <w:tab w:pos="390" w:val="left"/>
        </w:tabs>
        <w:autoSpaceDE w:val="0"/>
        <w:widowControl/>
        <w:spacing w:line="271" w:lineRule="auto" w:before="164" w:after="0"/>
        <w:ind w:left="30" w:right="100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24) Tipo de destinação final ambientalmente adequada do lodo do tratamento de água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Disposição final em aterro sanitário;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Reúso;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é gerado lodo;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se sabe; ou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Outro (especificar).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25) Data da última vistoria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a data da última vistoria realizada pelo prestador, reportada no formato numérico, na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dia/mês/ano (dd/mm/aaaa) e não por extenso. </w:t>
      </w:r>
    </w:p>
    <w:p>
      <w:pPr>
        <w:autoSpaceDN w:val="0"/>
        <w:autoSpaceDE w:val="0"/>
        <w:widowControl/>
        <w:spacing w:line="271" w:lineRule="auto" w:before="168" w:after="0"/>
        <w:ind w:left="30" w:right="360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26) Vazão de água captada (m³/h)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Vazão média, em metros cúbicos por hora, de água captada. </w:t>
      </w:r>
    </w:p>
    <w:p>
      <w:pPr>
        <w:autoSpaceDN w:val="0"/>
        <w:autoSpaceDE w:val="0"/>
        <w:widowControl/>
        <w:spacing w:line="259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27) Cor aparente (uH)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252" w:lineRule="auto" w:before="170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28) Número de análises realizadas para cor aparente 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cor aparente, desconsiderando-se as recoletas,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pelo Ministério da Saúde. Devem ser consideradas as análises realizadas do primeiro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último dia do período de referência.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29) Número de análises em desconformidade com o padrão de potabilidade para cor aparente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cor aparente, desconsiderando-se as recoletas, cujo resultado não </w:t>
      </w:r>
    </w:p>
    <w:p>
      <w:pPr>
        <w:autoSpaceDN w:val="0"/>
        <w:autoSpaceDE w:val="0"/>
        <w:widowControl/>
        <w:spacing w:line="245" w:lineRule="auto" w:before="66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28 </w:t>
      </w:r>
    </w:p>
    <w:p>
      <w:pPr>
        <w:autoSpaceDN w:val="0"/>
        <w:autoSpaceDE w:val="0"/>
        <w:widowControl/>
        <w:spacing w:line="245" w:lineRule="auto" w:before="5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atende ao padrão de potabilidade estabelecido pelo Ministério da Saúde. Devem ser consideradas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análises 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30) Turbidez (uT)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31) Número de análises realizadas para turbidez (análises)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turbidez, desconsiderando-se as recoletas, conforme estabelecido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pelo Ministério da Saúde.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197" w:lineRule="auto" w:before="166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32) Número de análises em desconformidade com o padrão de potabilidade para turbidez (análises)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turbidez, desconsiderando-se as recoletas, cujo resultado não atende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ao padrão de potabilidade estabelecido pelo Ministério da Saúde. Devem ser consideradas as análises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33) pH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34) Número de análises realizadas para pH (análises) </w:t>
      </w:r>
    </w:p>
    <w:p>
      <w:pPr>
        <w:autoSpaceDN w:val="0"/>
        <w:autoSpaceDE w:val="0"/>
        <w:widowControl/>
        <w:spacing w:line="245" w:lineRule="auto" w:before="164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pH, desconsiderando-se as recoletas, conforme estabelecido pelo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Ministério da Saúde.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35) Número de análises em desconformidade com o padrão de potabilidade para pH (análises)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pH, desconsiderando-se as recoletas, cujo resultado não atende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padrão de potabilidade estabelecido pelo Ministério da Saúde. Devem ser consideradas as análises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36) Cloro (mg/L) </w:t>
      </w:r>
    </w:p>
    <w:p>
      <w:pPr>
        <w:autoSpaceDN w:val="0"/>
        <w:autoSpaceDE w:val="0"/>
        <w:widowControl/>
        <w:spacing w:line="245" w:lineRule="auto" w:before="164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197" w:lineRule="auto" w:before="170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37) Número de análises realizadas para cloro residual livre (análises)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cloro residual livre, desconsiderando-se as recoletas,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pelo Ministério da Saúde. Devem ser consideradas as análises realizadas do primeiro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último dia do período de referência.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38) Número de análises em desconformidade com o padrão de potabilidade para cloro residual livre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(análises) </w:t>
      </w:r>
    </w:p>
    <w:p>
      <w:pPr>
        <w:autoSpaceDN w:val="0"/>
        <w:autoSpaceDE w:val="0"/>
        <w:widowControl/>
        <w:spacing w:line="245" w:lineRule="auto" w:before="1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cloro residual livre, desconsiderando-se as recoletas, cujo resultado </w:t>
      </w:r>
    </w:p>
    <w:p>
      <w:pPr>
        <w:autoSpaceDN w:val="0"/>
        <w:autoSpaceDE w:val="0"/>
        <w:widowControl/>
        <w:spacing w:line="245" w:lineRule="auto" w:before="7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29 </w:t>
      </w:r>
    </w:p>
    <w:p>
      <w:pPr>
        <w:autoSpaceDN w:val="0"/>
        <w:autoSpaceDE w:val="0"/>
        <w:widowControl/>
        <w:spacing w:line="245" w:lineRule="auto" w:before="5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atende ao padrão de potabilidade estabelecido pelo Ministério da Saúde. Devem ser consideradas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 análises 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39) Coliformes totais (unidades/100mL)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40) Número de análises realizadas para coliformes totais (análises)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coliformes totais, desconsiderando-se as recoletas,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pelo Ministério da Saúde. Devem ser consideradas as análises realizadas do primeiro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último dia do período de referência. </w:t>
      </w:r>
    </w:p>
    <w:p>
      <w:pPr>
        <w:autoSpaceDN w:val="0"/>
        <w:autoSpaceDE w:val="0"/>
        <w:widowControl/>
        <w:spacing w:line="245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41) Número de análises em desconformidade com o padrão de potabilidade para coliformes totais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(análises)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coliformes totais, desconsiderando-se as recoletas, cujo resultado não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atende ao padrão de potabilidade estabelecido pelo Ministério da Saúde. Devem ser consideradas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análises 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42)</w:t>
      </w:r>
      <w:r>
        <w:rPr>
          <w:rFonts w:ascii="Calibri" w:hAnsi="Calibri" w:eastAsia="Calibri"/>
          <w:b/>
          <w:i/>
          <w:color w:val="000000"/>
          <w:sz w:val="22"/>
        </w:rPr>
        <w:t xml:space="preserve"> Escherichia</w:t>
      </w:r>
      <w:r>
        <w:rPr>
          <w:rFonts w:ascii="Calibri" w:hAnsi="Calibri" w:eastAsia="Calibri"/>
          <w:b/>
          <w:i/>
          <w:color w:val="000000"/>
          <w:sz w:val="22"/>
        </w:rPr>
        <w:t>coli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(unidades/100mL)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 médio registrado no período, conforme periodicidade de envio da base de dados.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periodicidade trimestral, a média deve corresponder à do último trimestre.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43) Número de análises realizadas para </w:t>
      </w:r>
      <w:r>
        <w:rPr>
          <w:rFonts w:ascii="Calibri" w:hAnsi="Calibri" w:eastAsia="Calibri"/>
          <w:b/>
          <w:i/>
          <w:color w:val="000000"/>
          <w:sz w:val="22"/>
        </w:rPr>
        <w:t>Escherichia</w:t>
      </w:r>
      <w:r>
        <w:rPr>
          <w:rFonts w:ascii="Calibri" w:hAnsi="Calibri" w:eastAsia="Calibri"/>
          <w:b/>
          <w:i/>
          <w:color w:val="000000"/>
          <w:sz w:val="22"/>
        </w:rPr>
        <w:t>coli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(análises) </w:t>
      </w:r>
    </w:p>
    <w:p>
      <w:pPr>
        <w:autoSpaceDN w:val="0"/>
        <w:autoSpaceDE w:val="0"/>
        <w:widowControl/>
        <w:spacing w:line="245" w:lineRule="auto" w:before="166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</w:t>
      </w:r>
      <w:r>
        <w:rPr>
          <w:rFonts w:ascii="Calibri" w:hAnsi="Calibri" w:eastAsia="Calibri"/>
          <w:b w:val="0"/>
          <w:i/>
          <w:color w:val="000000"/>
          <w:sz w:val="22"/>
        </w:rPr>
        <w:t>Escherichia</w:t>
      </w:r>
      <w:r>
        <w:rPr>
          <w:rFonts w:ascii="Calibri" w:hAnsi="Calibri" w:eastAsia="Calibri"/>
          <w:b w:val="0"/>
          <w:i/>
          <w:color w:val="000000"/>
          <w:sz w:val="22"/>
        </w:rPr>
        <w:t>coli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desconsiderando-se as recoletas, conforme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estabelecido pelo Ministério da Saúde. Devem ser consideradas as análises realizadas do primeiro ao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último dia do período de referência.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44) Número de análises em desconformidade com o padrão de potabilidade para </w:t>
      </w:r>
      <w:r>
        <w:rPr>
          <w:rFonts w:ascii="Calibri" w:hAnsi="Calibri" w:eastAsia="Calibri"/>
          <w:b/>
          <w:i/>
          <w:color w:val="000000"/>
          <w:sz w:val="22"/>
        </w:rPr>
        <w:t>Escherichia</w:t>
      </w:r>
      <w:r>
        <w:rPr>
          <w:rFonts w:ascii="Calibri" w:hAnsi="Calibri" w:eastAsia="Calibri"/>
          <w:b/>
          <w:i/>
          <w:color w:val="000000"/>
          <w:sz w:val="22"/>
        </w:rPr>
        <w:t xml:space="preserve">coli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(análises)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controle da qualidade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água referente ao parâmetro </w:t>
      </w:r>
      <w:r>
        <w:rPr>
          <w:rFonts w:ascii="Calibri" w:hAnsi="Calibri" w:eastAsia="Calibri"/>
          <w:b w:val="0"/>
          <w:i/>
          <w:color w:val="000000"/>
          <w:sz w:val="22"/>
        </w:rPr>
        <w:t>Escherichia</w:t>
      </w:r>
      <w:r>
        <w:rPr>
          <w:rFonts w:ascii="Calibri" w:hAnsi="Calibri" w:eastAsia="Calibri"/>
          <w:b w:val="0"/>
          <w:i/>
          <w:color w:val="000000"/>
          <w:sz w:val="22"/>
        </w:rPr>
        <w:t>coli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desconsiderando-se as recoletas, cujo resultado não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atende ao padrão de potabilidade estabelecido pelo Ministério da Saúde. Devem ser consideradas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análises realizadas do primeiro ao último dia do período de referência. </w:t>
      </w:r>
    </w:p>
    <w:p>
      <w:pPr>
        <w:autoSpaceDN w:val="0"/>
        <w:autoSpaceDE w:val="0"/>
        <w:widowControl/>
        <w:spacing w:line="197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45) Volume de lodo gerado no tratamento de água no ano (m³)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Volume total, medido ou estimado, de lodo gerado no processo de tratamento da água quando há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etapa de filtração com geração de lodo.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46) Volume de lodo gerado no tratamento de água e que recebeu destinação ambientalmente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adequada no ano (m³)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Volume total, medido ou estimado, de lodo gerado no processo de tratamento de água que recebeu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destinação ambientalmente adequada.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47) Observação </w:t>
      </w:r>
    </w:p>
    <w:p>
      <w:pPr>
        <w:autoSpaceDN w:val="0"/>
        <w:autoSpaceDE w:val="0"/>
        <w:widowControl/>
        <w:spacing w:line="245" w:lineRule="auto" w:before="166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Informações adicionais relevantes, esclarecimentos e justificativas, quando necessários, para 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valores informados para as demais variáveis da base de dados. </w:t>
      </w:r>
    </w:p>
    <w:p>
      <w:pPr>
        <w:autoSpaceDN w:val="0"/>
        <w:autoSpaceDE w:val="0"/>
        <w:widowControl/>
        <w:spacing w:line="245" w:lineRule="auto" w:before="7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30 </w:t>
      </w:r>
    </w:p>
    <w:p>
      <w:pPr>
        <w:autoSpaceDN w:val="0"/>
        <w:autoSpaceDE w:val="0"/>
        <w:widowControl/>
        <w:spacing w:line="283" w:lineRule="auto" w:before="550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OP19: Soluções alternativas de esgotamento sanitário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Descrição da base de dados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São informações cadastrais de soluções alternativas de esgotamento sanitário, sejam coletivas ou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individuais, identificadas pelo prestador. </w:t>
      </w:r>
    </w:p>
    <w:p>
      <w:pPr>
        <w:autoSpaceDN w:val="0"/>
        <w:autoSpaceDE w:val="0"/>
        <w:widowControl/>
        <w:spacing w:line="281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Lista de variáveis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1) Código do IBGE para o município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do IBGE para o município”,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59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2) Município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“Nome do município”,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3) Código para a localidade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para a localidade”,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4) Localidade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“Nome da localidade”, na seção 3.1 (OP01 – Informações operacionais do serviço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abastecimento de água). </w:t>
      </w:r>
    </w:p>
    <w:p>
      <w:pPr>
        <w:autoSpaceDN w:val="0"/>
        <w:autoSpaceDE w:val="0"/>
        <w:widowControl/>
        <w:spacing w:line="271" w:lineRule="auto" w:before="168" w:after="0"/>
        <w:ind w:left="30" w:right="100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5) Código identificador do usuário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“Código identificador do usuário”, na seção 3.12 (OP12 – Solicitações e reclamações).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6) Matrícula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numérica correspondente ao número de matrícula do imóvel, conforme seções 3.12 (OP12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– Solicitações e reclamações) e 3.13 (OP13 – Ordens de serviços). É diferente do “Número do imóvel”,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 seção 3.13.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7) Latitude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Coordenada geográfica de latitude da localização da solução alternativa no formato graus, minutos e </w:t>
      </w:r>
      <w:r>
        <w:rPr>
          <w:rFonts w:ascii="Calibri" w:hAnsi="Calibri" w:eastAsia="Calibri"/>
          <w:b w:val="0"/>
          <w:i w:val="0"/>
          <w:color w:val="000000"/>
          <w:sz w:val="22"/>
        </w:rPr>
        <w:t>segundos. As informações devem ser reportadas no seguinte formato e intervalo: entre -14º13'58" e 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22º54'00" ou 14°13'58"S e 22°54'00"S.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8) Longitude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Coordenada geográfica de longitude da localização da solução alternativa no formato graus, minutos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segundos. As informações devem ser reportadas no seguinte formato e intervalo: entre -39º51'32"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 -51º02'35" ou 39°51'32"O e 51°02'35"O.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9) Datum da localização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Datum geodésico considerado na obtenção das variáveis Latitude e Longitude da localização 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solução alternativa. Exemplos: SIRGAS2000 (Sistema de Referência Geocêntrico para as Américas),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SAD69 (South American Datum 1969), CA (Córrego Alegre), WGS84 (World Geodetic System). </w:t>
      </w:r>
    </w:p>
    <w:p>
      <w:pPr>
        <w:autoSpaceDN w:val="0"/>
        <w:autoSpaceDE w:val="0"/>
        <w:widowControl/>
        <w:spacing w:line="271" w:lineRule="auto" w:before="168" w:after="0"/>
        <w:ind w:left="30" w:right="388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10) Solicitação de agendamento de vistoria pelo usuário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</w:p>
    <w:p>
      <w:pPr>
        <w:autoSpaceDN w:val="0"/>
        <w:autoSpaceDE w:val="0"/>
        <w:widowControl/>
        <w:spacing w:line="245" w:lineRule="auto" w:before="92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3057"/>
        <w:gridCol w:w="3057"/>
        <w:gridCol w:w="3057"/>
      </w:tblGrid>
      <w:tr>
        <w:trPr>
          <w:trHeight w:hRule="exact" w:val="1130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8900" cy="53975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539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4" w:after="0"/>
              <w:ind w:left="0" w:right="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31 </w:t>
            </w:r>
          </w:p>
        </w:tc>
      </w:tr>
      <w:tr>
        <w:trPr>
          <w:trHeight w:hRule="exact" w:val="480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2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Sim; </w:t>
            </w:r>
          </w:p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3057"/>
            <w:vMerge/>
            <w:tcBorders/>
          </w:tcPr>
          <w:p/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Não; ou </w:t>
            </w:r>
          </w:p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344"/>
        </w:trPr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Não avaliado. </w:t>
            </w:r>
          </w:p>
        </w:tc>
        <w:tc>
          <w:tcPr>
            <w:tcW w:type="dxa" w:w="3057"/>
            <w:vMerge/>
            <w:tcBorders/>
          </w:tcPr>
          <w:p/>
        </w:tc>
      </w:tr>
    </w:tbl>
    <w:p>
      <w:pPr>
        <w:autoSpaceDN w:val="0"/>
        <w:tabs>
          <w:tab w:pos="390" w:val="left"/>
        </w:tabs>
        <w:autoSpaceDE w:val="0"/>
        <w:widowControl/>
        <w:spacing w:line="278" w:lineRule="auto" w:before="108" w:after="0"/>
        <w:ind w:left="30" w:right="5184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11) Adesão do usuário ao serviço público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Não; ou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avaliado. </w:t>
      </w:r>
    </w:p>
    <w:p>
      <w:pPr>
        <w:autoSpaceDN w:val="0"/>
        <w:autoSpaceDE w:val="0"/>
        <w:widowControl/>
        <w:spacing w:line="26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12) Data da adesão do usuário ao serviço público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a data da assinatura do contrato de adesão pelo usuário, reportada no formato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numérico, na sequência dia/mês/ano (dd/mm/aaaa) e não por extenso. </w:t>
      </w:r>
    </w:p>
    <w:p>
      <w:pPr>
        <w:autoSpaceDN w:val="0"/>
        <w:tabs>
          <w:tab w:pos="390" w:val="left"/>
        </w:tabs>
        <w:autoSpaceDE w:val="0"/>
        <w:widowControl/>
        <w:spacing w:line="271" w:lineRule="auto" w:before="168" w:after="0"/>
        <w:ind w:left="30" w:right="345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13) Ação necessária para implantação da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Nenhuma;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Regularização;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Construção;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Desativação e construção;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Outra (especificar). </w:t>
      </w:r>
    </w:p>
    <w:p>
      <w:pPr>
        <w:autoSpaceDN w:val="0"/>
        <w:autoSpaceDE w:val="0"/>
        <w:widowControl/>
        <w:spacing w:line="254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14) Código identificador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utilizada pelo prestador de serviços para identificar cada solução alternativa, seja coletiva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 individual. Esse código é similar ao “Código identificador do sistema ou solução alternativa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coletiva”, na seção 3.12 (OP12 – Solicitações e reclamações). </w:t>
      </w:r>
    </w:p>
    <w:p>
      <w:pPr>
        <w:autoSpaceDN w:val="0"/>
        <w:autoSpaceDE w:val="0"/>
        <w:widowControl/>
        <w:spacing w:line="271" w:lineRule="auto" w:before="168" w:after="0"/>
        <w:ind w:left="30" w:right="388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15) Imobilizado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“Imobilizado”, na seção 3.23 (EC10 – Base de Ativos). </w:t>
      </w:r>
    </w:p>
    <w:p>
      <w:pPr>
        <w:autoSpaceDN w:val="0"/>
        <w:autoSpaceDE w:val="0"/>
        <w:widowControl/>
        <w:spacing w:line="271" w:lineRule="auto" w:before="168" w:after="0"/>
        <w:ind w:left="30" w:right="417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16) Subnível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 “Subnível”, na seção 3.23 (EC10 – Base de Ativos). </w:t>
      </w:r>
    </w:p>
    <w:p>
      <w:pPr>
        <w:autoSpaceDN w:val="0"/>
        <w:autoSpaceDE w:val="0"/>
        <w:widowControl/>
        <w:spacing w:line="262" w:lineRule="auto" w:before="166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17) Tipo de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o nome de uma das soluções alternativas de esgotamento sanitário indicadas no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4º, § 1º, ou homologada pela Arsae-MG, conforme Art. 6º. </w:t>
      </w:r>
    </w:p>
    <w:p>
      <w:pPr>
        <w:autoSpaceDN w:val="0"/>
        <w:tabs>
          <w:tab w:pos="390" w:val="left"/>
        </w:tabs>
        <w:autoSpaceDE w:val="0"/>
        <w:widowControl/>
        <w:spacing w:line="27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18) Adequação da solução alternativa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Indicar se a solução alternativa de esgotamento sanitário é adequada, preenchendo com uma das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Não; ou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avaliado. </w:t>
      </w:r>
    </w:p>
    <w:p>
      <w:pPr>
        <w:autoSpaceDN w:val="0"/>
        <w:autoSpaceDE w:val="0"/>
        <w:widowControl/>
        <w:spacing w:line="271" w:lineRule="auto" w:before="168" w:after="62"/>
        <w:ind w:left="30" w:right="360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19) Natureza do esgoto gerado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o campo com uma ou mais das categorias padrão: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86"/>
        <w:gridCol w:w="4586"/>
      </w:tblGrid>
      <w:tr>
        <w:trPr>
          <w:trHeight w:hRule="exact" w:val="792"/>
        </w:trPr>
        <w:tc>
          <w:tcPr>
            <w:tcW w:type="dxa" w:w="252"/>
            <w:tcBorders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828"/>
            <w:tcBorders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1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Doméstico; </w:t>
            </w:r>
          </w:p>
        </w:tc>
      </w:tr>
    </w:tbl>
    <w:p>
      <w:pPr>
        <w:autoSpaceDN w:val="0"/>
        <w:autoSpaceDE w:val="0"/>
        <w:widowControl/>
        <w:spacing w:line="245" w:lineRule="auto" w:before="14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3057"/>
        <w:gridCol w:w="3057"/>
        <w:gridCol w:w="3057"/>
      </w:tblGrid>
      <w:tr>
        <w:trPr>
          <w:trHeight w:hRule="exact" w:val="1130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8900" cy="53975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539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4" w:after="0"/>
              <w:ind w:left="0" w:right="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32 </w:t>
            </w:r>
          </w:p>
        </w:tc>
      </w:tr>
      <w:tr>
        <w:trPr>
          <w:trHeight w:hRule="exact" w:val="480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2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Industrial; </w:t>
            </w:r>
          </w:p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3057"/>
            <w:vMerge/>
            <w:tcBorders/>
          </w:tcPr>
          <w:p/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3057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Pluvial; </w:t>
            </w:r>
          </w:p>
        </w:tc>
        <w:tc>
          <w:tcPr>
            <w:tcW w:type="dxa" w:w="3057"/>
            <w:vMerge/>
            <w:tcBorders/>
          </w:tcPr>
          <w:p/>
        </w:tc>
      </w:tr>
      <w:tr>
        <w:trPr>
          <w:trHeight w:hRule="exact" w:val="344"/>
        </w:trPr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2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Outro (especificar). </w:t>
            </w:r>
          </w:p>
        </w:tc>
        <w:tc>
          <w:tcPr>
            <w:tcW w:type="dxa" w:w="3057"/>
            <w:vMerge/>
            <w:tcBorders/>
          </w:tcPr>
          <w:p/>
        </w:tc>
      </w:tr>
    </w:tbl>
    <w:p>
      <w:pPr>
        <w:autoSpaceDN w:val="0"/>
        <w:tabs>
          <w:tab w:pos="390" w:val="left"/>
        </w:tabs>
        <w:autoSpaceDE w:val="0"/>
        <w:widowControl/>
        <w:spacing w:line="274" w:lineRule="auto" w:before="108" w:after="0"/>
        <w:ind w:left="30" w:right="2304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20) Tipo de destinação final ambientalmente adequada do esgoto tratado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Disposição no solo;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Reúso;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se sabe; ou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Outro (especificar). </w:t>
      </w:r>
    </w:p>
    <w:p>
      <w:pPr>
        <w:autoSpaceDN w:val="0"/>
        <w:tabs>
          <w:tab w:pos="390" w:val="left"/>
        </w:tabs>
        <w:autoSpaceDE w:val="0"/>
        <w:widowControl/>
        <w:spacing w:line="274" w:lineRule="auto" w:before="170" w:after="0"/>
        <w:ind w:left="30" w:right="504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2) Tipo de licença de lançamento de esgoto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Cadastro de uso insignificante;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Outorga;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há lançamento em curso d’água; ou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possui. </w:t>
      </w:r>
    </w:p>
    <w:p>
      <w:pPr>
        <w:autoSpaceDN w:val="0"/>
        <w:tabs>
          <w:tab w:pos="390" w:val="left"/>
        </w:tabs>
        <w:autoSpaceDE w:val="0"/>
        <w:widowControl/>
        <w:spacing w:line="26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22) Tipo de destinação final ambientalmente adequada do lodo do tratamento de esgoto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uma das categorias padrão: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Lançamento em corpo d’água: nesse caso, informar o nome do arroio, córrego, igarapé, regato,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rio, riacho, ribeirão, lago ou similar;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Disposição final em aterro sanitário;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Reúso;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é gerado lodo;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Não se sabe; ou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Outro (especificar). </w:t>
      </w:r>
    </w:p>
    <w:p>
      <w:pPr>
        <w:autoSpaceDN w:val="0"/>
        <w:autoSpaceDE w:val="0"/>
        <w:widowControl/>
        <w:spacing w:line="271" w:lineRule="auto" w:before="168" w:after="0"/>
        <w:ind w:left="30" w:right="144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23) Número de economias atendidas (economias)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de economias atendidas pela solução alternativa de esgotamento sanitário. </w:t>
      </w:r>
    </w:p>
    <w:p>
      <w:pPr>
        <w:autoSpaceDN w:val="0"/>
        <w:autoSpaceDE w:val="0"/>
        <w:widowControl/>
        <w:spacing w:line="271" w:lineRule="auto" w:before="168" w:after="0"/>
        <w:ind w:left="30" w:right="273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24) População atendida (habitantes)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População atendida pela solução alternativa de esgotamento sanitário. </w:t>
      </w:r>
    </w:p>
    <w:p>
      <w:pPr>
        <w:autoSpaceDN w:val="0"/>
        <w:autoSpaceDE w:val="0"/>
        <w:widowControl/>
        <w:spacing w:line="259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25) Data da última vistoria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Preencher com a data da última vistoria realizada pelo prestador, reportada no formato numérico, na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sequência dia/mês/ano (dd/mm/aaaa) e não por extenso. </w:t>
      </w:r>
    </w:p>
    <w:p>
      <w:pPr>
        <w:autoSpaceDN w:val="0"/>
        <w:autoSpaceDE w:val="0"/>
        <w:widowControl/>
        <w:spacing w:line="271" w:lineRule="auto" w:before="168" w:after="0"/>
        <w:ind w:left="30" w:right="360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26) Vazão de esgoto gerado (m³/h)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Vazão média, em metros cúbicos por hora, de esgoto gerado. </w:t>
      </w:r>
    </w:p>
    <w:p>
      <w:pPr>
        <w:autoSpaceDN w:val="0"/>
        <w:autoSpaceDE w:val="0"/>
        <w:widowControl/>
        <w:spacing w:line="271" w:lineRule="auto" w:before="168" w:after="0"/>
        <w:ind w:left="30" w:right="345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27) DBO</w:t>
      </w:r>
      <w:r>
        <w:rPr>
          <w:rFonts w:ascii="Calibri" w:hAnsi="Calibri" w:eastAsia="Calibri"/>
          <w:b/>
          <w:i w:val="0"/>
          <w:color w:val="000000"/>
          <w:sz w:val="14"/>
        </w:rPr>
        <w:t>5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no esgoto bruto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bruto. </w:t>
      </w:r>
    </w:p>
    <w:p>
      <w:pPr>
        <w:autoSpaceDN w:val="0"/>
        <w:autoSpaceDE w:val="0"/>
        <w:widowControl/>
        <w:spacing w:line="271" w:lineRule="auto" w:before="168" w:after="0"/>
        <w:ind w:left="30" w:right="316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28) DBO</w:t>
      </w:r>
      <w:r>
        <w:rPr>
          <w:rFonts w:ascii="Calibri" w:hAnsi="Calibri" w:eastAsia="Calibri"/>
          <w:b/>
          <w:i w:val="0"/>
          <w:color w:val="000000"/>
          <w:sz w:val="14"/>
        </w:rPr>
        <w:t>5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no esgoto tratado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tratado.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29) Número de análises realizadas para DBO</w:t>
      </w:r>
      <w:r>
        <w:rPr>
          <w:rFonts w:ascii="Calibri" w:hAnsi="Calibri" w:eastAsia="Calibri"/>
          <w:b/>
          <w:i w:val="0"/>
          <w:color w:val="000000"/>
          <w:sz w:val="14"/>
        </w:rPr>
        <w:t>5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(análises) </w:t>
      </w:r>
    </w:p>
    <w:p>
      <w:pPr>
        <w:autoSpaceDN w:val="0"/>
        <w:autoSpaceDE w:val="0"/>
        <w:widowControl/>
        <w:spacing w:line="245" w:lineRule="auto" w:before="5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33 </w:t>
      </w:r>
    </w:p>
    <w:p>
      <w:pPr>
        <w:autoSpaceDN w:val="0"/>
        <w:autoSpaceDE w:val="0"/>
        <w:widowControl/>
        <w:spacing w:line="245" w:lineRule="auto" w:before="550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30) Número de análises em desconformidade com o padrão de lançamento para DBO</w:t>
      </w:r>
      <w:r>
        <w:rPr>
          <w:rFonts w:ascii="Calibri" w:hAnsi="Calibri" w:eastAsia="Calibri"/>
          <w:b/>
          <w:i w:val="0"/>
          <w:color w:val="000000"/>
          <w:sz w:val="14"/>
        </w:rPr>
        <w:t>5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(análises)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 cujo resultado está em desconformidade com o padrão de lançamento. Deve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consideradas as análises realizadas do primeiro ao último dia do período de referência. </w:t>
      </w:r>
    </w:p>
    <w:p>
      <w:pPr>
        <w:autoSpaceDN w:val="0"/>
        <w:autoSpaceDE w:val="0"/>
        <w:widowControl/>
        <w:spacing w:line="271" w:lineRule="auto" w:before="168" w:after="0"/>
        <w:ind w:left="30" w:right="3456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31) DQO no esgoto bruto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bruto. </w:t>
      </w:r>
    </w:p>
    <w:p>
      <w:pPr>
        <w:autoSpaceDN w:val="0"/>
        <w:autoSpaceDE w:val="0"/>
        <w:widowControl/>
        <w:spacing w:line="269" w:lineRule="auto" w:before="168" w:after="0"/>
        <w:ind w:left="30" w:right="316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32) DQO no esgoto tratado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tratado.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33) Número de análises realizadas para DQO 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34) Número de análises em desconformidade com o padrão de lançamento para DQO (análises)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 cujo resultado está em desconformidade com o padrão de lançamento. Deve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consideradas as análises realizadas do primeiro ao último dia do período de referência. </w:t>
      </w:r>
    </w:p>
    <w:p>
      <w:pPr>
        <w:autoSpaceDN w:val="0"/>
        <w:autoSpaceDE w:val="0"/>
        <w:widowControl/>
        <w:spacing w:line="269" w:lineRule="auto" w:before="168" w:after="0"/>
        <w:ind w:left="30" w:right="316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35) Sólidos sedimentáveis no esgoto tratado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tratado.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36) Número de análises realizadas para sólidos sedimentáveis 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252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37) Número de análises em desconformidade com o padrão de lançamento para sólidos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sedimentáveis 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 cujo resultado está em desconformidade com o padrão de lançamento. Deve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consideradas as análises realizadas do primeiro ao último dia do período de referência. </w:t>
      </w:r>
    </w:p>
    <w:p>
      <w:pPr>
        <w:autoSpaceDN w:val="0"/>
        <w:autoSpaceDE w:val="0"/>
        <w:widowControl/>
        <w:spacing w:line="271" w:lineRule="auto" w:before="166" w:after="0"/>
        <w:ind w:left="30" w:right="316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38) Sólidos suspensos totais no esgoto tratado (mg/L)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Concentração média, em miligramas por litro, no esgoto tratado. </w:t>
      </w:r>
    </w:p>
    <w:p>
      <w:pPr>
        <w:autoSpaceDN w:val="0"/>
        <w:autoSpaceDE w:val="0"/>
        <w:widowControl/>
        <w:spacing w:line="254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39) Número de análises realizadas para sólidos suspensos (análises)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esgoto. Devem ser consideradas as análises realizadas do primeiro ao último dia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período de referência.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40) Número de análises em desconformidade com o padrão de lançamento para sólidos suspensos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(análises) </w:t>
      </w:r>
    </w:p>
    <w:p>
      <w:pPr>
        <w:autoSpaceDN w:val="0"/>
        <w:autoSpaceDE w:val="0"/>
        <w:widowControl/>
        <w:spacing w:line="245" w:lineRule="auto" w:before="8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34 </w:t>
      </w:r>
    </w:p>
    <w:p>
      <w:pPr>
        <w:autoSpaceDN w:val="0"/>
        <w:autoSpaceDE w:val="0"/>
        <w:widowControl/>
        <w:spacing w:line="245" w:lineRule="auto" w:before="550" w:after="0"/>
        <w:ind w:left="3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Número total de amostras coletadas no período de referência e analisadas para monitoramento do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tratamento de esgoto cujo resultado está em desconformidade com o padrão de lançamento. Deve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 consideradas as análises realizadas do primeiro ao último dia do período de referência.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41) Volume de lodo gerado no tratamento de esgoto no ano (m³)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Volume total, medido ou estimado, de lodo gerado no processo de tratamento de esgoto.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42) Volume de lodo gerado no tratamento de esgoto e que recebeu destinação ambientalmente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adequada no ano (m³)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Volume total, medido ou estimado, de lodo gerado no processo de tratamento de esgoto que recebeu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destinação ambientalmente adequada.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43) Observação </w:t>
      </w:r>
    </w:p>
    <w:p>
      <w:pPr>
        <w:autoSpaceDN w:val="0"/>
        <w:autoSpaceDE w:val="0"/>
        <w:widowControl/>
        <w:spacing w:line="245" w:lineRule="auto" w:before="166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Informações adicionais relevantes, esclarecimentos e justificativas, quando necessários, para 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valores informados para as demais variáveis da base de dados. </w:t>
      </w:r>
    </w:p>
    <w:p>
      <w:pPr>
        <w:autoSpaceDN w:val="0"/>
        <w:autoSpaceDE w:val="0"/>
        <w:widowControl/>
        <w:spacing w:line="245" w:lineRule="auto" w:before="968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35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IV – Regras de formatação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Este anexo será disponibilizado no site da Arsae-MG, na página eletrônica desta resolução. </w:t>
      </w:r>
    </w:p>
    <w:p>
      <w:pPr>
        <w:autoSpaceDN w:val="0"/>
        <w:autoSpaceDE w:val="0"/>
        <w:widowControl/>
        <w:spacing w:line="240" w:lineRule="auto" w:before="2160" w:after="0"/>
        <w:ind w:left="5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53000" cy="47244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336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</w:p>
    <w:p>
      <w:pPr>
        <w:autoSpaceDN w:val="0"/>
        <w:autoSpaceDE w:val="0"/>
        <w:widowControl/>
        <w:spacing w:line="197" w:lineRule="auto" w:before="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402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3098800</wp:posOffset>
            </wp:positionV>
            <wp:extent cx="5803900" cy="47244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36 </w:t>
      </w:r>
    </w:p>
    <w:p>
      <w:pPr>
        <w:autoSpaceDN w:val="0"/>
        <w:tabs>
          <w:tab w:pos="258" w:val="left"/>
          <w:tab w:pos="406" w:val="left"/>
        </w:tabs>
        <w:autoSpaceDE w:val="0"/>
        <w:widowControl/>
        <w:spacing w:line="274" w:lineRule="auto" w:before="550" w:after="64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V – Procedimento para registro e envio de informações sobre soluções alternativas em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bases de dados regulamentadas pela Resolução Arsae-MG nº 205, de 30 de janeiro de 2025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OP12: Solicitações e reclamações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Devem ser incluídos no registro e envio mensal da base de dados para a Arsae-MG os seguintes tipos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solicitações: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4586"/>
        <w:gridCol w:w="4586"/>
      </w:tblGrid>
      <w:tr>
        <w:trPr>
          <w:trHeight w:hRule="exact" w:val="4072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  <w:p>
            <w:pPr>
              <w:autoSpaceDN w:val="0"/>
              <w:autoSpaceDE w:val="0"/>
              <w:widowControl/>
              <w:spacing w:line="247" w:lineRule="auto" w:before="4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abastecimento de água; </w:t>
            </w:r>
          </w:p>
          <w:p>
            <w:pPr>
              <w:autoSpaceDN w:val="0"/>
              <w:autoSpaceDE w:val="0"/>
              <w:widowControl/>
              <w:spacing w:line="245" w:lineRule="auto" w:before="88" w:after="0"/>
              <w:ind w:left="138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esgotamento sanitário. </w:t>
            </w:r>
          </w:p>
        </w:tc>
      </w:tr>
    </w:tbl>
    <w:p>
      <w:pPr>
        <w:autoSpaceDN w:val="0"/>
        <w:autoSpaceDE w:val="0"/>
        <w:widowControl/>
        <w:spacing w:line="245" w:lineRule="auto" w:before="106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 ser criado “Código identificador da solicitação de serviço ou reclamação” para cada tipo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solicitação acima, diferente dos códigos existentes, conforme variável nº 5, seção 3.12.2, do Anexo III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(Glossário) da Resolução Arsae-MG nº 205, de 30 de janeiro de 2025.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Os novos tipos de solicitações descritos anteriormente podem ser subdivididos, mas não fundidos em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tipo único. </w:t>
      </w:r>
    </w:p>
    <w:p>
      <w:pPr>
        <w:autoSpaceDN w:val="0"/>
        <w:autoSpaceDE w:val="0"/>
        <w:widowControl/>
        <w:spacing w:line="262" w:lineRule="auto" w:before="168" w:after="62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OP13: Ordens de serviços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Devem ser incluídos no registro e envio mensal da base de dados para a Arsae-MG os seguintes tipos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ordens de serviços: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8863" w:type="dxa"/>
      </w:tblPr>
      <w:tblGrid>
        <w:gridCol w:w="4586"/>
        <w:gridCol w:w="4586"/>
      </w:tblGrid>
      <w:tr>
        <w:trPr>
          <w:trHeight w:hRule="exact" w:val="2048"/>
        </w:trPr>
        <w:tc>
          <w:tcPr>
            <w:tcW w:type="dxa" w:w="2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2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87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10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abastecimento de água;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abastecimento de água; </w:t>
            </w:r>
          </w:p>
        </w:tc>
      </w:tr>
      <w:tr>
        <w:trPr>
          <w:trHeight w:hRule="exact" w:val="3080"/>
        </w:trPr>
        <w:tc>
          <w:tcPr>
            <w:tcW w:type="dxa" w:w="250"/>
            <w:tcBorders>
              <w:top w:sz="4.0" w:val="single" w:color="#000000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0" w:after="0"/>
              <w:ind w:left="2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878"/>
            <w:tcBorders>
              <w:top w:sz="4.0" w:val="single" w:color="#000000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6" w:after="0"/>
              <w:ind w:left="138" w:right="10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esgotamento sanitário;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esgotamento sanitário. </w:t>
            </w:r>
          </w:p>
        </w:tc>
      </w:tr>
    </w:tbl>
    <w:p>
      <w:pPr>
        <w:autoSpaceDN w:val="0"/>
        <w:autoSpaceDE w:val="0"/>
        <w:widowControl/>
        <w:spacing w:line="245" w:lineRule="auto" w:before="14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3098800</wp:posOffset>
            </wp:positionV>
            <wp:extent cx="5803900" cy="47244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37 </w:t>
      </w:r>
    </w:p>
    <w:p>
      <w:pPr>
        <w:autoSpaceDN w:val="0"/>
        <w:autoSpaceDE w:val="0"/>
        <w:widowControl/>
        <w:spacing w:line="245" w:lineRule="auto" w:before="5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 ser criado “Código do tipo de serviço” para cada tipo de ordem de serviço acima, diferente dos </w:t>
      </w:r>
      <w:r>
        <w:rPr>
          <w:rFonts w:ascii="Calibri" w:hAnsi="Calibri" w:eastAsia="Calibri"/>
          <w:b w:val="0"/>
          <w:i w:val="0"/>
          <w:color w:val="000000"/>
          <w:sz w:val="22"/>
        </w:rPr>
        <w:t>códigos existentes, conforme variável nº 12, seção 3.13.2, do Anexo III (Glossário) da Resolução Arsae-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MG nº 205, de 30 de janeiro de 2025. </w:t>
      </w:r>
    </w:p>
    <w:p>
      <w:pPr>
        <w:autoSpaceDN w:val="0"/>
        <w:autoSpaceDE w:val="0"/>
        <w:widowControl/>
        <w:spacing w:line="245" w:lineRule="auto" w:before="168" w:after="64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 ser criado “Código da categoria do serviço” para cada tipo de ordem de serviço acima, diferente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dos códigos existentes, conforme variável nº 13, seção 3.13.2, do Anexo III (Glossário) da Resolução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Arsae-MG nº 205, de 30 de janeiro de 2025. Os novos códigos serão os seguintes: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4586"/>
        <w:gridCol w:w="4586"/>
      </w:tblGrid>
      <w:tr>
        <w:trPr>
          <w:trHeight w:hRule="exact" w:val="407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  <w:p>
            <w:pPr>
              <w:autoSpaceDN w:val="0"/>
              <w:autoSpaceDE w:val="0"/>
              <w:widowControl/>
              <w:spacing w:line="247" w:lineRule="auto" w:before="4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abastecimento de água – Código 20;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abastecimento de água – Código 21;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abastecimento de água – Código 22;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abastecimento de água – Código 23;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abastecimento de água – Código 24;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abastecimento de água – Código 25;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abastecimento de água – Código 26; </w:t>
            </w:r>
          </w:p>
          <w:p>
            <w:pPr>
              <w:autoSpaceDN w:val="0"/>
              <w:autoSpaceDE w:val="0"/>
              <w:widowControl/>
              <w:spacing w:line="245" w:lineRule="auto" w:before="90" w:after="0"/>
              <w:ind w:left="1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preparatória de solução alternativa de esgotamento sanitário – Código 30;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Regularização de solução alternativa de esgotamento sanitário – Código 31;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Desativação de solução alternativa de esgotamento sanitário – Código 32;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Construção de nova solução alternativa de esgotamento sanitário – Código 33;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periódica de solução alternativa de esgotamento sanitário – Código 34;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Vistoria eventual de solução alternativa de esgotamento sanitário – Código 35;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Limpeza e/ou remoção de resíduos de solução alternativa de esgotamento sanitário – Código 36. </w:t>
            </w:r>
          </w:p>
        </w:tc>
      </w:tr>
    </w:tbl>
    <w:p>
      <w:pPr>
        <w:autoSpaceDN w:val="0"/>
        <w:autoSpaceDE w:val="0"/>
        <w:widowControl/>
        <w:spacing w:line="245" w:lineRule="auto" w:before="10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Os novos tipos de ordens de serviço descritos anteriormente podem ser subdivididos, mas não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fundidos em tipo único.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OP16: Cadastro de imóveis – Georreferenciamento </w:t>
      </w:r>
    </w:p>
    <w:p>
      <w:pPr>
        <w:autoSpaceDN w:val="0"/>
        <w:autoSpaceDE w:val="0"/>
        <w:widowControl/>
        <w:spacing w:line="245" w:lineRule="auto" w:before="166" w:after="64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variável “Tipo de economia de esgoto”, nº 4 da seção 3.13.2 do Anexo III (Glossário) da Resolução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Arsae-MG nº 205, de 30 de janeiro de 2025, deverá ser preenchida com uma das seguintes opções: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4586"/>
        <w:gridCol w:w="4586"/>
      </w:tblGrid>
      <w:tr>
        <w:trPr>
          <w:trHeight w:hRule="exact" w:val="180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18" w:right="120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6" w:after="0"/>
              <w:ind w:left="138" w:right="7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EDT: Água e esgoto tratado;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EDC: Água e esgoto coletado;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AAI: solução alternativa de abastecimento de água – implantação e operação;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AAC: solução alternativa de abastecimento de água – operação;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EAI: solução alternativa de esgotamento sanitário – implantação e operação; ou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EAO: solução alternativa de esgotamento sanitário – operação. </w:t>
            </w:r>
          </w:p>
        </w:tc>
      </w:tr>
    </w:tbl>
    <w:p>
      <w:pPr>
        <w:autoSpaceDN w:val="0"/>
        <w:autoSpaceDE w:val="0"/>
        <w:widowControl/>
        <w:spacing w:line="245" w:lineRule="auto" w:before="104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Quando presente solução alternativa, o campo poderá ser preenchido com combinação de siglas entre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os serviços de abastecimento de água e esgotamento sanitário. Exemplo: AAO+EAI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EC11: Glossário Grupos de Faturamento </w:t>
      </w:r>
    </w:p>
    <w:p>
      <w:pPr>
        <w:autoSpaceDN w:val="0"/>
        <w:autoSpaceDE w:val="0"/>
        <w:widowControl/>
        <w:spacing w:line="245" w:lineRule="auto" w:before="168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Tabela 8 contendo os “Códigos para o campo Grupo de Faturamento”, apresentados na seção 3.24.1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do Anexo III (Glossário) da Resolução Arsae-MG nº 205, de 30 de janeiro de 2025, receberá o seguinte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acréscimo: </w:t>
      </w:r>
    </w:p>
    <w:p>
      <w:pPr>
        <w:autoSpaceDN w:val="0"/>
        <w:autoSpaceDE w:val="0"/>
        <w:widowControl/>
        <w:spacing w:line="197" w:lineRule="auto" w:before="168" w:after="13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Tabela 8. Códigos para o campo Grupo de Faturamento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2293"/>
        <w:gridCol w:w="2293"/>
        <w:gridCol w:w="2293"/>
        <w:gridCol w:w="2293"/>
      </w:tblGrid>
      <w:tr>
        <w:trPr>
          <w:trHeight w:hRule="exact" w:val="313"/>
        </w:trPr>
        <w:tc>
          <w:tcPr>
            <w:tcW w:type="dxa" w:w="996"/>
            <w:tcBorders>
              <w:end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Código </w:t>
            </w:r>
          </w:p>
        </w:tc>
        <w:tc>
          <w:tcPr>
            <w:tcW w:type="dxa" w:w="3006"/>
            <w:tcBorders>
              <w:start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/>
        </w:tc>
        <w:tc>
          <w:tcPr>
            <w:tcW w:type="dxa" w:w="3938"/>
            <w:tcBorders>
              <w:end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8" w:after="0"/>
              <w:ind w:left="6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Descrição </w:t>
            </w:r>
          </w:p>
        </w:tc>
        <w:tc>
          <w:tcPr>
            <w:tcW w:type="dxa" w:w="1122"/>
            <w:tcBorders>
              <w:start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Serviço </w:t>
            </w:r>
          </w:p>
        </w:tc>
      </w:tr>
      <w:tr>
        <w:trPr>
          <w:trHeight w:hRule="exact" w:val="264"/>
        </w:trPr>
        <w:tc>
          <w:tcPr>
            <w:tcW w:type="dxa" w:w="996"/>
            <w:tcBorders>
              <w:end w:sz="4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403 </w:t>
            </w:r>
          </w:p>
        </w:tc>
        <w:tc>
          <w:tcPr>
            <w:tcW w:type="dxa" w:w="3006"/>
            <w:tcBorders>
              <w:start w:sz="4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Sistema de abastecimento de água </w:t>
            </w:r>
          </w:p>
        </w:tc>
        <w:tc>
          <w:tcPr>
            <w:tcW w:type="dxa" w:w="3938"/>
            <w:tcBorders>
              <w:end w:sz="4.0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22"/>
            <w:tcBorders>
              <w:start w:sz="4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SAA+EAO </w:t>
            </w:r>
          </w:p>
        </w:tc>
      </w:tr>
    </w:tbl>
    <w:p>
      <w:pPr>
        <w:autoSpaceDN w:val="0"/>
        <w:autoSpaceDE w:val="0"/>
        <w:widowControl/>
        <w:spacing w:line="194" w:lineRule="auto" w:before="22" w:after="2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 solução alternativa de esgotamento sanitário (operação)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057"/>
        <w:gridCol w:w="3057"/>
        <w:gridCol w:w="3057"/>
      </w:tblGrid>
      <w:tr>
        <w:trPr>
          <w:trHeight w:hRule="exact" w:val="312"/>
        </w:trPr>
        <w:tc>
          <w:tcPr>
            <w:tcW w:type="dxa" w:w="994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Sistema de abastecimento de água </w:t>
            </w:r>
          </w:p>
        </w:tc>
        <w:tc>
          <w:tcPr>
            <w:tcW w:type="dxa" w:w="1120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SAA+EAI </w:t>
            </w:r>
          </w:p>
        </w:tc>
      </w:tr>
    </w:tbl>
    <w:p>
      <w:pPr>
        <w:autoSpaceDN w:val="0"/>
        <w:autoSpaceDE w:val="0"/>
        <w:widowControl/>
        <w:spacing w:line="245" w:lineRule="auto" w:before="69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346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3098800</wp:posOffset>
            </wp:positionV>
            <wp:extent cx="5765800" cy="47244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039"/>
        <w:gridCol w:w="3039"/>
        <w:gridCol w:w="3039"/>
      </w:tblGrid>
      <w:tr>
        <w:trPr>
          <w:trHeight w:hRule="exact" w:val="1356"/>
        </w:trPr>
        <w:tc>
          <w:tcPr>
            <w:tcW w:type="dxa" w:w="31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8900" cy="53975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539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58"/>
            <w:tcBorders>
              <w:end w:sz="4.0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22"/>
            <w:tcBorders>
              <w:start w:sz="4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4" w:after="0"/>
              <w:ind w:left="0" w:right="4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38 </w:t>
            </w:r>
          </w:p>
        </w:tc>
      </w:tr>
      <w:tr>
        <w:trPr>
          <w:trHeight w:hRule="exact" w:val="321"/>
        </w:trPr>
        <w:tc>
          <w:tcPr>
            <w:tcW w:type="dxa" w:w="31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21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Código </w:t>
            </w:r>
          </w:p>
        </w:tc>
        <w:tc>
          <w:tcPr>
            <w:tcW w:type="dxa" w:w="4758"/>
            <w:tcBorders>
              <w:end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88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Descrição </w:t>
            </w:r>
          </w:p>
        </w:tc>
        <w:tc>
          <w:tcPr>
            <w:tcW w:type="dxa" w:w="1122"/>
            <w:tcBorders>
              <w:start w:sz="4.0" w:val="single" w:color="#FFFFFF"/>
            </w:tcBorders>
            <w:shd w:fill="0885a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Serviço </w:t>
            </w:r>
          </w:p>
        </w:tc>
      </w:tr>
    </w:tbl>
    <w:p>
      <w:pPr>
        <w:autoSpaceDN w:val="0"/>
        <w:autoSpaceDE w:val="0"/>
        <w:widowControl/>
        <w:spacing w:line="197" w:lineRule="auto" w:before="44" w:after="58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 solução alternativa de esgotamento sanitário (implantação e operação)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039"/>
        <w:gridCol w:w="3039"/>
        <w:gridCol w:w="3039"/>
      </w:tblGrid>
      <w:tr>
        <w:trPr>
          <w:trHeight w:hRule="exact" w:val="310"/>
        </w:trPr>
        <w:tc>
          <w:tcPr>
            <w:tcW w:type="dxa" w:w="994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(implantação e operação) </w:t>
            </w:r>
          </w:p>
        </w:tc>
        <w:tc>
          <w:tcPr>
            <w:tcW w:type="dxa" w:w="1120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AAI </w:t>
            </w:r>
          </w:p>
        </w:tc>
      </w:tr>
      <w:tr>
        <w:trPr>
          <w:trHeight w:hRule="exact" w:val="310"/>
        </w:trPr>
        <w:tc>
          <w:tcPr>
            <w:tcW w:type="dxa" w:w="994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(operação) </w:t>
            </w:r>
          </w:p>
        </w:tc>
        <w:tc>
          <w:tcPr>
            <w:tcW w:type="dxa" w:w="1120"/>
            <w:tcBorders>
              <w:top w:sz="4.0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AAO </w:t>
            </w:r>
          </w:p>
        </w:tc>
      </w:tr>
      <w:tr>
        <w:trPr>
          <w:trHeight w:hRule="exact" w:val="308"/>
        </w:trPr>
        <w:tc>
          <w:tcPr>
            <w:tcW w:type="dxa" w:w="994"/>
            <w:tcBorders>
              <w:top w:sz="4.0" w:val="single" w:color="#0885A2"/>
              <w:bottom w:sz="3.2000000000000455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  <w:bottom w:sz="3.2000000000000455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esgotamento sanitário – implantação e operação </w:t>
            </w:r>
          </w:p>
        </w:tc>
        <w:tc>
          <w:tcPr>
            <w:tcW w:type="dxa" w:w="1120"/>
            <w:tcBorders>
              <w:top w:sz="4.0" w:val="single" w:color="#0885A2"/>
              <w:bottom w:sz="3.2000000000000455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EAI </w:t>
            </w:r>
          </w:p>
        </w:tc>
      </w:tr>
      <w:tr>
        <w:trPr>
          <w:trHeight w:hRule="exact" w:val="310"/>
        </w:trPr>
        <w:tc>
          <w:tcPr>
            <w:tcW w:type="dxa" w:w="994"/>
            <w:tcBorders>
              <w:top w:sz="3.2000000000000455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3.2000000000000455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esgotamento sanitário – operação </w:t>
            </w:r>
          </w:p>
        </w:tc>
        <w:tc>
          <w:tcPr>
            <w:tcW w:type="dxa" w:w="1120"/>
            <w:tcBorders>
              <w:top w:sz="3.2000000000000455" w:val="single" w:color="#0885A2"/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EAO </w:t>
            </w:r>
          </w:p>
        </w:tc>
      </w:tr>
      <w:tr>
        <w:trPr>
          <w:trHeight w:hRule="exact" w:val="270"/>
        </w:trPr>
        <w:tc>
          <w:tcPr>
            <w:tcW w:type="dxa" w:w="994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(implantação e operação) </w:t>
            </w:r>
          </w:p>
        </w:tc>
        <w:tc>
          <w:tcPr>
            <w:tcW w:type="dxa" w:w="1120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AAI+EAO </w:t>
            </w:r>
          </w:p>
        </w:tc>
      </w:tr>
    </w:tbl>
    <w:p>
      <w:pPr>
        <w:autoSpaceDN w:val="0"/>
        <w:autoSpaceDE w:val="0"/>
        <w:widowControl/>
        <w:spacing w:line="194" w:lineRule="auto" w:before="16" w:after="4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 solução alternativa de esgotamento sanitário (operação)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039"/>
        <w:gridCol w:w="3039"/>
        <w:gridCol w:w="3039"/>
      </w:tblGrid>
      <w:tr>
        <w:trPr>
          <w:trHeight w:hRule="exact" w:val="268"/>
        </w:trPr>
        <w:tc>
          <w:tcPr>
            <w:tcW w:type="dxa" w:w="994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8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(implantação e operação) </w:t>
            </w:r>
          </w:p>
        </w:tc>
        <w:tc>
          <w:tcPr>
            <w:tcW w:type="dxa" w:w="1120"/>
            <w:tcBorders>
              <w:top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AAI+EAI </w:t>
            </w:r>
          </w:p>
        </w:tc>
      </w:tr>
    </w:tbl>
    <w:p>
      <w:pPr>
        <w:autoSpaceDN w:val="0"/>
        <w:autoSpaceDE w:val="0"/>
        <w:widowControl/>
        <w:spacing w:line="197" w:lineRule="auto" w:before="16" w:after="28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 solução alternativa de esgotamento sanitário (implantação e operação)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.99999999999989" w:type="dxa"/>
      </w:tblPr>
      <w:tblGrid>
        <w:gridCol w:w="3039"/>
        <w:gridCol w:w="3039"/>
        <w:gridCol w:w="3039"/>
      </w:tblGrid>
      <w:tr>
        <w:trPr>
          <w:trHeight w:hRule="exact" w:val="248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(operação)+ solução alternativa de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8" w:after="0"/>
              <w:ind w:left="17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AAO+EAO </w:t>
            </w:r>
          </w:p>
        </w:tc>
      </w:tr>
    </w:tbl>
    <w:p>
      <w:pPr>
        <w:autoSpaceDN w:val="0"/>
        <w:autoSpaceDE w:val="0"/>
        <w:widowControl/>
        <w:spacing w:line="197" w:lineRule="auto" w:before="22" w:after="28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esgotamento sanitário (operação)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.99999999999989" w:type="dxa"/>
      </w:tblPr>
      <w:tblGrid>
        <w:gridCol w:w="3039"/>
        <w:gridCol w:w="3039"/>
        <w:gridCol w:w="3039"/>
      </w:tblGrid>
      <w:tr>
        <w:trPr>
          <w:trHeight w:hRule="exact" w:val="25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 definir 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Solução alternativa de abastecimento de água (operação) + solução alternativa de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17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AAO+EAI </w:t>
            </w:r>
          </w:p>
        </w:tc>
      </w:tr>
    </w:tbl>
    <w:p>
      <w:pPr>
        <w:autoSpaceDN w:val="0"/>
        <w:autoSpaceDE w:val="0"/>
        <w:widowControl/>
        <w:spacing w:line="194" w:lineRule="auto" w:before="22" w:after="0"/>
        <w:ind w:left="11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esgotamento sanitário (implantação e operação) </w:t>
      </w:r>
    </w:p>
    <w:p>
      <w:pPr>
        <w:autoSpaceDN w:val="0"/>
        <w:autoSpaceDE w:val="0"/>
        <w:widowControl/>
        <w:spacing w:line="197" w:lineRule="auto" w:before="446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 ser criado código para cada serviço adicionado, diferente dos códigos existentes. </w:t>
      </w:r>
    </w:p>
    <w:p>
      <w:pPr>
        <w:autoSpaceDN w:val="0"/>
        <w:autoSpaceDE w:val="0"/>
        <w:widowControl/>
        <w:spacing w:line="194" w:lineRule="auto" w:before="91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</w:p>
    <w:p>
      <w:pPr>
        <w:autoSpaceDN w:val="0"/>
        <w:autoSpaceDE w:val="0"/>
        <w:widowControl/>
        <w:spacing w:line="197" w:lineRule="auto" w:before="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p>
      <w:pPr>
        <w:sectPr>
          <w:pgSz w:w="11906" w:h="16838"/>
          <w:pgMar w:top="356" w:right="1402" w:bottom="356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3098800</wp:posOffset>
            </wp:positionV>
            <wp:extent cx="4953000" cy="47244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70" w:val="left"/>
        </w:tabs>
        <w:autoSpaceDE w:val="0"/>
        <w:widowControl/>
        <w:spacing w:line="240" w:lineRule="auto" w:before="0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53975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53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39 </w:t>
      </w:r>
    </w:p>
    <w:p>
      <w:pPr>
        <w:autoSpaceDN w:val="0"/>
        <w:autoSpaceDE w:val="0"/>
        <w:widowControl/>
        <w:spacing w:line="197" w:lineRule="auto" w:before="55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ANEXO VI – Indicadores de desempenho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Percentual de atendimento por soluções alternativas (PASA) (%)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Definição: este indicador pretende medir a proporção da população atendida por soluções alternativas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 relação à população total na área de prestação do serviço. Deverão ser consideradas apenas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 configuradas como serviço público, ao passo que as ações de saneamento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responsabilidade privada deverão ser desconsideradas. </w:t>
      </w:r>
    </w:p>
    <w:p>
      <w:pPr>
        <w:autoSpaceDN w:val="0"/>
        <w:autoSpaceDE w:val="0"/>
        <w:widowControl/>
        <w:spacing w:line="197" w:lineRule="auto" w:before="168" w:after="78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Fórmula: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1.9999999999999" w:type="dxa"/>
      </w:tblPr>
      <w:tblGrid>
        <w:gridCol w:w="4586"/>
        <w:gridCol w:w="4586"/>
      </w:tblGrid>
      <w:tr>
        <w:trPr>
          <w:trHeight w:hRule="exact" w:val="658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64" w:val="left"/>
              </w:tabs>
              <w:autoSpaceDE w:val="0"/>
              <w:widowControl/>
              <w:spacing w:line="245" w:lineRule="auto" w:before="60" w:after="0"/>
              <w:ind w:left="92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PASA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=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População atendida por soluções alternativas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População total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8" w:after="0"/>
              <w:ind w:left="5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×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100%</w:t>
            </w:r>
          </w:p>
        </w:tc>
      </w:tr>
    </w:tbl>
    <w:p>
      <w:pPr>
        <w:autoSpaceDN w:val="0"/>
        <w:autoSpaceDE w:val="0"/>
        <w:widowControl/>
        <w:spacing w:line="197" w:lineRule="auto" w:before="474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Percentual de soluções alternativas adequadas (PSAA) %) </w:t>
      </w:r>
    </w:p>
    <w:p>
      <w:pPr>
        <w:autoSpaceDN w:val="0"/>
        <w:autoSpaceDE w:val="0"/>
        <w:widowControl/>
        <w:spacing w:line="245" w:lineRule="auto" w:before="168" w:after="0"/>
        <w:ind w:left="3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Definição: este indicador pretende medir o grau de atendimento das soluções alternativas aos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requisitos de adequabilidade dispostos nesta resolução. Deverão ser consideradas apenas as soluções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alternativas configuradas como serviço público, ao passo que as ações de saneamento 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responsabilidade privada deverão ser desconsideradas. </w:t>
      </w:r>
    </w:p>
    <w:p>
      <w:pPr>
        <w:autoSpaceDN w:val="0"/>
        <w:autoSpaceDE w:val="0"/>
        <w:widowControl/>
        <w:spacing w:line="197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Fórmula: </w:t>
      </w:r>
    </w:p>
    <w:p>
      <w:pPr>
        <w:autoSpaceDN w:val="0"/>
        <w:autoSpaceDE w:val="0"/>
        <w:widowControl/>
        <w:spacing w:line="480" w:lineRule="auto" w:before="1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>PSAA</w:t>
      </w:r>
      <w:r>
        <w:rPr>
          <w:rFonts w:ascii="Calibri" w:hAnsi="Calibri" w:eastAsia="Calibri"/>
          <w:b w:val="0"/>
          <w:i w:val="0"/>
          <w:color w:val="000000"/>
          <w:sz w:val="22"/>
        </w:rPr>
        <w:t>=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Soluções alternativas adequadas </w:t>
      </w:r>
      <w:r>
        <w:rPr>
          <w:rFonts w:ascii="Calibri" w:hAnsi="Calibri" w:eastAsia="Calibri"/>
          <w:b w:val="0"/>
          <w:i w:val="0"/>
          <w:color w:val="000000"/>
          <w:sz w:val="22"/>
        </w:rPr>
        <w:t>Total de soluções alternativas</w:t>
      </w:r>
      <w:r>
        <w:rPr>
          <w:rFonts w:ascii="Calibri" w:hAnsi="Calibri" w:eastAsia="Calibri"/>
          <w:b w:val="0"/>
          <w:i w:val="0"/>
          <w:color w:val="000000"/>
          <w:sz w:val="22"/>
        </w:rPr>
        <w:t>×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100% </w:t>
      </w:r>
    </w:p>
    <w:p>
      <w:pPr>
        <w:autoSpaceDN w:val="0"/>
        <w:autoSpaceDE w:val="0"/>
        <w:widowControl/>
        <w:spacing w:line="197" w:lineRule="auto" w:before="534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Percentual de lodo com destinação final ambientalmente adequada (PLDA) (%) </w:t>
      </w:r>
    </w:p>
    <w:p>
      <w:pPr>
        <w:autoSpaceDN w:val="0"/>
        <w:autoSpaceDE w:val="0"/>
        <w:widowControl/>
        <w:spacing w:line="245" w:lineRule="auto" w:before="166" w:after="0"/>
        <w:ind w:left="3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Definição: este indicador pretende medir a proporção do lodo e outros resíduos gerados nos processos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tratamento das soluções alternativas de abastecimento de água e de esgotamento sanitário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recebe destinação final ambientalmente adequada. </w:t>
      </w:r>
    </w:p>
    <w:p>
      <w:pPr>
        <w:autoSpaceDN w:val="0"/>
        <w:autoSpaceDE w:val="0"/>
        <w:widowControl/>
        <w:spacing w:line="197" w:lineRule="auto" w:before="168" w:after="8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Fórmula: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1.9999999999999" w:type="dxa"/>
      </w:tblPr>
      <w:tblGrid>
        <w:gridCol w:w="4586"/>
        <w:gridCol w:w="4586"/>
      </w:tblGrid>
      <w:tr>
        <w:trPr>
          <w:trHeight w:hRule="exact" w:val="658"/>
        </w:trPr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8" w:val="left"/>
              </w:tabs>
              <w:autoSpaceDE w:val="0"/>
              <w:widowControl/>
              <w:spacing w:line="245" w:lineRule="auto" w:before="60" w:after="0"/>
              <w:ind w:left="8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PLDA =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Quantidade de lodo com destinação adequada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Quantidade de lodo gerado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" w:lineRule="auto" w:before="222" w:after="0"/>
              <w:ind w:left="3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×100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2"/>
              </w:rPr>
              <w:t>%</w:t>
            </w:r>
          </w:p>
        </w:tc>
      </w:tr>
    </w:tbl>
    <w:p>
      <w:pPr>
        <w:autoSpaceDN w:val="0"/>
        <w:autoSpaceDE w:val="0"/>
        <w:widowControl/>
        <w:spacing w:line="197" w:lineRule="auto" w:before="474" w:after="0"/>
        <w:ind w:left="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Percentual de usuários notificados que aderiram ao serviço público (PASP) (%) </w:t>
      </w:r>
    </w:p>
    <w:p>
      <w:pPr>
        <w:autoSpaceDN w:val="0"/>
        <w:autoSpaceDE w:val="0"/>
        <w:widowControl/>
        <w:spacing w:line="245" w:lineRule="auto" w:before="168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Definição: este indicador pretende medir a proporção dos usuários notificados pelo prestador que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optaram pela adesão ao serviço público. </w:t>
      </w:r>
    </w:p>
    <w:p>
      <w:pPr>
        <w:autoSpaceDN w:val="0"/>
        <w:autoSpaceDE w:val="0"/>
        <w:widowControl/>
        <w:spacing w:line="197" w:lineRule="auto" w:before="166" w:after="82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Fórmula: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86"/>
        <w:gridCol w:w="4586"/>
      </w:tblGrid>
      <w:tr>
        <w:trPr>
          <w:trHeight w:hRule="exact" w:val="2916"/>
        </w:trPr>
        <w:tc>
          <w:tcPr>
            <w:tcW w:type="dxa" w:w="1972"/>
            <w:tcBorders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8" w:after="0"/>
              <w:ind w:left="0" w:right="1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PLDA = </w:t>
            </w:r>
          </w:p>
        </w:tc>
        <w:tc>
          <w:tcPr>
            <w:tcW w:type="dxa" w:w="7108"/>
            <w:tcBorders>
              <w:bottom w:sz="4.0" w:val="single" w:color="#0885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38" w:val="left"/>
              </w:tabs>
              <w:autoSpaceDE w:val="0"/>
              <w:widowControl/>
              <w:spacing w:line="245" w:lineRule="auto" w:before="60" w:after="0"/>
              <w:ind w:left="20" w:right="1152" w:firstLine="0"/>
              <w:jc w:val="left"/>
            </w:pP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Nº de usuários notificados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Nº de usuários notificados que aderiam ao serviço público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×100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2"/>
              </w:rPr>
              <w:t>%</w:t>
            </w:r>
          </w:p>
        </w:tc>
      </w:tr>
    </w:tbl>
    <w:p>
      <w:pPr>
        <w:autoSpaceDN w:val="0"/>
        <w:autoSpaceDE w:val="0"/>
        <w:widowControl/>
        <w:spacing w:line="245" w:lineRule="auto" w:before="14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Arsae-MG. Cidade Administrativa Presidente Tancredo Neves. Rodovia João Paulo II, nº 4001. Prédio Gerais, 2º </w:t>
      </w:r>
      <w:r>
        <w:rPr>
          <w:rFonts w:ascii="Calibri" w:hAnsi="Calibri" w:eastAsia="Calibri"/>
          <w:b w:val="0"/>
          <w:i w:val="0"/>
          <w:color w:val="000000"/>
          <w:sz w:val="20"/>
        </w:rPr>
        <w:t>andar. Bairro Serra Verde, Belo Horizonte (MG). CEP 31630-901.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0" w:history="1">
          <w:r>
            <w:rPr>
              <w:rStyle w:val="Hyperlink"/>
            </w:rPr>
            <w:t>www.arsae.mg.gov.br</w:t>
          </w:r>
        </w:hyperlink>
      </w:r>
    </w:p>
    <w:sectPr w:rsidR="00FC693F" w:rsidRPr="0006063C" w:rsidSect="00034616">
      <w:pgSz w:w="11906" w:h="16838"/>
      <w:pgMar w:top="356" w:right="1346" w:bottom="356" w:left="138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www.arsae.mg.gov.br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