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tabs>
          <w:tab w:pos="3462" w:val="left"/>
          <w:tab w:pos="3656" w:val="left"/>
        </w:tabs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14450" cy="905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55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e de Esgotamento Sanitário do Estado de Minas Gerais </w:t>
      </w:r>
    </w:p>
    <w:p>
      <w:pPr>
        <w:autoSpaceDN w:val="0"/>
        <w:autoSpaceDE w:val="0"/>
        <w:widowControl/>
        <w:spacing w:line="197" w:lineRule="auto" w:before="66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RESOLUÇÃO ARSAE-MG 72, DE 9 JULHO DE 2015. </w:t>
      </w:r>
    </w:p>
    <w:p>
      <w:pPr>
        <w:autoSpaceDN w:val="0"/>
        <w:autoSpaceDE w:val="0"/>
        <w:widowControl/>
        <w:spacing w:line="245" w:lineRule="auto" w:before="318" w:after="0"/>
        <w:ind w:left="2978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Determina a obrigatoriedade, por parte da Companhia de Saneamento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Minas Gerais – Copasa, de prestar informações aos entes concedentes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relacionadas aos valores a serem indenizados pelos Municípios à empresa, </w:t>
      </w:r>
      <w:r>
        <w:rPr>
          <w:rFonts w:ascii="Calibri" w:hAnsi="Calibri" w:eastAsia="Calibri"/>
          <w:b w:val="0"/>
          <w:i w:val="0"/>
          <w:color w:val="000000"/>
          <w:sz w:val="22"/>
        </w:rPr>
        <w:t>no caso de extinção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das concessões. </w:t>
      </w:r>
    </w:p>
    <w:p>
      <w:pPr>
        <w:autoSpaceDN w:val="0"/>
        <w:autoSpaceDE w:val="0"/>
        <w:widowControl/>
        <w:spacing w:line="245" w:lineRule="auto" w:before="318" w:after="0"/>
        <w:ind w:left="0" w:right="20" w:firstLine="0"/>
        <w:jc w:val="both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O DIRETOR-GERAL DA AGÊNCIA REGULADORA DE SERVIÇOS DE ABASTECIMENTO DE ÁGUA E DE </w:t>
      </w:r>
      <w:r>
        <w:rPr>
          <w:rFonts w:ascii="Calibri" w:hAnsi="Calibri" w:eastAsia="Calibri"/>
          <w:b/>
          <w:i w:val="0"/>
          <w:color w:val="000000"/>
          <w:sz w:val="22"/>
        </w:rPr>
        <w:t>ESGOTAMENTO SANITÁRIO DO ESTADO DE MINAS GERAIS – ARSAE-MG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no uso de suas atribuições legais,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acordo com deliberação da Diretoria Colegiada e com fundamento nos artigos 22 e 42 da Lei 11.445,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de janeiro de 2007 e nos artigos 35 e 36 da Lei 8.987 de 13 fevereiro de 1995.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CONSIDERANDO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a Lei nº 11.445/2007, em seu art. 29, incisos V e VI c/c art. 42, determina que os créditos perante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titular a serem recuperados pelos prestadores de serviços são constituídos pelos valores investidos; </w:t>
      </w:r>
    </w:p>
    <w:p>
      <w:pPr>
        <w:autoSpaceDN w:val="0"/>
        <w:autoSpaceDE w:val="0"/>
        <w:widowControl/>
        <w:spacing w:line="245" w:lineRule="auto" w:before="31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a Lei nº 8.987/1995 dispõe, no Capítulo X, sobre a extinção da concessão e suas consequências, e que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seu art. 36 estabelece que a  reversão no advento do termo contratual far-se-á com a indenização pelos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bens reversíveis ainda não amortizados ou depreciados; </w:t>
      </w:r>
    </w:p>
    <w:p>
      <w:pPr>
        <w:autoSpaceDN w:val="0"/>
        <w:autoSpaceDE w:val="0"/>
        <w:widowControl/>
        <w:spacing w:line="245" w:lineRule="auto" w:before="316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o disposto no art. 13, §2º, inciso IV, da Lei nº 11.107/2005, determina a previsão nos Contratos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Programa do procedimento para o levantamento, cadastro e avaliação dos bens reversíveis que vierem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 amortizados mediante receitas de tarifas ou outras emergentes da prestação dos serviços; </w:t>
      </w:r>
    </w:p>
    <w:p>
      <w:pPr>
        <w:autoSpaceDN w:val="0"/>
        <w:autoSpaceDE w:val="0"/>
        <w:widowControl/>
        <w:spacing w:line="245" w:lineRule="auto" w:before="314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a Copasa é detentora de concessões para a prestação de serviços de abastecimento de água 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esgotamento sanitário de grande parte dos municípios mineiros e que, para o cumprimento das obrigações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contratualmente assumidas, a concessionária realiza investimentos em valores relevantes; </w:t>
      </w:r>
    </w:p>
    <w:p>
      <w:pPr>
        <w:autoSpaceDN w:val="0"/>
        <w:autoSpaceDE w:val="0"/>
        <w:widowControl/>
        <w:spacing w:line="245" w:lineRule="auto" w:before="31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os bens adquiridos ou construídos pela concessionária, decorrentes dos investimentos efetuados,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pertencem aos Municípios concedentes e que a Copasa tem, efetivamente, um direito, referenciado nos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valores investidos, de acesso para operar a infraestrutura para a prestação dos serviços públicos de </w:t>
      </w:r>
      <w:r>
        <w:rPr>
          <w:rFonts w:ascii="Calibri" w:hAnsi="Calibri" w:eastAsia="Calibri"/>
          <w:b w:val="0"/>
          <w:i w:val="0"/>
          <w:color w:val="000000"/>
          <w:sz w:val="22"/>
        </w:rPr>
        <w:t>saneamento básico em nome do Concedente;</w:t>
      </w:r>
    </w:p>
    <w:p>
      <w:pPr>
        <w:autoSpaceDN w:val="0"/>
        <w:autoSpaceDE w:val="0"/>
        <w:widowControl/>
        <w:spacing w:line="245" w:lineRule="auto" w:before="314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o prestador é detentor de um crédito potencial perante os Municípios concedentes, pelo fato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possuir um direito de receber uma indenização pelos investimentos efetuados e não recuperados durante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prazo contratual por meio da prestação de serviços relacionados às concessões; </w:t>
      </w:r>
    </w:p>
    <w:p>
      <w:pPr>
        <w:autoSpaceDN w:val="0"/>
        <w:autoSpaceDE w:val="0"/>
        <w:widowControl/>
        <w:spacing w:line="245" w:lineRule="auto" w:before="318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esses direitos são reconhecidos contabilmente pelo prestador em linha com o preconizado pela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interpretação ICPC 01 – Contratos de Concessão, editada pelo Comitê de Pronunciamentos Contábeis, 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esse reconhecimento reflete, adequadamente, a substância econômica que preside a relação entre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prestador e concedente; </w:t>
      </w:r>
    </w:p>
    <w:p>
      <w:pPr>
        <w:autoSpaceDN w:val="0"/>
        <w:autoSpaceDE w:val="0"/>
        <w:widowControl/>
        <w:spacing w:line="245" w:lineRule="auto" w:before="31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o Índice Nacional de Preços ao Consumidor Amplo – IPCA é utilizado pelo Banco Central como medidor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oficial da inflação do país e largamente utilizado para a atualização de ativos financeiros, em linha com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natureza estritamente financeira dos valores relacionados à indenização devida pelos municípios à Copasa; </w:t>
      </w:r>
    </w:p>
    <w:p>
      <w:pPr>
        <w:sectPr>
          <w:pgSz w:w="11906" w:h="16838"/>
          <w:pgMar w:top="196" w:right="1062" w:bottom="116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tabs>
          <w:tab w:pos="3462" w:val="left"/>
          <w:tab w:pos="3656" w:val="left"/>
        </w:tabs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14450" cy="9055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55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e de Esgotamento Sanitário do Estado de Minas Gerais </w:t>
      </w:r>
    </w:p>
    <w:p>
      <w:pPr>
        <w:autoSpaceDN w:val="0"/>
        <w:autoSpaceDE w:val="0"/>
        <w:widowControl/>
        <w:spacing w:line="245" w:lineRule="auto" w:before="128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a transparência e o controle social são princípios fundamentais da Política Nacional de Saneamento,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bem como da atuação das Agências Reguladoras, devendo nortear as relações entre Concedente 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Concessionária; </w:t>
      </w:r>
    </w:p>
    <w:p>
      <w:pPr>
        <w:autoSpaceDN w:val="0"/>
        <w:autoSpaceDE w:val="0"/>
        <w:widowControl/>
        <w:spacing w:line="245" w:lineRule="auto" w:before="31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finalmente, que os municípios devem ter pleno conhecimento de seus direitos e de suas obrigações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financeiras, decorrentes dos Contratos de Concessão ou de Programa relativamente aos investimentos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realizados pelo prestador;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RESOLVE: </w:t>
      </w:r>
    </w:p>
    <w:p>
      <w:pPr>
        <w:autoSpaceDN w:val="0"/>
        <w:autoSpaceDE w:val="0"/>
        <w:widowControl/>
        <w:spacing w:line="245" w:lineRule="auto" w:before="31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Art. 1º A Copasa deverá informar aos entes concedentes, em até 60 (sessenta) dias após a publicação de </w:t>
      </w:r>
      <w:r>
        <w:rPr>
          <w:rFonts w:ascii="Calibri" w:hAnsi="Calibri" w:eastAsia="Calibri"/>
          <w:b w:val="0"/>
          <w:i w:val="0"/>
          <w:color w:val="000000"/>
          <w:sz w:val="22"/>
        </w:rPr>
        <w:t>suas demonstrações financeiras anuais, o valor presente na data do Balanço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 indenização a ser paga pelo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Município à Concessionária ao término do contrato, caso a concessão não seja renovada, acrescido 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correção monetária pelo IPCA – Índice Nacional de Preços ao Consumidor Amplo até a data-base 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informação. </w:t>
      </w:r>
    </w:p>
    <w:p>
      <w:pPr>
        <w:autoSpaceDN w:val="0"/>
        <w:autoSpaceDE w:val="0"/>
        <w:widowControl/>
        <w:spacing w:line="245" w:lineRule="auto" w:before="3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§ 1º As informações a serem prestadas aos Municípios com contrato em vigor deverão seguir o modelo 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Anexo I - </w:t>
      </w:r>
      <w:r>
        <w:rPr>
          <w:rFonts w:ascii="Calibri" w:hAnsi="Calibri" w:eastAsia="Calibri"/>
          <w:b w:val="0"/>
          <w:i w:val="0"/>
          <w:color w:val="000000"/>
          <w:sz w:val="24"/>
        </w:rPr>
        <w:t>MODELO DE CARTA (CONTRATOS EM ANDAMENTO)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§ 2º As informações a serem prestadas aos Municípios com contrato vencido deverão seguir o modelo 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Anexo II - </w:t>
      </w:r>
      <w:r>
        <w:rPr>
          <w:rFonts w:ascii="Calibri" w:hAnsi="Calibri" w:eastAsia="Calibri"/>
          <w:b w:val="0"/>
          <w:i w:val="0"/>
          <w:color w:val="000000"/>
          <w:sz w:val="24"/>
        </w:rPr>
        <w:t>MODELO DE CARTA (CONTRATOS VENCIDOS).</w:t>
      </w:r>
    </w:p>
    <w:p>
      <w:pPr>
        <w:autoSpaceDN w:val="0"/>
        <w:autoSpaceDE w:val="0"/>
        <w:widowControl/>
        <w:spacing w:line="245" w:lineRule="auto" w:before="3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§ 3º Excetuam-se ao disposto do </w:t>
      </w:r>
      <w:r>
        <w:rPr>
          <w:rFonts w:ascii="Calibri" w:hAnsi="Calibri" w:eastAsia="Calibri"/>
          <w:b w:val="0"/>
          <w:i/>
          <w:color w:val="000000"/>
          <w:sz w:val="22"/>
        </w:rPr>
        <w:t>caput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deste Artigo as informações relativas aos ativos utilizados 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sistemas compartilhados, os quais não deverão ser computados para nenhum Município. </w:t>
      </w:r>
    </w:p>
    <w:p>
      <w:pPr>
        <w:autoSpaceDN w:val="0"/>
        <w:autoSpaceDE w:val="0"/>
        <w:widowControl/>
        <w:spacing w:line="245" w:lineRule="auto" w:before="31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§ 4º Para a apresentação das informações, deverão ser considerados somente os investimentos realizados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 Município registrados nas categorias de ativos e respectivas classes constantes da tabela apresentada </w:t>
      </w:r>
      <w:r>
        <w:rPr>
          <w:rFonts w:ascii="Calibri" w:hAnsi="Calibri" w:eastAsia="Calibri"/>
          <w:b w:val="0"/>
          <w:i w:val="0"/>
          <w:color w:val="000000"/>
          <w:sz w:val="22"/>
        </w:rPr>
        <w:t>no Anexo III</w:t>
      </w:r>
      <w:r>
        <w:rPr>
          <w:rFonts w:ascii="Calibri" w:hAnsi="Calibri" w:eastAsia="Calibri"/>
          <w:b w:val="0"/>
          <w:i w:val="0"/>
          <w:color w:val="000000"/>
          <w:sz w:val="24"/>
        </w:rPr>
        <w:t>– CATEGORIAS E CLASSES INDENIZÁVEIS.</w:t>
      </w:r>
    </w:p>
    <w:p>
      <w:pPr>
        <w:autoSpaceDN w:val="0"/>
        <w:autoSpaceDE w:val="0"/>
        <w:widowControl/>
        <w:spacing w:line="245" w:lineRule="auto" w:before="3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§ 5º A Copasa também prestará aos entes concedentes a mesma informação prevista no </w:t>
      </w:r>
      <w:r>
        <w:rPr>
          <w:rFonts w:ascii="Calibri" w:hAnsi="Calibri" w:eastAsia="Calibri"/>
          <w:b w:val="0"/>
          <w:i/>
          <w:color w:val="000000"/>
          <w:sz w:val="22"/>
        </w:rPr>
        <w:t>caput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deste Artigo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um ano antes do término da concessão ou quando solicitada.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§ 6º As propostas de alterações dos Anexos desta Resolução, devido a especificidades de cada contrato,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deverão ser previamente enviadas à Arsae-MG para a homologação. </w:t>
      </w:r>
    </w:p>
    <w:p>
      <w:pPr>
        <w:autoSpaceDN w:val="0"/>
        <w:tabs>
          <w:tab w:pos="706" w:val="left"/>
          <w:tab w:pos="1134" w:val="left"/>
        </w:tabs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Art. 2º Deverão ser encaminhados à Arsae-MG, por ocasião do levantamento das demonstrações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financeiras anuais, os seguintes demonstrativos, em formato Excel: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Banco patrimonial com as informações devidamente consistidas com os saldos apresentados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 adequadas contas do Ativo Financeiro, do Intangível e do Imobilizado;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Resumo das informações prestadas aos Municípios em tabela única.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Parágrafo Único. O Banco Patrimonial deve conter informações em valores históricos e corrigidos pelo IPCA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até a data-base. </w:t>
      </w:r>
    </w:p>
    <w:p>
      <w:pPr>
        <w:autoSpaceDN w:val="0"/>
        <w:autoSpaceDE w:val="0"/>
        <w:widowControl/>
        <w:spacing w:line="245" w:lineRule="auto" w:before="31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Art. 3º Os Investimentos nos sistemas municipais, não previstos nos instrumentos contratuais, deverão ter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prévia e expressa autorização do concedente, à exceção dos investimentos que serão realizados para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atendimento do crescimento vegetativo e outros considerados como emergenciais. </w:t>
      </w:r>
    </w:p>
    <w:p>
      <w:pPr>
        <w:sectPr>
          <w:pgSz w:w="11906" w:h="16838"/>
          <w:pgMar w:top="196" w:right="1062" w:bottom="112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tabs>
          <w:tab w:pos="3462" w:val="left"/>
          <w:tab w:pos="3656" w:val="left"/>
        </w:tabs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14450" cy="9055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55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e de Esgotamento Sanitário do Estado de Minas Gerais </w:t>
      </w:r>
    </w:p>
    <w:p>
      <w:pPr>
        <w:autoSpaceDN w:val="0"/>
        <w:autoSpaceDE w:val="0"/>
        <w:widowControl/>
        <w:spacing w:line="245" w:lineRule="auto" w:before="128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Art. 4º A margem de construção contabilizada pela prestadora, em linha com o CPC 17 – Contratos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Construção, e incorporada aos investimentos, não será considerada nos cálculos da indenização de 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trata esta Resolução. </w:t>
      </w:r>
    </w:p>
    <w:p>
      <w:pPr>
        <w:autoSpaceDN w:val="0"/>
        <w:autoSpaceDE w:val="0"/>
        <w:widowControl/>
        <w:spacing w:line="245" w:lineRule="auto" w:before="3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Art. 5º Excepcionalmente, as informações referentes ao exercício de 2014 deverão ser enviadas aos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Municípios em até 90 (noventa) dias após a publicação desta Resolução. </w:t>
      </w:r>
    </w:p>
    <w:p>
      <w:pPr>
        <w:autoSpaceDN w:val="0"/>
        <w:autoSpaceDE w:val="0"/>
        <w:widowControl/>
        <w:spacing w:line="197" w:lineRule="auto" w:before="3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Art. 6º Esta Resolução entra em vigor na data de sua publicação. </w:t>
      </w:r>
    </w:p>
    <w:p>
      <w:pPr>
        <w:autoSpaceDN w:val="0"/>
        <w:autoSpaceDE w:val="0"/>
        <w:widowControl/>
        <w:spacing w:line="245" w:lineRule="auto" w:before="856" w:after="0"/>
        <w:ind w:left="0" w:right="74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Antônio A. Caram Filho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3"/>
        </w:rPr>
        <w:t>Diretor Geral</w:t>
      </w:r>
    </w:p>
    <w:p>
      <w:pPr>
        <w:sectPr>
          <w:pgSz w:w="11906" w:h="16838"/>
          <w:pgMar w:top="196" w:right="1064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tabs>
          <w:tab w:pos="3462" w:val="left"/>
          <w:tab w:pos="3656" w:val="left"/>
        </w:tabs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14450" cy="9055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55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e de Esgotamento Sanitário do Estado de Minas Gerais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ANEXO I - MODELO DE CARTA (CONTRATOS EM ANDAMENTO) </w:t>
      </w:r>
    </w:p>
    <w:p>
      <w:pPr>
        <w:autoSpaceDN w:val="0"/>
        <w:autoSpaceDE w:val="0"/>
        <w:widowControl/>
        <w:spacing w:line="197" w:lineRule="auto" w:before="328" w:after="0"/>
        <w:ind w:left="0" w:right="70" w:firstLine="0"/>
        <w:jc w:val="right"/>
      </w:pP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Belo Horizonte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(dd)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(mês)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(ano)</w:t>
      </w:r>
    </w:p>
    <w:p>
      <w:pPr>
        <w:autoSpaceDN w:val="0"/>
        <w:autoSpaceDE w:val="0"/>
        <w:widowControl/>
        <w:spacing w:line="197" w:lineRule="auto" w:before="3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Ao Senhor Prefeito do Município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(nome do município)</w:t>
      </w:r>
    </w:p>
    <w:p>
      <w:pPr>
        <w:autoSpaceDN w:val="0"/>
        <w:autoSpaceDE w:val="0"/>
        <w:widowControl/>
        <w:spacing w:line="245" w:lineRule="auto" w:before="33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Companhia de Saneamento de Minas Gerais - Copasa, com base no que determina a Resolução Arsae-MG </w:t>
      </w:r>
      <w:r>
        <w:rPr>
          <w:rFonts w:ascii="Calibri" w:hAnsi="Calibri" w:eastAsia="Calibri"/>
          <w:b w:val="0"/>
          <w:i w:val="0"/>
          <w:color w:val="0000FF"/>
          <w:sz w:val="22"/>
        </w:rPr>
        <w:t>xx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de </w:t>
      </w:r>
      <w:r>
        <w:rPr>
          <w:rFonts w:ascii="Calibri" w:hAnsi="Calibri" w:eastAsia="Calibri"/>
          <w:b w:val="0"/>
          <w:i w:val="0"/>
          <w:color w:val="0000FF"/>
          <w:sz w:val="22"/>
        </w:rPr>
        <w:t>xx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 dezembro de 2014, da Agência Reguladora de Serviços de Abastecimento de Água e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Esgotamento Sanitário do Estado de Minas Gerais, vem informar a V.Ex.ª os valores residuais dos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investimentos efetuados nesse município em decorrência do Contrato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(Programa ou Concessão)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vigor, assinado em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(dia, mês e ano da assinatura)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 a prestação de serviços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(abastecimento de água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e/ou esgotamento sanitário)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passíveis de indenização pelo Município à Copasa em caso de extinção da </w:t>
      </w:r>
      <w:r>
        <w:rPr>
          <w:rFonts w:ascii="Calibri" w:hAnsi="Calibri" w:eastAsia="Calibri"/>
          <w:b w:val="0"/>
          <w:i w:val="0"/>
          <w:color w:val="000000"/>
          <w:sz w:val="22"/>
        </w:rPr>
        <w:t>concessão.</w:t>
      </w:r>
    </w:p>
    <w:p>
      <w:pPr>
        <w:autoSpaceDN w:val="0"/>
        <w:autoSpaceDE w:val="0"/>
        <w:widowControl/>
        <w:spacing w:line="197" w:lineRule="auto" w:before="28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Indenização </w:t>
      </w:r>
    </w:p>
    <w:p>
      <w:pPr>
        <w:autoSpaceDN w:val="0"/>
        <w:autoSpaceDE w:val="0"/>
        <w:widowControl/>
        <w:spacing w:line="245" w:lineRule="auto" w:before="32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 base nos artigos 35 e 36 da Lei 8.987 (Lei das Concessões), de 13 de fevereiro de 1995, os bens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reversíveis deverão ser transferidos ao poder concedente ao término do contrato, mediante indenização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dos investimentos ainda não amortizados/depreciados, caso o município não renove a concessão com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prestadora. A indenização tem relação com os bens reversíveis que ainda estarão em condições de uso 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terão um valor residual (não amortizado) ao término do contrato. </w:t>
      </w:r>
    </w:p>
    <w:p>
      <w:pPr>
        <w:autoSpaceDN w:val="0"/>
        <w:autoSpaceDE w:val="0"/>
        <w:widowControl/>
        <w:spacing w:line="245" w:lineRule="auto" w:before="28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Não são considerados bens reversíveis, e por isso não compõem o valor da indenização, os ativos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imobilizados, isto é, aqueles de propriedade da Copasa não integrantes da infraestrutura da prestação 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serviço (por exemplo: veículos, móveis, utensílios, computadores, etc.). Os ativos dos sistemas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compartilhados, caso existam, também não compõem os valores indenizáveis.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 contrato de concessão/programa com esse município tem data de encerramento prevista para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(dd de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mês de ano do vencimento)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286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acordo com os registros contábeis da Copasa, considerando os investimentos em bens reversíveis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realizados até a data de encerramento do balanço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(ano do balanço)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o valor presente da indenização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 paga ao término do contrato, devidamente corrigida pela variação do IPCA até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(dia mês e ano da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atualização)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caso o contrato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(Programa ou Concessão)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não venha a ser renovado, é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R$ (valor da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indenização calculada, em algarismos e por extenso)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288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Serão incorporadas aos valores aqui expressos para o cálculo da indenização a ser paga, (i) uma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capitalização, para se chegar aos valores residuais dos bens na data do encerramento da concessão, e (ii)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correção monetária até a data do efetivo pagamento. Além disso, a indenização a ser paga poderá sofrer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alterações para mais, na ocorrência de realização de novos investimentos pela Copasa no transcorrer 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prazo do contrato em vigor. </w:t>
      </w:r>
    </w:p>
    <w:p>
      <w:pPr>
        <w:autoSpaceDN w:val="0"/>
        <w:autoSpaceDE w:val="0"/>
        <w:widowControl/>
        <w:spacing w:line="245" w:lineRule="auto" w:before="28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Ressalva-se, por oportuno, que em caso de rompimento do contrato antes do prazo estabelecido para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seu encerramento, serão acrescidos à indenização os valores das parcelas dos bens em operação 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seriam amortizados/depreciados até o encerramento do contrato, os quais equivalem, nesta data, a R$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(valor residual dos ativos indenizáveis e não amortizados corrigidos pelo IPCA, em algarismos e por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extenso)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97" w:lineRule="auto" w:before="29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Considerações Finais </w:t>
      </w:r>
    </w:p>
    <w:p>
      <w:pPr>
        <w:autoSpaceDN w:val="0"/>
        <w:autoSpaceDE w:val="0"/>
        <w:widowControl/>
        <w:spacing w:line="197" w:lineRule="auto" w:before="3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Este documento é de caráter informativo e não gera nenhuma obrigação ao Município no presente. </w:t>
      </w:r>
    </w:p>
    <w:p>
      <w:pPr>
        <w:sectPr>
          <w:pgSz w:w="11906" w:h="16838"/>
          <w:pgMar w:top="196" w:right="1062" w:bottom="67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tabs>
          <w:tab w:pos="3462" w:val="left"/>
          <w:tab w:pos="3656" w:val="left"/>
        </w:tabs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14450" cy="9055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55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e de Esgotamento Sanitário do Estado de Minas Gerais </w:t>
      </w:r>
    </w:p>
    <w:p>
      <w:pPr>
        <w:autoSpaceDN w:val="0"/>
        <w:autoSpaceDE w:val="0"/>
        <w:widowControl/>
        <w:spacing w:line="245" w:lineRule="auto" w:before="1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Copasa mantém-se à disposição para a prestação de informações complementares, conforme previsto 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Resolução Arsae-MG xx, de xx de julho de 2015.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Atenciosamente, </w:t>
      </w:r>
    </w:p>
    <w:p>
      <w:pPr>
        <w:sectPr>
          <w:pgSz w:w="11906" w:h="16838"/>
          <w:pgMar w:top="196" w:right="1070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tabs>
          <w:tab w:pos="3462" w:val="left"/>
          <w:tab w:pos="3656" w:val="left"/>
        </w:tabs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14450" cy="9055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55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  <w:r>
        <w:tab/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e de Esgotamento Sanitário do Estado de Minas Gerais </w:t>
      </w:r>
    </w:p>
    <w:p>
      <w:pPr>
        <w:autoSpaceDN w:val="0"/>
        <w:autoSpaceDE w:val="0"/>
        <w:widowControl/>
        <w:spacing w:line="197" w:lineRule="auto" w:before="1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ANEXO II - MODELO DE CARTA (CONTRATOS VENCIDOS) </w:t>
      </w:r>
    </w:p>
    <w:p>
      <w:pPr>
        <w:autoSpaceDN w:val="0"/>
        <w:autoSpaceDE w:val="0"/>
        <w:widowControl/>
        <w:spacing w:line="197" w:lineRule="auto" w:before="326" w:after="0"/>
        <w:ind w:left="0" w:right="70" w:firstLine="0"/>
        <w:jc w:val="right"/>
      </w:pP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Belo Horizonte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(dd)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(mês)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(ano)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Ao Senhor Prefeito do Município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(nome município)</w:t>
      </w:r>
    </w:p>
    <w:p>
      <w:pPr>
        <w:autoSpaceDN w:val="0"/>
        <w:autoSpaceDE w:val="0"/>
        <w:widowControl/>
        <w:spacing w:line="245" w:lineRule="auto" w:before="32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Companhia de Saneamento de Minas Gerais - COPASA MG, com base no que determina a Resolução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ARSAE-MG </w:t>
      </w:r>
      <w:r>
        <w:rPr>
          <w:rFonts w:ascii="Calibri" w:hAnsi="Calibri" w:eastAsia="Calibri"/>
          <w:b w:val="0"/>
          <w:i w:val="0"/>
          <w:color w:val="0000FF"/>
          <w:sz w:val="22"/>
        </w:rPr>
        <w:t>xx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de </w:t>
      </w:r>
      <w:r>
        <w:rPr>
          <w:rFonts w:ascii="Calibri" w:hAnsi="Calibri" w:eastAsia="Calibri"/>
          <w:b w:val="0"/>
          <w:i w:val="0"/>
          <w:color w:val="0000FF"/>
          <w:sz w:val="22"/>
        </w:rPr>
        <w:t>xx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 dezembro de 2014, da Agência Reguladora de Serviços de Abastecimento de Água 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Esgotamento Sanitário do Estado de Minas Gerais vem informar a V.Ex.ª os valores residuais dos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investimentos efetuados nesse município em decorrência do Contrato de Concessão, assinado em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(dia, mês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e ano da assinatura)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 a prestação de serviços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(abastecimento de água e/ou esgotamento sanitário)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2"/>
        </w:rPr>
        <w:t>passíveis de indenização pelo Município à COPASA MG, em caso de não renovação da concessão.</w:t>
      </w:r>
    </w:p>
    <w:p>
      <w:pPr>
        <w:autoSpaceDN w:val="0"/>
        <w:autoSpaceDE w:val="0"/>
        <w:widowControl/>
        <w:spacing w:line="197" w:lineRule="auto" w:before="28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Indenização </w:t>
      </w:r>
    </w:p>
    <w:p>
      <w:pPr>
        <w:autoSpaceDN w:val="0"/>
        <w:autoSpaceDE w:val="0"/>
        <w:widowControl/>
        <w:spacing w:line="245" w:lineRule="auto" w:before="32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 base nos artigos 35 e 36 da Lei 8.987 (lei das concessões), de 13 de fevereiro de 1995, os bens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reversíveis deverão ser transferidos ao poder concedente ao término do contrato, mediante indenização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dos investimentos ainda não amortizados/depreciados, caso o município não renove a concessão com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prestadora. A indenização tem relação com os bens reversíveis que ainda estarão em condições de uso 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terão um valor residual (não amortizado) ao término do contrato. </w:t>
      </w:r>
    </w:p>
    <w:p>
      <w:pPr>
        <w:autoSpaceDN w:val="0"/>
        <w:autoSpaceDE w:val="0"/>
        <w:widowControl/>
        <w:spacing w:line="245" w:lineRule="auto" w:before="286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Não são considerados bens reversíveis, por isso não compõe o valor da indenização, os ativos imobilizados,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isto é, aqueles de propriedade da Copasa não integrantes da infraestrutura da prestação do serviço (por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exemplo: veículos, móveis, utensílios, computadores, etc.). Os ativos dos sistemas compartilhados, caso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existam, também não compõem os valores indenizáveis. </w:t>
      </w:r>
    </w:p>
    <w:p>
      <w:pPr>
        <w:autoSpaceDN w:val="0"/>
        <w:autoSpaceDE w:val="0"/>
        <w:widowControl/>
        <w:spacing w:line="245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 contrato de concessão/programa com esse município está vencido desde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(dia, mês e ano do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vencimento)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28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acordo com os registros contábeis da Copasa, considerando os investimentos em bens reversíveis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realizados até a data de encerramento do balanço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(ano do balanço)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a indenização a ser paga pelo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município, devidamente corrigida pela variação do IPCA até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(dia, mês e ano da atualização)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caso o contrato </w:t>
      </w:r>
      <w:r>
        <w:rPr>
          <w:rFonts w:ascii="Calibri" w:hAnsi="Calibri" w:eastAsia="Calibri"/>
          <w:b w:val="0"/>
          <w:i w:val="0"/>
          <w:color w:val="000000"/>
          <w:sz w:val="22"/>
        </w:rPr>
        <w:t>de Concessão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não venha a ser renovado, é de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R$ (valor da indenização calculada, em algarismos e por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u w:val="single" w:color="0d0d0d"/>
          <w:rFonts w:ascii="Calibri" w:hAnsi="Calibri" w:eastAsia="Calibri"/>
          <w:b w:val="0"/>
          <w:i w:val="0"/>
          <w:color w:val="0000FF"/>
          <w:sz w:val="22"/>
        </w:rPr>
        <w:t>extenso)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286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Ressalva-se que os valores aqui expressos poderão sofrer alterações na hipótese de conclusão de obras 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andamento e/ou de novos investimentos realizados pela Copasa no transcorrer da prestação do serviço 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naturalmente, dos acréscimos relacionados à correção monetária até a data do efetivo pagamento. </w:t>
      </w:r>
    </w:p>
    <w:p>
      <w:pPr>
        <w:autoSpaceDN w:val="0"/>
        <w:autoSpaceDE w:val="0"/>
        <w:widowControl/>
        <w:spacing w:line="245" w:lineRule="auto" w:before="288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 outro lado, como os bens estão sendo utilizados na prestação dos serviços, eles continuarão sendo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objeto de amortização, para refletir o desgaste decorrente do seu uso, diminuindo, progressivamente,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seu valor residual. </w:t>
      </w:r>
    </w:p>
    <w:p>
      <w:pPr>
        <w:autoSpaceDN w:val="0"/>
        <w:autoSpaceDE w:val="0"/>
        <w:widowControl/>
        <w:spacing w:line="197" w:lineRule="auto" w:before="29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Considerações Finais </w:t>
      </w:r>
    </w:p>
    <w:p>
      <w:pPr>
        <w:autoSpaceDN w:val="0"/>
        <w:autoSpaceDE w:val="0"/>
        <w:widowControl/>
        <w:spacing w:line="197" w:lineRule="auto" w:before="3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Copasa mantém-se à disposição para a prestação de informações complementares, conforme previsto na </w:t>
      </w:r>
    </w:p>
    <w:p>
      <w:pPr>
        <w:autoSpaceDN w:val="0"/>
        <w:autoSpaceDE w:val="0"/>
        <w:widowControl/>
        <w:spacing w:line="197" w:lineRule="auto" w:before="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Resolução Arsae-MG xx, de xx de julho de 2015. </w:t>
      </w:r>
    </w:p>
    <w:p>
      <w:pPr>
        <w:autoSpaceDN w:val="0"/>
        <w:autoSpaceDE w:val="0"/>
        <w:widowControl/>
        <w:spacing w:line="197" w:lineRule="auto" w:before="3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Atenciosamente, </w:t>
      </w:r>
    </w:p>
    <w:p>
      <w:pPr>
        <w:sectPr>
          <w:pgSz w:w="11906" w:h="16838"/>
          <w:pgMar w:top="196" w:right="1062" w:bottom="93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tabs>
          <w:tab w:pos="315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14450" cy="9055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55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/>
          <w:color w:val="17365D"/>
          <w:sz w:val="22"/>
        </w:rPr>
        <w:t xml:space="preserve">Agência Reguladora de Serviços de Abastecimento de Água </w:t>
      </w:r>
    </w:p>
    <w:p>
      <w:pPr>
        <w:autoSpaceDN w:val="0"/>
        <w:autoSpaceDE w:val="0"/>
        <w:widowControl/>
        <w:spacing w:line="197" w:lineRule="auto" w:before="0" w:after="0"/>
        <w:ind w:left="0" w:right="746" w:firstLine="0"/>
        <w:jc w:val="right"/>
      </w:pPr>
      <w:r>
        <w:rPr>
          <w:rFonts w:ascii="Calibri" w:hAnsi="Calibri" w:eastAsia="Calibri"/>
          <w:b w:val="0"/>
          <w:i/>
          <w:color w:val="17365D"/>
          <w:sz w:val="22"/>
        </w:rPr>
        <w:t xml:space="preserve">e de Esgotamento Sanitário do Estado de Minas Gerais </w:t>
      </w:r>
    </w:p>
    <w:p>
      <w:pPr>
        <w:autoSpaceDN w:val="0"/>
        <w:autoSpaceDE w:val="0"/>
        <w:widowControl/>
        <w:spacing w:line="197" w:lineRule="auto" w:before="318" w:after="24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ANEXO III – CATEGORIAS E CLASSES INDENIZÁVEIS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3009"/>
        <w:gridCol w:w="3009"/>
        <w:gridCol w:w="3009"/>
      </w:tblGrid>
      <w:tr>
        <w:trPr>
          <w:trHeight w:hRule="exact" w:val="208"/>
        </w:trPr>
        <w:tc>
          <w:tcPr>
            <w:tcW w:type="dxa" w:w="8496"/>
            <w:gridSpan w:val="3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0" w:firstLine="0"/>
              <w:jc w:val="center"/>
            </w:pPr>
            <w:r>
              <w:rPr>
                <w:w w:val="97.78885160173688"/>
                <w:rFonts w:ascii="Calibri" w:hAnsi="Calibri" w:eastAsia="Calibri"/>
                <w:b/>
                <w:i w:val="0"/>
                <w:color w:val="000000"/>
                <w:sz w:val="14"/>
              </w:rPr>
              <w:t>Categorias e Classes de Ativos Indenizáveis</w:t>
            </w:r>
          </w:p>
        </w:tc>
      </w:tr>
      <w:tr>
        <w:trPr>
          <w:trHeight w:hRule="exact" w:val="792"/>
        </w:trPr>
        <w:tc>
          <w:tcPr>
            <w:tcW w:type="dxa" w:w="263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  <w:u w:val="single"/>
              </w:rPr>
              <w:t>INTANGÍVEL EM ANDAMENTO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76" w:right="432" w:firstLine="0"/>
              <w:jc w:val="left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Obras de uso geral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Sistema de abastecimento de água - obras </w:t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>Sistema de esgotamento sanitário - obras</w:t>
            </w:r>
          </w:p>
        </w:tc>
        <w:tc>
          <w:tcPr>
            <w:tcW w:type="dxa" w:w="3008"/>
            <w:vMerge w:val="restart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  <w:u w:val="single"/>
              </w:rPr>
              <w:t>EQUIPAMENTOS</w:t>
            </w:r>
          </w:p>
          <w:p>
            <w:pPr>
              <w:autoSpaceDN w:val="0"/>
              <w:autoSpaceDE w:val="0"/>
              <w:widowControl/>
              <w:spacing w:line="252" w:lineRule="auto" w:before="204" w:after="0"/>
              <w:ind w:left="74" w:right="144" w:firstLine="0"/>
              <w:jc w:val="left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de estação elevatória e tratamento de água </w:t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auxiliares produção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civis/prediais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de análise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de controle e medição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de telecomunicação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elétricos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eletrônicos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Equipamentos mecânicos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Medidores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>Válvulas e hidrantes</w:t>
            </w:r>
          </w:p>
        </w:tc>
        <w:tc>
          <w:tcPr>
            <w:tcW w:type="dxa" w:w="2852"/>
            <w:vMerge w:val="restart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  <w:u w:val="single"/>
              </w:rPr>
              <w:t>OUTROS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76" w:right="144" w:firstLine="0"/>
              <w:jc w:val="left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Adiantamento para aquisição de servidão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Adiantam. p/aquisição servidão-aguardando contrato </w:t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Adiantamento para aquisição de terreno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>Adiantamento para incorporação de sistemas</w:t>
            </w:r>
          </w:p>
        </w:tc>
      </w:tr>
      <w:tr>
        <w:trPr>
          <w:trHeight w:hRule="exact" w:val="1210"/>
        </w:trPr>
        <w:tc>
          <w:tcPr>
            <w:tcW w:type="dxa" w:w="2636"/>
            <w:vMerge w:val="restart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9"/>
            <w:vMerge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3009"/>
            <w:vMerge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</w:tr>
      <w:tr>
        <w:trPr>
          <w:trHeight w:hRule="exact" w:val="2250"/>
        </w:trPr>
        <w:tc>
          <w:tcPr>
            <w:tcW w:type="dxa" w:w="3009"/>
            <w:vMerge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300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  <w:u w:val="single"/>
              </w:rPr>
              <w:t>SISTEMA ABASTECIMENTO DE ÁGUA</w:t>
            </w:r>
          </w:p>
          <w:p>
            <w:pPr>
              <w:autoSpaceDN w:val="0"/>
              <w:autoSpaceDE w:val="0"/>
              <w:widowControl/>
              <w:spacing w:line="252" w:lineRule="auto" w:before="184" w:after="0"/>
              <w:ind w:left="74" w:right="1152" w:firstLine="0"/>
              <w:jc w:val="left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Adutoras de água bruta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Adutoras de água tratada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Barragens e tomadas d´agua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Estações de macromedição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Estações de tratamento de água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Estações elevatórias de água bruta </w:t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Estações elevatórias de água tratada </w:t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Instalações elétricas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Ligações prediais de água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Poços tubulares profundos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Redes de distribuição de água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Reservatórios de água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>Terrenos</w:t>
            </w:r>
          </w:p>
        </w:tc>
        <w:tc>
          <w:tcPr>
            <w:tcW w:type="dxa" w:w="285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  <w:u w:val="single"/>
              </w:rPr>
              <w:t>SISTEMA ESGOTAMENTO SANITÁRIO</w:t>
            </w:r>
          </w:p>
          <w:p>
            <w:pPr>
              <w:autoSpaceDN w:val="0"/>
              <w:autoSpaceDE w:val="0"/>
              <w:widowControl/>
              <w:spacing w:line="247" w:lineRule="auto" w:before="188" w:after="0"/>
              <w:ind w:left="76" w:right="576" w:firstLine="0"/>
              <w:jc w:val="left"/>
            </w:pP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Coletores e interceptores de esgoto sanitário </w:t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Estações de tratamento de esgoto sanitário </w:t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Estações elevatórias de esgoto sanitário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Instalações elétricas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 xml:space="preserve">Ligações prediais de esgoto </w:t>
            </w:r>
            <w:r>
              <w:br/>
            </w:r>
            <w:r>
              <w:rPr>
                <w:w w:val="96.10480467478433"/>
                <w:rFonts w:ascii="Calibri" w:hAnsi="Calibri" w:eastAsia="Calibri"/>
                <w:b w:val="0"/>
                <w:i w:val="0"/>
                <w:color w:val="000000"/>
                <w:sz w:val="12"/>
              </w:rPr>
              <w:t>Terrenos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9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