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as34uqbnrg4" w:id="0"/>
      <w:bookmarkEnd w:id="0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sockets: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listenfd as a listening socket.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connfd as a socket which accepts the connection and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address structs: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servaddr containing server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cliaddr containing client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Buffers: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buff, recvline both maxline to receiving and sending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logintag, passtag of sizes 8 and 7 are expected tags coming from client signifying start of login or passtag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login, pass sizes maxline to store the respectable values sent by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expected Login = “admin”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expectedPass  = “pass”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len as length variable to store the length of client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 the number of terminal arguments is not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quit with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listening 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in the 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Bind the listening socket for a 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INFINITE LOOP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len = length of client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Accept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Print client address and port using numeric to presentation and network and host byte order respectively.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input empty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exit with error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END IF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Print client request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Parse request into tags and client values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tags and value pairs match the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Send “SUCCESS” to client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Send “DENIED” to client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END IF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last part of client request is double line break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break out of the loop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END IF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Close connected socket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END INFINITE LOOP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</w:r>
    </w:p>
    <w:sectPr>
      <w:headerReference r:id="rId5" w:type="default"/>
      <w:headerReference r:id="rId6" w:type="first"/>
      <w:footerReference r:id="rId7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Andrejs Lahs</w:t>
      <w:tab/>
      <w:tab/>
      <w:t xml:space="preserve">C13766231</w:t>
      <w:tab/>
      <w:tab/>
      <w:t xml:space="preserve">01/12/2015</w:t>
      <w:tab/>
      <w:tab/>
      <w:t xml:space="preserve">CSP Lab Test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