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4F2700" w14:textId="6FF98E77" w:rsidR="004C32C4" w:rsidRPr="0091369A" w:rsidRDefault="009B2C1C">
      <w:pPr>
        <w:rPr>
          <w:b/>
          <w:bCs/>
          <w:sz w:val="28"/>
          <w:szCs w:val="28"/>
        </w:rPr>
      </w:pPr>
      <w:r w:rsidRPr="0091369A">
        <w:rPr>
          <w:b/>
          <w:bCs/>
          <w:sz w:val="28"/>
          <w:szCs w:val="28"/>
        </w:rPr>
        <w:t>Project 1</w:t>
      </w:r>
    </w:p>
    <w:p w14:paraId="53DB67AF" w14:textId="7633C255" w:rsidR="009B2C1C" w:rsidRDefault="009B2C1C">
      <w:pPr>
        <w:rPr>
          <w:b/>
          <w:bCs/>
          <w:sz w:val="24"/>
          <w:szCs w:val="24"/>
        </w:rPr>
      </w:pPr>
      <w:r w:rsidRPr="0091369A">
        <w:rPr>
          <w:b/>
          <w:bCs/>
          <w:sz w:val="24"/>
          <w:szCs w:val="24"/>
        </w:rPr>
        <w:t>Interpret Data Visualizations – Using the Madrid in detail – ‘From Madrid to Heaven’ dashboard.</w:t>
      </w:r>
    </w:p>
    <w:p w14:paraId="3AB3391B" w14:textId="08A28EF6" w:rsidR="005D718D" w:rsidRDefault="005D718D">
      <w:pPr>
        <w:rPr>
          <w:b/>
          <w:bCs/>
          <w:sz w:val="24"/>
          <w:szCs w:val="24"/>
        </w:rPr>
      </w:pPr>
    </w:p>
    <w:p w14:paraId="169E0045" w14:textId="3CFF6F5C" w:rsidR="005D718D" w:rsidRPr="001A2F60" w:rsidRDefault="005D718D" w:rsidP="005D718D">
      <w:pPr>
        <w:rPr>
          <w:b/>
          <w:bCs/>
        </w:rPr>
      </w:pPr>
      <w:r>
        <w:rPr>
          <w:b/>
          <w:bCs/>
        </w:rPr>
        <w:t xml:space="preserve">Insight </w:t>
      </w:r>
      <w:r>
        <w:rPr>
          <w:b/>
          <w:bCs/>
        </w:rPr>
        <w:t>1</w:t>
      </w:r>
      <w:r>
        <w:rPr>
          <w:b/>
          <w:bCs/>
        </w:rPr>
        <w:t xml:space="preserve"> – </w:t>
      </w:r>
      <w:r>
        <w:rPr>
          <w:b/>
          <w:bCs/>
        </w:rPr>
        <w:t xml:space="preserve">Districts with most Population Density and </w:t>
      </w:r>
      <w:r w:rsidR="00E97B44">
        <w:rPr>
          <w:b/>
          <w:bCs/>
        </w:rPr>
        <w:t>most population by hectare</w:t>
      </w:r>
    </w:p>
    <w:p w14:paraId="5F533826" w14:textId="77777777" w:rsidR="005D718D" w:rsidRPr="0091369A" w:rsidRDefault="005D718D">
      <w:pPr>
        <w:rPr>
          <w:b/>
          <w:bCs/>
          <w:sz w:val="24"/>
          <w:szCs w:val="24"/>
        </w:rPr>
      </w:pPr>
    </w:p>
    <w:p w14:paraId="231F0CF9" w14:textId="6BAF711F" w:rsidR="009B2C1C" w:rsidRDefault="00CF665E">
      <w:pPr>
        <w:rPr>
          <w:lang w:val="pt-PT"/>
        </w:rPr>
      </w:pPr>
      <w:r>
        <w:rPr>
          <w:noProof/>
        </w:rPr>
        <w:drawing>
          <wp:inline distT="0" distB="0" distL="0" distR="0" wp14:anchorId="44939A43" wp14:editId="5F2CE668">
            <wp:extent cx="5400040" cy="204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042160"/>
                    </a:xfrm>
                    <a:prstGeom prst="rect">
                      <a:avLst/>
                    </a:prstGeom>
                  </pic:spPr>
                </pic:pic>
              </a:graphicData>
            </a:graphic>
          </wp:inline>
        </w:drawing>
      </w:r>
    </w:p>
    <w:p w14:paraId="1AA267FE" w14:textId="13776B96" w:rsidR="009B2C1C" w:rsidRDefault="009B2C1C">
      <w:r w:rsidRPr="009B2C1C">
        <w:t>In this part, I moused o</w:t>
      </w:r>
      <w:r>
        <w:t>ver the City Map and changed, using the dropdown menu, to “District”. Using this heatmap, I could easily find that the three districts with the most Population Density  by hectare were “Chamberí”, “Tetuán” and “Salamanca”, respectively.</w:t>
      </w:r>
    </w:p>
    <w:p w14:paraId="6767143C" w14:textId="3C98496B" w:rsidR="009B2C1C" w:rsidRDefault="00CF665E">
      <w:r>
        <w:rPr>
          <w:noProof/>
        </w:rPr>
        <w:drawing>
          <wp:inline distT="0" distB="0" distL="0" distR="0" wp14:anchorId="39456769" wp14:editId="15F4D6D0">
            <wp:extent cx="5400040" cy="12909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290955"/>
                    </a:xfrm>
                    <a:prstGeom prst="rect">
                      <a:avLst/>
                    </a:prstGeom>
                  </pic:spPr>
                </pic:pic>
              </a:graphicData>
            </a:graphic>
          </wp:inline>
        </w:drawing>
      </w:r>
    </w:p>
    <w:p w14:paraId="3515F15F" w14:textId="25190867" w:rsidR="00CF665E" w:rsidRDefault="009B2C1C">
      <w:r>
        <w:t>Then, I’ve moused over the graph above,</w:t>
      </w:r>
      <w:r w:rsidR="00CF665E">
        <w:t xml:space="preserve"> and saw that the same three districts had the hectares of 138.201, 153.450 and 144.049, respectively. </w:t>
      </w:r>
    </w:p>
    <w:p w14:paraId="05196FFE" w14:textId="77777777" w:rsidR="00CF665E" w:rsidRDefault="00CF665E">
      <w:r>
        <w:t xml:space="preserve">Despite that, these three </w:t>
      </w:r>
      <w:r w:rsidR="009B2C1C">
        <w:t>were not the most populated</w:t>
      </w:r>
      <w:r>
        <w:t>,</w:t>
      </w:r>
      <w:r w:rsidR="009B2C1C">
        <w:t xml:space="preserve"> those were “Carabanchel”, “Fuencarral-El Pardo” and “Latina”,</w:t>
      </w:r>
      <w:r>
        <w:t xml:space="preserve"> which can be seen in the graph above, and is</w:t>
      </w:r>
      <w:r w:rsidR="009B2C1C">
        <w:t xml:space="preserve"> in agreement with the statement on the cha</w:t>
      </w:r>
      <w:r w:rsidR="00F4131C">
        <w:t xml:space="preserve">rt. </w:t>
      </w:r>
    </w:p>
    <w:p w14:paraId="1C6C6CF6" w14:textId="0A09E8C0" w:rsidR="00CF665E" w:rsidRDefault="00CF665E">
      <w:r>
        <w:rPr>
          <w:noProof/>
        </w:rPr>
        <w:drawing>
          <wp:inline distT="0" distB="0" distL="0" distR="0" wp14:anchorId="3932C499" wp14:editId="1D0E0066">
            <wp:extent cx="5400040" cy="12738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273810"/>
                    </a:xfrm>
                    <a:prstGeom prst="rect">
                      <a:avLst/>
                    </a:prstGeom>
                  </pic:spPr>
                </pic:pic>
              </a:graphicData>
            </a:graphic>
          </wp:inline>
        </w:drawing>
      </w:r>
    </w:p>
    <w:p w14:paraId="51CDF706" w14:textId="3BEA091D" w:rsidR="009B2C1C" w:rsidRDefault="00F4131C">
      <w:r>
        <w:t>By clicking one of those districts, we can see that the heatmap isolates the specific district, which helps us to isolate it in the map and the other charts as well.</w:t>
      </w:r>
    </w:p>
    <w:p w14:paraId="6A550263" w14:textId="49FCB52E" w:rsidR="00782F54" w:rsidRPr="00782F54" w:rsidRDefault="00782F54">
      <w:pPr>
        <w:rPr>
          <w:b/>
          <w:bCs/>
        </w:rPr>
      </w:pPr>
      <w:r>
        <w:rPr>
          <w:b/>
          <w:bCs/>
        </w:rPr>
        <w:lastRenderedPageBreak/>
        <w:t>Insight 2 – Correlation between second hand housing prices per m2 and party orientation</w:t>
      </w:r>
    </w:p>
    <w:p w14:paraId="7F10EFB5" w14:textId="47C8E671" w:rsidR="00F4131C" w:rsidRDefault="00F4131C"/>
    <w:p w14:paraId="7273E2F4" w14:textId="77777777" w:rsidR="00F4131C" w:rsidRDefault="00F4131C">
      <w:pPr>
        <w:rPr>
          <w:noProof/>
        </w:rPr>
      </w:pPr>
    </w:p>
    <w:p w14:paraId="013D6847" w14:textId="7021EB14" w:rsidR="00F4131C" w:rsidRDefault="00F4131C">
      <w:r>
        <w:rPr>
          <w:noProof/>
        </w:rPr>
        <w:drawing>
          <wp:inline distT="0" distB="0" distL="0" distR="0" wp14:anchorId="0764868F" wp14:editId="1A940B7A">
            <wp:extent cx="5400040" cy="1912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912620"/>
                    </a:xfrm>
                    <a:prstGeom prst="rect">
                      <a:avLst/>
                    </a:prstGeom>
                  </pic:spPr>
                </pic:pic>
              </a:graphicData>
            </a:graphic>
          </wp:inline>
        </w:drawing>
      </w:r>
    </w:p>
    <w:p w14:paraId="3DA73B61" w14:textId="43C38D44" w:rsidR="0091369A" w:rsidRDefault="00F4131C">
      <w:r>
        <w:t>In this graph, we can clearly and easily find that right wing party votes in 2015 elections to City Hall</w:t>
      </w:r>
      <w:r w:rsidR="0091369A">
        <w:t xml:space="preserve"> were highly correlated with bigger avg. second hand housing prices per m2, while the opposite is true for left wing parties, it Is inversely correlated, as the lower housing prices, the higher votes.</w:t>
      </w:r>
    </w:p>
    <w:p w14:paraId="400F4DA8" w14:textId="77777777" w:rsidR="001A2F60" w:rsidRDefault="001A2F60"/>
    <w:p w14:paraId="65F3335B" w14:textId="427ED935" w:rsidR="001A2F60" w:rsidRPr="001A2F60" w:rsidRDefault="001A2F60">
      <w:pPr>
        <w:rPr>
          <w:b/>
          <w:bCs/>
        </w:rPr>
      </w:pPr>
      <w:r>
        <w:rPr>
          <w:b/>
          <w:bCs/>
        </w:rPr>
        <w:t xml:space="preserve">Insight </w:t>
      </w:r>
      <w:r>
        <w:rPr>
          <w:b/>
          <w:bCs/>
        </w:rPr>
        <w:t>3</w:t>
      </w:r>
      <w:r>
        <w:rPr>
          <w:b/>
          <w:bCs/>
        </w:rPr>
        <w:t xml:space="preserve"> – Correlation between second hand housing prices per m2 and party orientation</w:t>
      </w:r>
    </w:p>
    <w:p w14:paraId="08127D41" w14:textId="530B0281" w:rsidR="001A2F60" w:rsidRDefault="001A2F60"/>
    <w:p w14:paraId="1FC010AC" w14:textId="7BA3CB2F" w:rsidR="0091369A" w:rsidRDefault="0091369A">
      <w:r>
        <w:rPr>
          <w:noProof/>
        </w:rPr>
        <w:drawing>
          <wp:inline distT="0" distB="0" distL="0" distR="0" wp14:anchorId="7B8DC4CA" wp14:editId="61CC74A5">
            <wp:extent cx="5400040" cy="1812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812925"/>
                    </a:xfrm>
                    <a:prstGeom prst="rect">
                      <a:avLst/>
                    </a:prstGeom>
                  </pic:spPr>
                </pic:pic>
              </a:graphicData>
            </a:graphic>
          </wp:inline>
        </w:drawing>
      </w:r>
    </w:p>
    <w:p w14:paraId="7E105A76" w14:textId="04A45118" w:rsidR="001A2F60" w:rsidRDefault="001A2F60">
      <w:r>
        <w:rPr>
          <w:noProof/>
        </w:rPr>
        <w:drawing>
          <wp:inline distT="0" distB="0" distL="0" distR="0" wp14:anchorId="177A0CA8" wp14:editId="551E40AF">
            <wp:extent cx="5400040" cy="1831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31340"/>
                    </a:xfrm>
                    <a:prstGeom prst="rect">
                      <a:avLst/>
                    </a:prstGeom>
                  </pic:spPr>
                </pic:pic>
              </a:graphicData>
            </a:graphic>
          </wp:inline>
        </w:drawing>
      </w:r>
    </w:p>
    <w:p w14:paraId="2EC7BF31" w14:textId="2F89F31C" w:rsidR="001A2F60" w:rsidRDefault="001A2F60">
      <w:r>
        <w:rPr>
          <w:noProof/>
        </w:rPr>
        <w:lastRenderedPageBreak/>
        <w:drawing>
          <wp:inline distT="0" distB="0" distL="0" distR="0" wp14:anchorId="5A404A18" wp14:editId="455FEC0E">
            <wp:extent cx="5400040" cy="18021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802130"/>
                    </a:xfrm>
                    <a:prstGeom prst="rect">
                      <a:avLst/>
                    </a:prstGeom>
                  </pic:spPr>
                </pic:pic>
              </a:graphicData>
            </a:graphic>
          </wp:inline>
        </w:drawing>
      </w:r>
    </w:p>
    <w:p w14:paraId="55B6C3D5" w14:textId="0BEF9C92" w:rsidR="0091369A" w:rsidRDefault="0091369A">
      <w:r>
        <w:t>Contrary to what I would intuitively believe, the higher the house prices, it seems that the higher the car counts per 100 habitants are.</w:t>
      </w:r>
    </w:p>
    <w:p w14:paraId="02564B75" w14:textId="22BA5906" w:rsidR="001A2F60" w:rsidRDefault="001A2F60">
      <w:r>
        <w:t>This can be easily observed in the graphs above.</w:t>
      </w:r>
    </w:p>
    <w:p w14:paraId="4B59A135" w14:textId="77777777" w:rsidR="001A2F60" w:rsidRPr="009B2C1C" w:rsidRDefault="001A2F60"/>
    <w:sectPr w:rsidR="001A2F60" w:rsidRPr="009B2C1C" w:rsidSect="00BC0BCD">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1C"/>
    <w:rsid w:val="000065AA"/>
    <w:rsid w:val="001A2F60"/>
    <w:rsid w:val="001D72ED"/>
    <w:rsid w:val="004C32C4"/>
    <w:rsid w:val="005D718D"/>
    <w:rsid w:val="00782F54"/>
    <w:rsid w:val="0091369A"/>
    <w:rsid w:val="009B2C1C"/>
    <w:rsid w:val="00A40842"/>
    <w:rsid w:val="00BC0BCD"/>
    <w:rsid w:val="00CF665E"/>
    <w:rsid w:val="00E97B44"/>
    <w:rsid w:val="00F4131C"/>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6E26"/>
  <w15:chartTrackingRefBased/>
  <w15:docId w15:val="{9443AC29-68D9-4B5A-B75F-1BCC8119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Pacheco</dc:creator>
  <cp:keywords/>
  <dc:description/>
  <cp:lastModifiedBy>Gustavo Pacheco</cp:lastModifiedBy>
  <cp:revision>5</cp:revision>
  <cp:lastPrinted>2020-04-25T20:10:00Z</cp:lastPrinted>
  <dcterms:created xsi:type="dcterms:W3CDTF">2020-04-25T19:40:00Z</dcterms:created>
  <dcterms:modified xsi:type="dcterms:W3CDTF">2020-04-26T02:31:00Z</dcterms:modified>
</cp:coreProperties>
</file>