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4E79"/>
          <w:sz w:val="56"/>
          <w:szCs w:val="56"/>
        </w:rPr>
        <w:t xml:space="preserve">Swiss Financial License</w:t>
      </w:r>
    </w:p>
    <w:p>
      <w:pPr>
        <w:spacing w:after="400"/>
        <w:jc w:val="center"/>
      </w:pPr>
      <w:r>
        <w:rPr>
          <w:rFonts w:ascii="Arial" w:cs="Arial" w:eastAsia="Arial" w:hAnsi="Arial"/>
          <w:b/>
          <w:bCs/>
          <w:color w:val="1F4E79"/>
          <w:sz w:val="48"/>
          <w:szCs w:val="48"/>
        </w:rPr>
        <w:t xml:space="preserve">Documentation Requirements</w:t>
      </w:r>
    </w:p>
    <w:p>
      <w:pPr>
        <w:spacing w:after="600"/>
        <w:jc w:val="center"/>
      </w:pPr>
      <w:r>
        <w:rPr>
          <w:rFonts w:ascii="Arial" w:cs="Arial" w:eastAsia="Arial" w:hAnsi="Arial"/>
          <w:color w:val="666666"/>
          <w:sz w:val="32"/>
          <w:szCs w:val="32"/>
        </w:rPr>
        <w:t xml:space="preserve">Comprehensive Overview</w:t>
      </w:r>
    </w:p>
    <w:p>
      <w:pPr>
        <w:spacing w:after="200"/>
        <w:jc w:val="center"/>
      </w:pPr>
      <w:r>
        <w:rPr>
          <w:rFonts w:ascii="Arial" w:cs="Arial" w:eastAsia="Arial" w:hAnsi="Arial"/>
          <w:color w:val="666666"/>
          <w:sz w:val="22"/>
          <w:szCs w:val="22"/>
        </w:rPr>
        <w:t xml:space="preserve">E-Money/FinTech License | VASP | SRO Membership | Payment Systems | Securities Firm</w:t>
      </w:r>
    </w:p>
    <w:p>
      <w:pPr>
        <w:spacing w:before="1000"/>
        <w:jc w:val="center"/>
      </w:pPr>
      <w:r>
        <w:rPr>
          <w:rFonts w:ascii="Arial" w:cs="Arial" w:eastAsia="Arial" w:hAnsi="Arial"/>
          <w:color w:val="888888"/>
          <w:sz w:val="24"/>
          <w:szCs w:val="24"/>
        </w:rPr>
        <w:t xml:space="preserve">February 2026</w:t>
      </w:r>
    </w:p>
    <w:p>
      <w:r>
        <w:br w:type="page"/>
      </w:r>
    </w:p>
    <w:p>
      <w:pPr>
        <w:pStyle w:val="Heading1"/>
        <w:spacing w:before="400" w:after="200"/>
      </w:pPr>
      <w:r>
        <w:rPr>
          <w:rFonts w:ascii="Arial" w:cs="Arial" w:eastAsia="Arial" w:hAnsi="Arial"/>
          <w:b/>
          <w:bCs/>
          <w:color w:val="1F4E79"/>
          <w:sz w:val="32"/>
          <w:szCs w:val="32"/>
        </w:rPr>
        <w:t xml:space="preserve">Executive Summary</w:t>
      </w:r>
    </w:p>
    <w:p>
      <w:pPr>
        <w:spacing w:after="120"/>
      </w:pPr>
      <w:r>
        <w:rPr>
          <w:rFonts w:ascii="Arial" w:cs="Arial" w:eastAsia="Arial" w:hAnsi="Arial"/>
          <w:sz w:val="20"/>
          <w:szCs w:val="20"/>
        </w:rPr>
        <w:t xml:space="preserve">This document provides an exhaustive overview of the documentation required to apply for key Swiss financial licenses regulated by FINMA (Swiss Financial Market Supervisory Authority) and Self-Regulatory Organizations (SROs). The five license types covered are:</w:t>
      </w:r>
    </w:p>
    <w:p>
      <w:pPr>
        <w:spacing w:after="120"/>
      </w:pPr>
      <w:r>
        <w:rPr>
          <w:rFonts w:ascii="Arial" w:cs="Arial" w:eastAsia="Arial" w:hAnsi="Arial"/>
          <w:sz w:val="20"/>
          <w:szCs w:val="20"/>
        </w:rPr>
        <w:t xml:space="preserve">1. E-Money/FinTech License (Art. 1b Banking Act) - For accepting public deposits up to CHF 100 million</w:t>
      </w:r>
    </w:p>
    <w:p>
      <w:pPr>
        <w:spacing w:after="120"/>
      </w:pPr>
      <w:r>
        <w:rPr>
          <w:rFonts w:ascii="Arial" w:cs="Arial" w:eastAsia="Arial" w:hAnsi="Arial"/>
          <w:sz w:val="20"/>
          <w:szCs w:val="20"/>
        </w:rPr>
        <w:t xml:space="preserve">2. VASP (Virtual Asset Service Provider) - For crypto/blockchain businesses</w:t>
      </w:r>
    </w:p>
    <w:p>
      <w:pPr>
        <w:spacing w:after="120"/>
      </w:pPr>
      <w:r>
        <w:rPr>
          <w:rFonts w:ascii="Arial" w:cs="Arial" w:eastAsia="Arial" w:hAnsi="Arial"/>
          <w:sz w:val="20"/>
          <w:szCs w:val="20"/>
        </w:rPr>
        <w:t xml:space="preserve">3. SRO Membership - For financial intermediaries subject to AML requirements</w:t>
      </w:r>
    </w:p>
    <w:p>
      <w:pPr>
        <w:spacing w:after="120"/>
      </w:pPr>
      <w:r>
        <w:rPr>
          <w:rFonts w:ascii="Arial" w:cs="Arial" w:eastAsia="Arial" w:hAnsi="Arial"/>
          <w:sz w:val="20"/>
          <w:szCs w:val="20"/>
        </w:rPr>
        <w:t xml:space="preserve">4. Payment Systems Operator (FinfraG) - For financial market infrastructure</w:t>
      </w:r>
    </w:p>
    <w:p>
      <w:pPr>
        <w:spacing w:after="120"/>
      </w:pPr>
      <w:r>
        <w:rPr>
          <w:rFonts w:ascii="Arial" w:cs="Arial" w:eastAsia="Arial" w:hAnsi="Arial"/>
          <w:sz w:val="20"/>
          <w:szCs w:val="20"/>
        </w:rPr>
        <w:t xml:space="preserve">5. Securities Firm License (FinIA) - For securities dealing and trading activities</w:t>
      </w:r>
    </w:p>
    <w:p>
      <w:r>
        <w:br w:type="page"/>
      </w:r>
    </w:p>
    <w:p>
      <w:pPr>
        <w:pStyle w:val="Heading1"/>
        <w:spacing w:before="400" w:after="200"/>
      </w:pPr>
      <w:r>
        <w:rPr>
          <w:rFonts w:ascii="Arial" w:cs="Arial" w:eastAsia="Arial" w:hAnsi="Arial"/>
          <w:b/>
          <w:bCs/>
          <w:color w:val="1F4E79"/>
          <w:sz w:val="32"/>
          <w:szCs w:val="32"/>
        </w:rPr>
        <w:t xml:space="preserve">1. E-Money / FinTech License (Art. 1b Banking Act)</w:t>
      </w:r>
    </w:p>
    <w:p>
      <w:pPr>
        <w:spacing w:after="120"/>
      </w:pPr>
      <w:r>
        <w:rPr>
          <w:rFonts w:ascii="Arial" w:cs="Arial" w:eastAsia="Arial" w:hAnsi="Arial"/>
          <w:sz w:val="20"/>
          <w:szCs w:val="20"/>
        </w:rPr>
        <w:t xml:space="preserve">Switzerland does not have a standalone e-money license. E-money activities are treated as deposit-taking and require either a full Banking License or the lighter FinTech License under Article 1b of the Banking Act. The FinTech license allows acceptance of public deposits up to CHF 100 million without engaging in lending or interest margin business.</w:t>
      </w:r>
    </w:p>
    <w:p>
      <w:pPr>
        <w:pStyle w:val="Heading2"/>
        <w:spacing w:before="300" w:after="150"/>
      </w:pPr>
      <w:r>
        <w:rPr>
          <w:rFonts w:ascii="Arial" w:cs="Arial" w:eastAsia="Arial" w:hAnsi="Arial"/>
          <w:b/>
          <w:bCs/>
          <w:color w:val="2E75B6"/>
          <w:sz w:val="26"/>
          <w:szCs w:val="26"/>
        </w:rPr>
        <w:t xml:space="preserve">1.1 Key Requirements</w:t>
      </w:r>
    </w:p>
    <w:p>
      <w:pPr>
        <w:spacing w:after="80"/>
      </w:pPr>
      <w:r>
        <w:rPr>
          <w:rFonts w:ascii="Arial" w:cs="Arial" w:eastAsia="Arial" w:hAnsi="Arial"/>
          <w:b/>
          <w:bCs/>
          <w:sz w:val="20"/>
          <w:szCs w:val="20"/>
        </w:rPr>
        <w:t xml:space="preserve">Legal Form: </w:t>
      </w:r>
      <w:r>
        <w:rPr>
          <w:rFonts w:ascii="Arial" w:cs="Arial" w:eastAsia="Arial" w:hAnsi="Arial"/>
          <w:sz w:val="20"/>
          <w:szCs w:val="20"/>
        </w:rPr>
        <w:t xml:space="preserve">AG (stock corporation), Kommandit-AG, or GmbH</w:t>
      </w:r>
    </w:p>
    <w:p>
      <w:pPr>
        <w:spacing w:after="80"/>
      </w:pPr>
      <w:r>
        <w:rPr>
          <w:rFonts w:ascii="Arial" w:cs="Arial" w:eastAsia="Arial" w:hAnsi="Arial"/>
          <w:b/>
          <w:bCs/>
          <w:sz w:val="20"/>
          <w:szCs w:val="20"/>
        </w:rPr>
        <w:t xml:space="preserve">Minimum Capital: </w:t>
      </w:r>
      <w:r>
        <w:rPr>
          <w:rFonts w:ascii="Arial" w:cs="Arial" w:eastAsia="Arial" w:hAnsi="Arial"/>
          <w:sz w:val="20"/>
          <w:szCs w:val="20"/>
        </w:rPr>
        <w:t xml:space="preserve">CHF 300,000 or 3% of deposits (whichever is higher) - practically CHF 1,000,000+ recommended</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Registered office and business activities must be in Switzerland</w:t>
      </w:r>
    </w:p>
    <w:p>
      <w:pPr>
        <w:spacing w:after="80"/>
      </w:pPr>
      <w:r>
        <w:rPr>
          <w:rFonts w:ascii="Arial" w:cs="Arial" w:eastAsia="Arial" w:hAnsi="Arial"/>
          <w:b/>
          <w:bCs/>
          <w:sz w:val="20"/>
          <w:szCs w:val="20"/>
        </w:rPr>
        <w:t xml:space="preserve">Timeline: </w:t>
      </w:r>
      <w:r>
        <w:rPr>
          <w:rFonts w:ascii="Arial" w:cs="Arial" w:eastAsia="Arial" w:hAnsi="Arial"/>
          <w:sz w:val="20"/>
          <w:szCs w:val="20"/>
        </w:rPr>
        <w:t xml:space="preserve">9-16 months (Phase 0-3 process)</w:t>
      </w:r>
    </w:p>
    <w:p>
      <w:pPr>
        <w:spacing w:after="80"/>
      </w:pPr>
      <w:r>
        <w:rPr>
          <w:rFonts w:ascii="Arial" w:cs="Arial" w:eastAsia="Arial" w:hAnsi="Arial"/>
          <w:b/>
          <w:bCs/>
          <w:sz w:val="20"/>
          <w:szCs w:val="20"/>
        </w:rPr>
        <w:t xml:space="preserve">Regulator: </w:t>
      </w:r>
      <w:r>
        <w:rPr>
          <w:rFonts w:ascii="Arial" w:cs="Arial" w:eastAsia="Arial" w:hAnsi="Arial"/>
          <w:sz w:val="20"/>
          <w:szCs w:val="20"/>
        </w:rPr>
        <w:t xml:space="preserve">FINMA (direct supervision)</w:t>
      </w:r>
    </w:p>
    <w:p>
      <w:pPr>
        <w:pStyle w:val="Heading2"/>
        <w:spacing w:before="300" w:after="150"/>
      </w:pPr>
      <w:r>
        <w:rPr>
          <w:rFonts w:ascii="Arial" w:cs="Arial" w:eastAsia="Arial" w:hAnsi="Arial"/>
          <w:b/>
          <w:bCs/>
          <w:color w:val="2E75B6"/>
          <w:sz w:val="26"/>
          <w:szCs w:val="26"/>
        </w:rPr>
        <w:t xml:space="preserve">1.2 Complete Documentation Checklist</w:t>
      </w:r>
    </w:p>
    <w:p>
      <w:pPr>
        <w:pStyle w:val="Heading3"/>
        <w:spacing w:before="200" w:after="100"/>
      </w:pPr>
      <w:r>
        <w:rPr>
          <w:rFonts w:ascii="Arial" w:cs="Arial" w:eastAsia="Arial" w:hAnsi="Arial"/>
          <w:b/>
          <w:bCs/>
          <w:color w:val="404040"/>
          <w:sz w:val="22"/>
          <w:szCs w:val="22"/>
        </w:rPr>
        <w:t xml:space="preserve">A. General Information (Items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Reasons for Application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Explanation of why applying for Art. 1b BA license and intended purpose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Description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Proposed activity, organization, geographical scope, target clientele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Register Extract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Certified extract from Swiss commercial register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 Details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Information about business premises, infrastructure, and personnel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Structure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 of group companies, participations, branches, representative offices</w:t>
            </w:r>
          </w:p>
        </w:tc>
      </w:tr>
    </w:tbl>
    <w:p>
      <w:pPr>
        <w:pStyle w:val="Heading3"/>
        <w:spacing w:before="200" w:after="100"/>
      </w:pPr>
      <w:r>
        <w:rPr>
          <w:rFonts w:ascii="Arial" w:cs="Arial" w:eastAsia="Arial" w:hAnsi="Arial"/>
          <w:b/>
          <w:bCs/>
          <w:color w:val="404040"/>
          <w:sz w:val="22"/>
          <w:szCs w:val="22"/>
        </w:rPr>
        <w:t xml:space="preserve">B. Ownership &amp; Participations (Items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Capital Structure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 allocation, nominal value, subscription details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Shareholder Register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of shareholders with voting and capital rights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Qualified Participation Forms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on all persons with 10%+ participation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Beneficial Ownership Declaration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Statement on beneficial ownership of participations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Shareholder CVs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Curriculum vitae of each shareholder with qualified participation</w:t>
            </w:r>
          </w:p>
        </w:tc>
      </w:tr>
    </w:tbl>
    <w:p>
      <w:pPr>
        <w:pStyle w:val="Heading3"/>
        <w:spacing w:before="200" w:after="100"/>
      </w:pPr>
      <w:r>
        <w:rPr>
          <w:rFonts w:ascii="Arial" w:cs="Arial" w:eastAsia="Arial" w:hAnsi="Arial"/>
          <w:b/>
          <w:bCs/>
          <w:color w:val="404040"/>
          <w:sz w:val="22"/>
          <w:szCs w:val="22"/>
        </w:rPr>
        <w:t xml:space="preserve">C. Governance &amp; Personnel (Items 11-27)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Composition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 of board of directors including chairman, vice-chairman, committees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Board Structure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 organization, and powers of executive management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Information Forms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FINMA personal questionnaires for all key persons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Documents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Copies of valid identification for all directors and executives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Residence Permits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foreign nationals - copies of Swiss residence permits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Signed CVs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curriculum vitae signed by each key person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Criminal Record Certificates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extracts (not older than 3 months)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Debt Enforcement Extracts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extracts from debt enforcement register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Qualifications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Certificates of education, training, professional experience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Letters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Professional references for key personnel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Employment Contracts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Swiss-resident management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Descriptions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role descriptions for all key positions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 &amp; Proper Declarations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Declarations of proper business conduct (Gewährsformular)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Conflicts of Interest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policy on identification and management of conflicts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Signing Authority Matrix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of signatory rights and authorization levels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Succession Planning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Plans for key person dependencies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Records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of AML/compliance training for staff</w:t>
            </w:r>
          </w:p>
        </w:tc>
      </w:tr>
    </w:tbl>
    <w:p>
      <w:r>
        <w:br w:type="page"/>
      </w:r>
    </w:p>
    <w:p>
      <w:pPr>
        <w:pStyle w:val="Heading3"/>
        <w:spacing w:before="200" w:after="100"/>
      </w:pPr>
      <w:r>
        <w:rPr>
          <w:rFonts w:ascii="Arial" w:cs="Arial" w:eastAsia="Arial" w:hAnsi="Arial"/>
          <w:b/>
          <w:bCs/>
          <w:color w:val="404040"/>
          <w:sz w:val="22"/>
          <w:szCs w:val="22"/>
        </w:rPr>
        <w:t xml:space="preserve">D. Organizational Structure (Items 28-33)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Organizational Chart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showing executive personnel and FTEs per organizational unit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&amp; Compliance Framework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Policies relating to risk organization, compliance, internal control system, AMLA policies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Outsourcing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 of all outsourced activities including contracts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Deposit Segregation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 of how public deposits are held (separation from company funds)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Information Documents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for customers pursuant to Art. 7a Banking Ordinance (bankruptcy/deposit protection disclaimers)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Conflicts of Interest Measures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 of conflicts of interest and measures per Art. 14g BO</w:t>
            </w:r>
          </w:p>
        </w:tc>
      </w:tr>
    </w:tbl>
    <w:p>
      <w:pPr>
        <w:pStyle w:val="Heading3"/>
        <w:spacing w:before="200" w:after="100"/>
      </w:pPr>
      <w:r>
        <w:rPr>
          <w:rFonts w:ascii="Arial" w:cs="Arial" w:eastAsia="Arial" w:hAnsi="Arial"/>
          <w:b/>
          <w:bCs/>
          <w:color w:val="404040"/>
          <w:sz w:val="22"/>
          <w:szCs w:val="22"/>
        </w:rPr>
        <w:t xml:space="preserve">E. Financial Requirements (Items 34-35)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Adequacy Evidence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compliance with minimum capital requirements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Plan &amp; Projections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Anticipated capital trends, 3-year financial projections (worst/best/realistic scenarios), sources of financing, market analysis</w:t>
            </w:r>
          </w:p>
        </w:tc>
      </w:tr>
    </w:tbl>
    <w:p>
      <w:pPr>
        <w:pStyle w:val="Heading3"/>
        <w:spacing w:before="200" w:after="100"/>
      </w:pPr>
      <w:r>
        <w:rPr>
          <w:rFonts w:ascii="Arial" w:cs="Arial" w:eastAsia="Arial" w:hAnsi="Arial"/>
          <w:b/>
          <w:bCs/>
          <w:color w:val="404040"/>
          <w:sz w:val="22"/>
          <w:szCs w:val="22"/>
        </w:rPr>
        <w:t xml:space="preserve">F. Audit Requirements (Items 36-37)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Mandate Acceptance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notice of acceptance from regulatory audit firm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 Questionnaire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Completed questionnaire regarding services of approved audit firms</w:t>
            </w:r>
          </w:p>
        </w:tc>
      </w:tr>
    </w:tbl>
    <w:p>
      <w:pPr>
        <w:pStyle w:val="Heading3"/>
        <w:spacing w:before="200" w:after="100"/>
      </w:pPr>
      <w:r>
        <w:rPr>
          <w:rFonts w:ascii="Arial" w:cs="Arial" w:eastAsia="Arial" w:hAnsi="Arial"/>
          <w:b/>
          <w:bCs/>
          <w:color w:val="404040"/>
          <w:sz w:val="22"/>
          <w:szCs w:val="22"/>
        </w:rPr>
        <w:t xml:space="preserve">G. IT &amp; Operations (Items 38-45)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Security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security framework and cybersecurity measures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Continuity Plan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BCM/BCP documentation including disaster recovery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Banking System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of IT infrastructure, core systems, data architecture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Protection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GDPR/Swiss DPA compliance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KYC/AML System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specifications of compliance systems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Monitoring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 of transaction surveillance capabilities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operating procedures for key processes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Vendor Due Diligence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Assessment documentation for critical service providers</w:t>
            </w:r>
          </w:p>
        </w:tc>
      </w:tr>
    </w:tbl>
    <w:p>
      <w:pPr>
        <w:pStyle w:val="Heading3"/>
        <w:spacing w:before="200" w:after="100"/>
      </w:pPr>
      <w:r>
        <w:rPr>
          <w:rFonts w:ascii="Arial" w:cs="Arial" w:eastAsia="Arial" w:hAnsi="Arial"/>
          <w:b/>
          <w:bCs/>
          <w:color w:val="404040"/>
          <w:sz w:val="22"/>
          <w:szCs w:val="22"/>
        </w:rPr>
        <w:t xml:space="preserve">H. Group Requirements (Items 46-48) -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Organizational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Organizational description with all significant participations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Supervision Confirmation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Evidence of adequate consolidated supervision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Intra-Group Agreements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level agreements, cost allocation, etc.</w:t>
            </w:r>
          </w:p>
        </w:tc>
      </w:tr>
    </w:tbl>
    <w:p>
      <w:r>
        <w:br w:type="page"/>
      </w:r>
    </w:p>
    <w:p>
      <w:pPr>
        <w:pStyle w:val="Heading1"/>
        <w:spacing w:before="400" w:after="200"/>
      </w:pPr>
      <w:r>
        <w:rPr>
          <w:rFonts w:ascii="Arial" w:cs="Arial" w:eastAsia="Arial" w:hAnsi="Arial"/>
          <w:b/>
          <w:bCs/>
          <w:color w:val="1F4E79"/>
          <w:sz w:val="32"/>
          <w:szCs w:val="32"/>
        </w:rPr>
        <w:t xml:space="preserve">2. VASP (Virtual Asset Service Provider)</w:t>
      </w:r>
    </w:p>
    <w:p>
      <w:pPr>
        <w:spacing w:after="120"/>
      </w:pPr>
      <w:r>
        <w:rPr>
          <w:rFonts w:ascii="Arial" w:cs="Arial" w:eastAsia="Arial" w:hAnsi="Arial"/>
          <w:sz w:val="20"/>
          <w:szCs w:val="20"/>
        </w:rPr>
        <w:t xml:space="preserve">Switzerland does not formally use the term VASP. Crypto companies are regulated as financial intermediaries under the Anti-Money Laundering Act (AMLA). Most operate via SRO membership rather than direct FINMA licensing, unless activities trigger banking, securities, or other specific licenses.</w:t>
      </w:r>
    </w:p>
    <w:p>
      <w:pPr>
        <w:pStyle w:val="Heading2"/>
        <w:spacing w:before="300" w:after="150"/>
      </w:pPr>
      <w:r>
        <w:rPr>
          <w:rFonts w:ascii="Arial" w:cs="Arial" w:eastAsia="Arial" w:hAnsi="Arial"/>
          <w:b/>
          <w:bCs/>
          <w:color w:val="2E75B6"/>
          <w:sz w:val="26"/>
          <w:szCs w:val="26"/>
        </w:rPr>
        <w:t xml:space="preserve">2.1 Key Requirements</w:t>
      </w:r>
    </w:p>
    <w:p>
      <w:pPr>
        <w:spacing w:after="80"/>
      </w:pPr>
      <w:r>
        <w:rPr>
          <w:rFonts w:ascii="Arial" w:cs="Arial" w:eastAsia="Arial" w:hAnsi="Arial"/>
          <w:b/>
          <w:bCs/>
          <w:sz w:val="20"/>
          <w:szCs w:val="20"/>
        </w:rPr>
        <w:t xml:space="preserve">Legal Form: </w:t>
      </w:r>
      <w:r>
        <w:rPr>
          <w:rFonts w:ascii="Arial" w:cs="Arial" w:eastAsia="Arial" w:hAnsi="Arial"/>
          <w:sz w:val="20"/>
          <w:szCs w:val="20"/>
        </w:rPr>
        <w:t xml:space="preserve">AG (CHF 100,000 capital, CHF 50,000 paid-in) or GmbH (CHF 20,000 fully paid)</w:t>
      </w:r>
    </w:p>
    <w:p>
      <w:pPr>
        <w:spacing w:after="80"/>
      </w:pPr>
      <w:r>
        <w:rPr>
          <w:rFonts w:ascii="Arial" w:cs="Arial" w:eastAsia="Arial" w:hAnsi="Arial"/>
          <w:b/>
          <w:bCs/>
          <w:sz w:val="20"/>
          <w:szCs w:val="20"/>
        </w:rPr>
        <w:t xml:space="preserve">Local Presence: </w:t>
      </w:r>
      <w:r>
        <w:rPr>
          <w:rFonts w:ascii="Arial" w:cs="Arial" w:eastAsia="Arial" w:hAnsi="Arial"/>
          <w:sz w:val="20"/>
          <w:szCs w:val="20"/>
        </w:rPr>
        <w:t xml:space="preserve">Swiss office, at least one Swiss-resident director with signing authority</w:t>
      </w:r>
    </w:p>
    <w:p>
      <w:pPr>
        <w:spacing w:after="80"/>
      </w:pPr>
      <w:r>
        <w:rPr>
          <w:rFonts w:ascii="Arial" w:cs="Arial" w:eastAsia="Arial" w:hAnsi="Arial"/>
          <w:b/>
          <w:bCs/>
          <w:sz w:val="20"/>
          <w:szCs w:val="20"/>
        </w:rPr>
        <w:t xml:space="preserve">AML Officer: </w:t>
      </w:r>
      <w:r>
        <w:rPr>
          <w:rFonts w:ascii="Arial" w:cs="Arial" w:eastAsia="Arial" w:hAnsi="Arial"/>
          <w:sz w:val="20"/>
          <w:szCs w:val="20"/>
        </w:rPr>
        <w:t xml:space="preserve">Mandatory, must be Swiss-resident (can be outsourced)</w:t>
      </w:r>
    </w:p>
    <w:p>
      <w:pPr>
        <w:spacing w:after="80"/>
      </w:pPr>
      <w:r>
        <w:rPr>
          <w:rFonts w:ascii="Arial" w:cs="Arial" w:eastAsia="Arial" w:hAnsi="Arial"/>
          <w:b/>
          <w:bCs/>
          <w:sz w:val="20"/>
          <w:szCs w:val="20"/>
        </w:rPr>
        <w:t xml:space="preserve">Timeline: </w:t>
      </w:r>
      <w:r>
        <w:rPr>
          <w:rFonts w:ascii="Arial" w:cs="Arial" w:eastAsia="Arial" w:hAnsi="Arial"/>
          <w:sz w:val="20"/>
          <w:szCs w:val="20"/>
        </w:rPr>
        <w:t xml:space="preserve">2-6 months depending on SRO vs. FINMA route</w:t>
      </w:r>
    </w:p>
    <w:p>
      <w:pPr>
        <w:spacing w:after="80"/>
      </w:pPr>
      <w:r>
        <w:rPr>
          <w:rFonts w:ascii="Arial" w:cs="Arial" w:eastAsia="Arial" w:hAnsi="Arial"/>
          <w:b/>
          <w:bCs/>
          <w:sz w:val="20"/>
          <w:szCs w:val="20"/>
        </w:rPr>
        <w:t xml:space="preserve">Regulatory Path: </w:t>
      </w:r>
      <w:r>
        <w:rPr>
          <w:rFonts w:ascii="Arial" w:cs="Arial" w:eastAsia="Arial" w:hAnsi="Arial"/>
          <w:sz w:val="20"/>
          <w:szCs w:val="20"/>
        </w:rPr>
        <w:t xml:space="preserve">SRO Membership (most common) or direct FINMA authorization</w:t>
      </w:r>
    </w:p>
    <w:p>
      <w:pPr>
        <w:pStyle w:val="Heading2"/>
        <w:spacing w:before="300" w:after="150"/>
      </w:pPr>
      <w:r>
        <w:rPr>
          <w:rFonts w:ascii="Arial" w:cs="Arial" w:eastAsia="Arial" w:hAnsi="Arial"/>
          <w:b/>
          <w:bCs/>
          <w:color w:val="2E75B6"/>
          <w:sz w:val="26"/>
          <w:szCs w:val="26"/>
        </w:rPr>
        <w:t xml:space="preserve">2.2 Complete Documentation Checklist</w:t>
      </w:r>
    </w:p>
    <w:p>
      <w:pPr>
        <w:pStyle w:val="Heading3"/>
        <w:spacing w:before="200" w:after="100"/>
      </w:pPr>
      <w:r>
        <w:rPr>
          <w:rFonts w:ascii="Arial" w:cs="Arial" w:eastAsia="Arial" w:hAnsi="Arial"/>
          <w:b/>
          <w:bCs/>
          <w:color w:val="404040"/>
          <w:sz w:val="22"/>
          <w:szCs w:val="22"/>
        </w:rPr>
        <w:t xml:space="preserve">A. Corporate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Swiss Company Incorporation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of incorporation (AG or GmbH)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Articles of Association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certified articles of association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Register Extract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extract from Swiss commercial register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Shareholder Register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register of all shareholders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Resolutions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Relevant board resolutions for business activities</w:t>
            </w:r>
          </w:p>
        </w:tc>
      </w:tr>
    </w:tbl>
    <w:p>
      <w:pPr>
        <w:pStyle w:val="Heading3"/>
        <w:spacing w:before="200" w:after="100"/>
      </w:pPr>
      <w:r>
        <w:rPr>
          <w:rFonts w:ascii="Arial" w:cs="Arial" w:eastAsia="Arial" w:hAnsi="Arial"/>
          <w:b/>
          <w:bCs/>
          <w:color w:val="404040"/>
          <w:sz w:val="22"/>
          <w:szCs w:val="22"/>
        </w:rPr>
        <w:t xml:space="preserve">B. Business Model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Plan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description including 3-year projections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Description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Comprehensive description of crypto services offered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Classification Analysis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analysis of token types handled (payment/utility/asset)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Flow of Funds Documentation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 of how funds/assets flow through the platform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Wallet/Custody Arrangements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Hot/cold wallet policies, custody procedures, key management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Types &amp; Volumes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clientele, expected volumes, geographic scope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Structure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fee and pricing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Partner Documentation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Information on banking partners, liquidity providers</w:t>
            </w:r>
          </w:p>
        </w:tc>
      </w:tr>
    </w:tbl>
    <w:p>
      <w:pPr>
        <w:pStyle w:val="Heading3"/>
        <w:spacing w:before="200" w:after="100"/>
      </w:pPr>
      <w:r>
        <w:rPr>
          <w:rFonts w:ascii="Arial" w:cs="Arial" w:eastAsia="Arial" w:hAnsi="Arial"/>
          <w:b/>
          <w:bCs/>
          <w:color w:val="404040"/>
          <w:sz w:val="22"/>
          <w:szCs w:val="22"/>
        </w:rPr>
        <w:t xml:space="preserve">C. Ownership &amp;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Ownership Structure Diagram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organizational chart to ultimate beneficial owners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Beneficial Owner ID Documents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Passport/ID copies for all UBOs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Trust/Nominee Agreements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applicable, all relevant agreements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of Funds Declaration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 proving legal origin of capital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 Officer Appointment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letter for Swiss-resident AML officer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Deputy AML Officer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Appointment letter (if required by complexity)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Personnel CVs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CVs and credentials for all key personnel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Criminal Record Certificates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all directors and key personnel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References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Letters of reference for key personnel</w:t>
            </w:r>
          </w:p>
        </w:tc>
      </w:tr>
    </w:tbl>
    <w:p>
      <w:pPr>
        <w:pStyle w:val="Heading3"/>
        <w:spacing w:before="200" w:after="100"/>
      </w:pPr>
      <w:r>
        <w:rPr>
          <w:rFonts w:ascii="Arial" w:cs="Arial" w:eastAsia="Arial" w:hAnsi="Arial"/>
          <w:b/>
          <w:bCs/>
          <w:color w:val="404040"/>
          <w:sz w:val="22"/>
          <w:szCs w:val="22"/>
        </w:rPr>
        <w:t xml:space="preserve">D.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AML/KYC Policy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policy tailored to crypto risks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Due Diligence Procedures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CDD/EDD procedures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Rule Compliance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Procedures for FATF Travel Rule compliance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Blockchain Analytics Integration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 of chain analysis tools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Sanctions Screening Process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and off-chain screening procedures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Suspicious Activity Reporting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SAR procedures and MROS reporting process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Assessment Framework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and client risk assessment methodology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Keeping Policy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retention and audit trail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Whitelisted Address Mechanics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applicable, address whitelist management</w:t>
            </w:r>
          </w:p>
        </w:tc>
      </w:tr>
    </w:tbl>
    <w:p>
      <w:pPr>
        <w:pStyle w:val="Heading3"/>
        <w:spacing w:before="200" w:after="100"/>
      </w:pPr>
      <w:r>
        <w:rPr>
          <w:rFonts w:ascii="Arial" w:cs="Arial" w:eastAsia="Arial" w:hAnsi="Arial"/>
          <w:b/>
          <w:bCs/>
          <w:color w:val="404040"/>
          <w:sz w:val="22"/>
          <w:szCs w:val="22"/>
        </w:rPr>
        <w:t xml:space="preserve">E. Technical &amp;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Security Policy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Cybersecurity framework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Hot/Cold Storage Split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Wallet management and key storage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Fund Segregation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Procedures for segregating client assets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 Response Plan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incident and breach response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Disaster Recovery Plan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continuity and recovery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Audit Mandate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Confirmation from approved AML auditor</w:t>
            </w:r>
          </w:p>
        </w:tc>
      </w:tr>
    </w:tbl>
    <w:p>
      <w:r>
        <w:br w:type="page"/>
      </w:r>
    </w:p>
    <w:p>
      <w:pPr>
        <w:pStyle w:val="Heading1"/>
        <w:spacing w:before="400" w:after="200"/>
      </w:pPr>
      <w:r>
        <w:rPr>
          <w:rFonts w:ascii="Arial" w:cs="Arial" w:eastAsia="Arial" w:hAnsi="Arial"/>
          <w:b/>
          <w:bCs/>
          <w:color w:val="1F4E79"/>
          <w:sz w:val="32"/>
          <w:szCs w:val="32"/>
        </w:rPr>
        <w:t xml:space="preserve">3. SRO (Self-Regulatory Organization) Membership</w:t>
      </w:r>
    </w:p>
    <w:p>
      <w:pPr>
        <w:spacing w:after="120"/>
      </w:pPr>
      <w:r>
        <w:rPr>
          <w:rFonts w:ascii="Arial" w:cs="Arial" w:eastAsia="Arial" w:hAnsi="Arial"/>
          <w:sz w:val="20"/>
          <w:szCs w:val="20"/>
        </w:rPr>
        <w:t xml:space="preserve">SRO membership is mandatory for financial intermediaries pursuant to Art. 2 para. 3 AMLA who are not directly supervised by FINMA. Switzerland has 11 recognized SROs including VQF, SO-FIT, and PolyReg. This section uses VQF as the primary example.</w:t>
      </w:r>
    </w:p>
    <w:p>
      <w:pPr>
        <w:pStyle w:val="Heading2"/>
        <w:spacing w:before="300" w:after="150"/>
      </w:pPr>
      <w:r>
        <w:rPr>
          <w:rFonts w:ascii="Arial" w:cs="Arial" w:eastAsia="Arial" w:hAnsi="Arial"/>
          <w:b/>
          <w:bCs/>
          <w:color w:val="2E75B6"/>
          <w:sz w:val="26"/>
          <w:szCs w:val="26"/>
        </w:rPr>
        <w:t xml:space="preserve">3.1 Key Requirements</w:t>
      </w:r>
    </w:p>
    <w:p>
      <w:pPr>
        <w:spacing w:after="80"/>
      </w:pPr>
      <w:r>
        <w:rPr>
          <w:rFonts w:ascii="Arial" w:cs="Arial" w:eastAsia="Arial" w:hAnsi="Arial"/>
          <w:b/>
          <w:bCs/>
          <w:sz w:val="20"/>
          <w:szCs w:val="20"/>
        </w:rPr>
        <w:t xml:space="preserve">Legal Form: </w:t>
      </w:r>
      <w:r>
        <w:rPr>
          <w:rFonts w:ascii="Arial" w:cs="Arial" w:eastAsia="Arial" w:hAnsi="Arial"/>
          <w:sz w:val="20"/>
          <w:szCs w:val="20"/>
        </w:rPr>
        <w:t xml:space="preserve">AG (CHF 100,000 capital) or GmbH (CHF 20,000 capital)</w:t>
      </w:r>
    </w:p>
    <w:p>
      <w:pPr>
        <w:spacing w:after="80"/>
      </w:pPr>
      <w:r>
        <w:rPr>
          <w:rFonts w:ascii="Arial" w:cs="Arial" w:eastAsia="Arial" w:hAnsi="Arial"/>
          <w:b/>
          <w:bCs/>
          <w:sz w:val="20"/>
          <w:szCs w:val="20"/>
        </w:rPr>
        <w:t xml:space="preserve">Capital Requirement: </w:t>
      </w:r>
      <w:r>
        <w:rPr>
          <w:rFonts w:ascii="Arial" w:cs="Arial" w:eastAsia="Arial" w:hAnsi="Arial"/>
          <w:sz w:val="20"/>
          <w:szCs w:val="20"/>
        </w:rPr>
        <w:t xml:space="preserve">No regulatory capital buffer required (only corporate law minimums)</w:t>
      </w:r>
    </w:p>
    <w:p>
      <w:pPr>
        <w:spacing w:after="80"/>
      </w:pPr>
      <w:r>
        <w:rPr>
          <w:rFonts w:ascii="Arial" w:cs="Arial" w:eastAsia="Arial" w:hAnsi="Arial"/>
          <w:b/>
          <w:bCs/>
          <w:sz w:val="20"/>
          <w:szCs w:val="20"/>
        </w:rPr>
        <w:t xml:space="preserve">Local Presence: </w:t>
      </w:r>
      <w:r>
        <w:rPr>
          <w:rFonts w:ascii="Arial" w:cs="Arial" w:eastAsia="Arial" w:hAnsi="Arial"/>
          <w:sz w:val="20"/>
          <w:szCs w:val="20"/>
        </w:rPr>
        <w:t xml:space="preserve">Swiss office, at least one Swiss-resident director with individual signing authority</w:t>
      </w:r>
    </w:p>
    <w:p>
      <w:pPr>
        <w:spacing w:after="80"/>
      </w:pPr>
      <w:r>
        <w:rPr>
          <w:rFonts w:ascii="Arial" w:cs="Arial" w:eastAsia="Arial" w:hAnsi="Arial"/>
          <w:b/>
          <w:bCs/>
          <w:sz w:val="20"/>
          <w:szCs w:val="20"/>
        </w:rPr>
        <w:t xml:space="preserve">AML Officer: </w:t>
      </w:r>
      <w:r>
        <w:rPr>
          <w:rFonts w:ascii="Arial" w:cs="Arial" w:eastAsia="Arial" w:hAnsi="Arial"/>
          <w:sz w:val="20"/>
          <w:szCs w:val="20"/>
        </w:rPr>
        <w:t xml:space="preserve">Mandatory, Swiss-resident (can be outsourced to Swiss provider)</w:t>
      </w:r>
    </w:p>
    <w:p>
      <w:pPr>
        <w:spacing w:after="80"/>
      </w:pPr>
      <w:r>
        <w:rPr>
          <w:rFonts w:ascii="Arial" w:cs="Arial" w:eastAsia="Arial" w:hAnsi="Arial"/>
          <w:b/>
          <w:bCs/>
          <w:sz w:val="20"/>
          <w:szCs w:val="20"/>
        </w:rPr>
        <w:t xml:space="preserve">Timeline: </w:t>
      </w:r>
      <w:r>
        <w:rPr>
          <w:rFonts w:ascii="Arial" w:cs="Arial" w:eastAsia="Arial" w:hAnsi="Arial"/>
          <w:sz w:val="20"/>
          <w:szCs w:val="20"/>
        </w:rPr>
        <w:t xml:space="preserve">1-3 months after complete submission</w:t>
      </w:r>
    </w:p>
    <w:p>
      <w:pPr>
        <w:spacing w:after="80"/>
      </w:pPr>
      <w:r>
        <w:rPr>
          <w:rFonts w:ascii="Arial" w:cs="Arial" w:eastAsia="Arial" w:hAnsi="Arial"/>
          <w:b/>
          <w:bCs/>
          <w:sz w:val="20"/>
          <w:szCs w:val="20"/>
        </w:rPr>
        <w:t xml:space="preserve">Recognized SROs: </w:t>
      </w:r>
      <w:r>
        <w:rPr>
          <w:rFonts w:ascii="Arial" w:cs="Arial" w:eastAsia="Arial" w:hAnsi="Arial"/>
          <w:sz w:val="20"/>
          <w:szCs w:val="20"/>
        </w:rPr>
        <w:t xml:space="preserve">VQF, SO-FIT, PolyReg, ARIF, SRO SAV/SNV, OAD FCT, SAAM, and others</w:t>
      </w:r>
    </w:p>
    <w:p>
      <w:pPr>
        <w:pStyle w:val="Heading2"/>
        <w:spacing w:before="300" w:after="150"/>
      </w:pPr>
      <w:r>
        <w:rPr>
          <w:rFonts w:ascii="Arial" w:cs="Arial" w:eastAsia="Arial" w:hAnsi="Arial"/>
          <w:b/>
          <w:bCs/>
          <w:color w:val="2E75B6"/>
          <w:sz w:val="26"/>
          <w:szCs w:val="26"/>
        </w:rPr>
        <w:t xml:space="preserve">3.2 Complete Documentation Checklist (VQF Example)</w:t>
      </w:r>
    </w:p>
    <w:p>
      <w:pPr>
        <w:pStyle w:val="Heading3"/>
        <w:spacing w:before="200" w:after="100"/>
      </w:pPr>
      <w:r>
        <w:rPr>
          <w:rFonts w:ascii="Arial" w:cs="Arial" w:eastAsia="Arial" w:hAnsi="Arial"/>
          <w:b/>
          <w:bCs/>
          <w:color w:val="404040"/>
          <w:sz w:val="22"/>
          <w:szCs w:val="22"/>
        </w:rPr>
        <w:t xml:space="preserve">A. Application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VQF Membership Application 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application with company details, services, banking relationships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Activity Declaration Form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declaration of financial intermediary activities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Declaration of Undertaking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assurance that information is true and accurate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 Responsibility Assignment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 confirming AML/CTF responsibilities are properly assigned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of Attorney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applicable, for representative handling application</w:t>
            </w:r>
          </w:p>
        </w:tc>
      </w:tr>
    </w:tbl>
    <w:p>
      <w:pPr>
        <w:pStyle w:val="Heading3"/>
        <w:spacing w:before="200" w:after="100"/>
      </w:pPr>
      <w:r>
        <w:rPr>
          <w:rFonts w:ascii="Arial" w:cs="Arial" w:eastAsia="Arial" w:hAnsi="Arial"/>
          <w:b/>
          <w:bCs/>
          <w:color w:val="404040"/>
          <w:sz w:val="22"/>
          <w:szCs w:val="22"/>
        </w:rPr>
        <w:t xml:space="preserve">B. Corporate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Articles of Association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certified articles of association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Commercial Register Extract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extract (not older than 3 months)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Shareholder Register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and current shareholder register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 Resolutions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Relevant resolutions authorizing application</w:t>
            </w:r>
          </w:p>
        </w:tc>
      </w:tr>
    </w:tbl>
    <w:p>
      <w:pPr>
        <w:pStyle w:val="Heading3"/>
        <w:spacing w:before="200" w:after="100"/>
      </w:pPr>
      <w:r>
        <w:rPr>
          <w:rFonts w:ascii="Arial" w:cs="Arial" w:eastAsia="Arial" w:hAnsi="Arial"/>
          <w:b/>
          <w:bCs/>
          <w:color w:val="404040"/>
          <w:sz w:val="22"/>
          <w:szCs w:val="22"/>
        </w:rPr>
        <w:t xml:space="preserve">C. Business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Model Description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of role in financial chain, how client funds are held/segregated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Offering Details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Clear description of all services offered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Type Classification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clientele (retail, professional, institutional)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Geographic Scope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Markets and jurisdictions served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Transaction Volumes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Projected volumes and turnover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Fee Structure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pricing and fee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 Partners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on correspondent banking relationships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Plan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Including financial projections</w:t>
            </w:r>
          </w:p>
        </w:tc>
      </w:tr>
    </w:tbl>
    <w:p>
      <w:pPr>
        <w:pStyle w:val="Heading3"/>
        <w:spacing w:before="200" w:after="100"/>
      </w:pPr>
      <w:r>
        <w:rPr>
          <w:rFonts w:ascii="Arial" w:cs="Arial" w:eastAsia="Arial" w:hAnsi="Arial"/>
          <w:b/>
          <w:bCs/>
          <w:color w:val="404040"/>
          <w:sz w:val="22"/>
          <w:szCs w:val="22"/>
        </w:rPr>
        <w:t xml:space="preserve">D. Ownership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Ownership Structure Diagram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diagram down to ultimate beneficial owners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Beneficial Owner ID Documents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Passport/ID copies for all UBOs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Trust/Nominee Agreements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any shares held by trustees/nominees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Structure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part of a corporate group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of Funds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legal origin of capital</w:t>
            </w:r>
          </w:p>
        </w:tc>
      </w:tr>
    </w:tbl>
    <w:p>
      <w:pPr>
        <w:pStyle w:val="Heading3"/>
        <w:spacing w:before="200" w:after="100"/>
      </w:pPr>
      <w:r>
        <w:rPr>
          <w:rFonts w:ascii="Arial" w:cs="Arial" w:eastAsia="Arial" w:hAnsi="Arial"/>
          <w:b/>
          <w:bCs/>
          <w:color w:val="404040"/>
          <w:sz w:val="22"/>
          <w:szCs w:val="22"/>
        </w:rPr>
        <w:t xml:space="preserve">E. Governance &amp;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Composition Details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Names, roles, backgrounds of all board members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Management Structure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management organization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Signatory Rights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and collective signing authorities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 Officer Appointment Letter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Formal appointment of Swiss-resident AML officer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Deputy AML Officer Appointment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required by business complexity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 Officer CV &amp; Credentials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Qualifications, experience, certifications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 CVs &amp; ID Documents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all directors and key personnel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Criminal Record Certificates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certificates for key persons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References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Letters of reference</w:t>
            </w:r>
          </w:p>
        </w:tc>
      </w:tr>
    </w:tbl>
    <w:p>
      <w:pPr>
        <w:pStyle w:val="Heading3"/>
        <w:spacing w:before="200" w:after="100"/>
      </w:pPr>
      <w:r>
        <w:rPr>
          <w:rFonts w:ascii="Arial" w:cs="Arial" w:eastAsia="Arial" w:hAnsi="Arial"/>
          <w:b/>
          <w:bCs/>
          <w:color w:val="404040"/>
          <w:sz w:val="22"/>
          <w:szCs w:val="22"/>
        </w:rPr>
        <w:t xml:space="preserve">F. AML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AML/CTF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policy aligned with Swiss AMLA and SRO regulations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AML Guidelines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operational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Assessment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and client risk assessment methodology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CDD/KYC Procedures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due diligence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EDD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due diligence for high-risk clients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PEP Screening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Politically exposed persons identification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Sanctions Screening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 and international sanctions compliance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Monitoring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 rules and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Reporting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activity reporting to MROS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Keeping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retention requirements (10 years minimum)</w:t>
            </w:r>
          </w:p>
        </w:tc>
      </w:tr>
    </w:tbl>
    <w:p>
      <w:pPr>
        <w:pStyle w:val="Heading3"/>
        <w:spacing w:before="200" w:after="100"/>
      </w:pPr>
      <w:r>
        <w:rPr>
          <w:rFonts w:ascii="Arial" w:cs="Arial" w:eastAsia="Arial" w:hAnsi="Arial"/>
          <w:b/>
          <w:bCs/>
          <w:color w:val="404040"/>
          <w:sz w:val="22"/>
          <w:szCs w:val="22"/>
        </w:rPr>
        <w:t xml:space="preserve">G. Additional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AML Auditor Mandate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from approved AML auditor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Fee Payment Receipts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Proof of SRO application and membership fees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of AML training for staff</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Security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Information security measures</w:t>
            </w:r>
          </w:p>
        </w:tc>
      </w:tr>
    </w:tbl>
    <w:p>
      <w:pPr>
        <w:pStyle w:val="Heading3"/>
        <w:spacing w:before="200" w:after="100"/>
      </w:pPr>
      <w:r>
        <w:rPr>
          <w:rFonts w:ascii="Arial" w:cs="Arial" w:eastAsia="Arial" w:hAnsi="Arial"/>
          <w:b/>
          <w:bCs/>
          <w:color w:val="404040"/>
          <w:sz w:val="22"/>
          <w:szCs w:val="22"/>
        </w:rPr>
        <w:t xml:space="preserve">H. VASP-Specific Additions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Type Analysis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of crypto assets handled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Wallet Management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Hot/cold storage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 Analytics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analysis tool integration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Travel Rule Compliance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FATF Travel Rule implementation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Sanctions Screening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address screening procedures</w:t>
            </w:r>
          </w:p>
        </w:tc>
      </w:tr>
    </w:tbl>
    <w:p>
      <w:r>
        <w:br w:type="page"/>
      </w:r>
    </w:p>
    <w:p>
      <w:pPr>
        <w:pStyle w:val="Heading1"/>
        <w:spacing w:before="400" w:after="200"/>
      </w:pPr>
      <w:r>
        <w:rPr>
          <w:rFonts w:ascii="Arial" w:cs="Arial" w:eastAsia="Arial" w:hAnsi="Arial"/>
          <w:b/>
          <w:bCs/>
          <w:color w:val="1F4E79"/>
          <w:sz w:val="32"/>
          <w:szCs w:val="32"/>
        </w:rPr>
        <w:t xml:space="preserve">4. Payment Systems Operator (FinfraG)</w:t>
      </w:r>
    </w:p>
    <w:p>
      <w:pPr>
        <w:spacing w:after="120"/>
      </w:pPr>
      <w:r>
        <w:rPr>
          <w:rFonts w:ascii="Arial" w:cs="Arial" w:eastAsia="Arial" w:hAnsi="Arial"/>
          <w:sz w:val="20"/>
          <w:szCs w:val="20"/>
        </w:rPr>
        <w:t xml:space="preserve">Under the Financial Market Infrastructure Act (FinfraG), payment systems require FINMA authorization only if necessary to safeguard the proper functioning of the financial market or the protection of financial market participants (Art. 4 para. 2 FinMIA). Banks do not need separate authorization for payment operations. Most smaller payment service providers operate via SRO membership.</w:t>
      </w:r>
    </w:p>
    <w:p>
      <w:pPr>
        <w:pStyle w:val="Heading2"/>
        <w:spacing w:before="300" w:after="150"/>
      </w:pPr>
      <w:r>
        <w:rPr>
          <w:rFonts w:ascii="Arial" w:cs="Arial" w:eastAsia="Arial" w:hAnsi="Arial"/>
          <w:b/>
          <w:bCs/>
          <w:color w:val="2E75B6"/>
          <w:sz w:val="26"/>
          <w:szCs w:val="26"/>
        </w:rPr>
        <w:t xml:space="preserve">4.1 Key Requirements</w:t>
      </w:r>
    </w:p>
    <w:p>
      <w:pPr>
        <w:spacing w:after="80"/>
      </w:pPr>
      <w:r>
        <w:rPr>
          <w:rFonts w:ascii="Arial" w:cs="Arial" w:eastAsia="Arial" w:hAnsi="Arial"/>
          <w:b/>
          <w:bCs/>
          <w:sz w:val="20"/>
          <w:szCs w:val="20"/>
        </w:rPr>
        <w:t xml:space="preserve">Licensing Trigger: </w:t>
      </w:r>
      <w:r>
        <w:rPr>
          <w:rFonts w:ascii="Arial" w:cs="Arial" w:eastAsia="Arial" w:hAnsi="Arial"/>
          <w:sz w:val="20"/>
          <w:szCs w:val="20"/>
        </w:rPr>
        <w:t xml:space="preserve">Only required for systemically important payment systems</w:t>
      </w:r>
    </w:p>
    <w:p>
      <w:pPr>
        <w:spacing w:after="80"/>
      </w:pPr>
      <w:r>
        <w:rPr>
          <w:rFonts w:ascii="Arial" w:cs="Arial" w:eastAsia="Arial" w:hAnsi="Arial"/>
          <w:b/>
          <w:bCs/>
          <w:sz w:val="20"/>
          <w:szCs w:val="20"/>
        </w:rPr>
        <w:t xml:space="preserve">Dual Oversight: </w:t>
      </w:r>
      <w:r>
        <w:rPr>
          <w:rFonts w:ascii="Arial" w:cs="Arial" w:eastAsia="Arial" w:hAnsi="Arial"/>
          <w:sz w:val="20"/>
          <w:szCs w:val="20"/>
        </w:rPr>
        <w:t xml:space="preserve">FINMA (prudential) and SNB (systemic oversight) for significant systems</w:t>
      </w:r>
    </w:p>
    <w:p>
      <w:pPr>
        <w:spacing w:after="80"/>
      </w:pPr>
      <w:r>
        <w:rPr>
          <w:rFonts w:ascii="Arial" w:cs="Arial" w:eastAsia="Arial" w:hAnsi="Arial"/>
          <w:b/>
          <w:bCs/>
          <w:sz w:val="20"/>
          <w:szCs w:val="20"/>
        </w:rPr>
        <w:t xml:space="preserve">Alternative Path: </w:t>
      </w:r>
      <w:r>
        <w:rPr>
          <w:rFonts w:ascii="Arial" w:cs="Arial" w:eastAsia="Arial" w:hAnsi="Arial"/>
          <w:sz w:val="20"/>
          <w:szCs w:val="20"/>
        </w:rPr>
        <w:t xml:space="preserve">Most PSPs operate via SRO membership under AMLA</w:t>
      </w:r>
    </w:p>
    <w:p>
      <w:pPr>
        <w:spacing w:after="80"/>
      </w:pPr>
      <w:r>
        <w:rPr>
          <w:rFonts w:ascii="Arial" w:cs="Arial" w:eastAsia="Arial" w:hAnsi="Arial"/>
          <w:b/>
          <w:bCs/>
          <w:sz w:val="20"/>
          <w:szCs w:val="20"/>
        </w:rPr>
        <w:t xml:space="preserve">Legal Basis: </w:t>
      </w:r>
      <w:r>
        <w:rPr>
          <w:rFonts w:ascii="Arial" w:cs="Arial" w:eastAsia="Arial" w:hAnsi="Arial"/>
          <w:sz w:val="20"/>
          <w:szCs w:val="20"/>
        </w:rPr>
        <w:t xml:space="preserve">Financial Market Infrastructure Act (FinMIA/FinfraG)</w:t>
      </w:r>
    </w:p>
    <w:p>
      <w:pPr>
        <w:pStyle w:val="Heading2"/>
        <w:spacing w:before="300" w:after="150"/>
      </w:pPr>
      <w:r>
        <w:rPr>
          <w:rFonts w:ascii="Arial" w:cs="Arial" w:eastAsia="Arial" w:hAnsi="Arial"/>
          <w:b/>
          <w:bCs/>
          <w:color w:val="2E75B6"/>
          <w:sz w:val="26"/>
          <w:szCs w:val="26"/>
        </w:rPr>
        <w:t xml:space="preserve">4.2 Complete Documentation Checklist</w:t>
      </w:r>
    </w:p>
    <w:p>
      <w:pPr>
        <w:pStyle w:val="Heading3"/>
        <w:spacing w:before="200" w:after="100"/>
      </w:pPr>
      <w:r>
        <w:rPr>
          <w:rFonts w:ascii="Arial" w:cs="Arial" w:eastAsia="Arial" w:hAnsi="Arial"/>
          <w:b/>
          <w:bCs/>
          <w:color w:val="404040"/>
          <w:sz w:val="22"/>
          <w:szCs w:val="22"/>
        </w:rPr>
        <w:t xml:space="preserve">A. Corporate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Swiss Legal Entity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of incorporation, articles of association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Commercial Register Extract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certified extract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Ownership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ownership documentation to beneficial owners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 &amp; Management Details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 qualifications, fit &amp; proper declarations</w:t>
            </w:r>
          </w:p>
        </w:tc>
      </w:tr>
    </w:tbl>
    <w:p>
      <w:pPr>
        <w:pStyle w:val="Heading3"/>
        <w:spacing w:before="200" w:after="100"/>
      </w:pPr>
      <w:r>
        <w:rPr>
          <w:rFonts w:ascii="Arial" w:cs="Arial" w:eastAsia="Arial" w:hAnsi="Arial"/>
          <w:b/>
          <w:bCs/>
          <w:color w:val="404040"/>
          <w:sz w:val="22"/>
          <w:szCs w:val="22"/>
        </w:rPr>
        <w:t xml:space="preserve">B. Business Plan &amp;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Description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description of payment system functionality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Plan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Including financial projections and growth strategy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Analysis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of market position and systemic importance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Analysis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Identification and assessment of operational risks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 and agreements for system participants</w:t>
            </w:r>
          </w:p>
        </w:tc>
      </w:tr>
    </w:tbl>
    <w:p>
      <w:pPr>
        <w:pStyle w:val="Heading3"/>
        <w:spacing w:before="200" w:after="100"/>
      </w:pPr>
      <w:r>
        <w:rPr>
          <w:rFonts w:ascii="Arial" w:cs="Arial" w:eastAsia="Arial" w:hAnsi="Arial"/>
          <w:b/>
          <w:bCs/>
          <w:color w:val="404040"/>
          <w:sz w:val="22"/>
          <w:szCs w:val="22"/>
        </w:rPr>
        <w:t xml:space="preserve">C. Governance &amp;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Organizational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organizational chart with reporting lines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 Composition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Details of board members, committees, independence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Management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management organization and responsibilities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Fit &amp; Proper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questionnaires, CVs, criminal records for key persons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 Business Conduct Declarations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declarations from all key persons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Control Framework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Three lines of defense, control functions</w:t>
            </w:r>
          </w:p>
        </w:tc>
      </w:tr>
    </w:tbl>
    <w:p>
      <w:pPr>
        <w:pStyle w:val="Heading3"/>
        <w:spacing w:before="200" w:after="100"/>
      </w:pPr>
      <w:r>
        <w:rPr>
          <w:rFonts w:ascii="Arial" w:cs="Arial" w:eastAsia="Arial" w:hAnsi="Arial"/>
          <w:b/>
          <w:bCs/>
          <w:color w:val="404040"/>
          <w:sz w:val="22"/>
          <w:szCs w:val="22"/>
        </w:rPr>
        <w:t xml:space="preserve">D.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 Framework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risk management policies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Operational Risk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risk, cyber risk, business continuity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&amp; Liquidity Risk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applicable, credit exposure and liquidity management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Settlement Risk Controls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Controls for settlement finality and irrevocability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Management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default rules and procedures</w:t>
            </w:r>
          </w:p>
        </w:tc>
      </w:tr>
    </w:tbl>
    <w:p>
      <w:pPr>
        <w:pStyle w:val="Heading3"/>
        <w:spacing w:before="200" w:after="100"/>
      </w:pPr>
      <w:r>
        <w:rPr>
          <w:rFonts w:ascii="Arial" w:cs="Arial" w:eastAsia="Arial" w:hAnsi="Arial"/>
          <w:b/>
          <w:bCs/>
          <w:color w:val="404040"/>
          <w:sz w:val="22"/>
          <w:szCs w:val="22"/>
        </w:rPr>
        <w:t xml:space="preserve">E. Technical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Architecture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architecture and data flows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Framework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Cybersecurity policies and controls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Continuity Plan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BCP/DR documentation including RTOs/RPOs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Operational Resilience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availability, redundancy measures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and authorization controls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change and release management procedures</w:t>
            </w:r>
          </w:p>
        </w:tc>
      </w:tr>
    </w:tbl>
    <w:p>
      <w:pPr>
        <w:pStyle w:val="Heading3"/>
        <w:spacing w:before="200" w:after="100"/>
      </w:pPr>
      <w:r>
        <w:rPr>
          <w:rFonts w:ascii="Arial" w:cs="Arial" w:eastAsia="Arial" w:hAnsi="Arial"/>
          <w:b/>
          <w:bCs/>
          <w:color w:val="404040"/>
          <w:sz w:val="22"/>
          <w:szCs w:val="22"/>
        </w:rPr>
        <w:t xml:space="preserve">F. Financial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Adequacy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adequate capital and financial guarantees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Statements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Audited financial statements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Liquidity Resources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of liquidity arrangements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Insurance Coverage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Professional liability and other relevant insurance</w:t>
            </w:r>
          </w:p>
        </w:tc>
      </w:tr>
    </w:tbl>
    <w:p>
      <w:pPr>
        <w:pStyle w:val="Heading3"/>
        <w:spacing w:before="200" w:after="100"/>
      </w:pPr>
      <w:r>
        <w:rPr>
          <w:rFonts w:ascii="Arial" w:cs="Arial" w:eastAsia="Arial" w:hAnsi="Arial"/>
          <w:b/>
          <w:bCs/>
          <w:color w:val="404040"/>
          <w:sz w:val="22"/>
          <w:szCs w:val="22"/>
        </w:rPr>
        <w:t xml:space="preserve">G. Compliance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AML/KYC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applicable, via SRO membership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Regulatory Audit Firm Appointment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Mandate from FINMA-approved audit firm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Audit Function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audit charter and procedures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Function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organization and monitoring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reporting capabilities</w:t>
            </w:r>
          </w:p>
        </w:tc>
      </w:tr>
    </w:tbl>
    <w:p>
      <w:r>
        <w:br w:type="page"/>
      </w:r>
    </w:p>
    <w:p>
      <w:pPr>
        <w:pStyle w:val="Heading1"/>
        <w:spacing w:before="400" w:after="200"/>
      </w:pPr>
      <w:r>
        <w:rPr>
          <w:rFonts w:ascii="Arial" w:cs="Arial" w:eastAsia="Arial" w:hAnsi="Arial"/>
          <w:b/>
          <w:bCs/>
          <w:color w:val="1F4E79"/>
          <w:sz w:val="32"/>
          <w:szCs w:val="32"/>
        </w:rPr>
        <w:t xml:space="preserve">5. Securities Firm License (FinIA)</w:t>
      </w:r>
    </w:p>
    <w:p>
      <w:pPr>
        <w:spacing w:after="120"/>
      </w:pPr>
      <w:r>
        <w:rPr>
          <w:rFonts w:ascii="Arial" w:cs="Arial" w:eastAsia="Arial" w:hAnsi="Arial"/>
          <w:sz w:val="20"/>
          <w:szCs w:val="20"/>
        </w:rPr>
        <w:t xml:space="preserve">Securities firms (client dealers, own-account dealers, market makers, issuing houses) require direct FINMA licensing under the Financial Institutions Act (FinIA). This is the most comprehensive license category with stringent organizational, financial, and risk management requirements.</w:t>
      </w:r>
    </w:p>
    <w:p>
      <w:pPr>
        <w:pStyle w:val="Heading2"/>
        <w:spacing w:before="300" w:after="150"/>
      </w:pPr>
      <w:r>
        <w:rPr>
          <w:rFonts w:ascii="Arial" w:cs="Arial" w:eastAsia="Arial" w:hAnsi="Arial"/>
          <w:b/>
          <w:bCs/>
          <w:color w:val="2E75B6"/>
          <w:sz w:val="26"/>
          <w:szCs w:val="26"/>
        </w:rPr>
        <w:t xml:space="preserve">5.1 Key Requirements</w:t>
      </w:r>
    </w:p>
    <w:p>
      <w:pPr>
        <w:spacing w:after="80"/>
      </w:pPr>
      <w:r>
        <w:rPr>
          <w:rFonts w:ascii="Arial" w:cs="Arial" w:eastAsia="Arial" w:hAnsi="Arial"/>
          <w:b/>
          <w:bCs/>
          <w:sz w:val="20"/>
          <w:szCs w:val="20"/>
        </w:rPr>
        <w:t xml:space="preserve">Legal Form: </w:t>
      </w:r>
      <w:r>
        <w:rPr>
          <w:rFonts w:ascii="Arial" w:cs="Arial" w:eastAsia="Arial" w:hAnsi="Arial"/>
          <w:sz w:val="20"/>
          <w:szCs w:val="20"/>
        </w:rPr>
        <w:t xml:space="preserve">Swiss AG, Kommandit-AG, or GmbH</w:t>
      </w:r>
    </w:p>
    <w:p>
      <w:pPr>
        <w:spacing w:after="80"/>
      </w:pPr>
      <w:r>
        <w:rPr>
          <w:rFonts w:ascii="Arial" w:cs="Arial" w:eastAsia="Arial" w:hAnsi="Arial"/>
          <w:b/>
          <w:bCs/>
          <w:sz w:val="20"/>
          <w:szCs w:val="20"/>
        </w:rPr>
        <w:t xml:space="preserve">Minimum Capital: </w:t>
      </w:r>
      <w:r>
        <w:rPr>
          <w:rFonts w:ascii="Arial" w:cs="Arial" w:eastAsia="Arial" w:hAnsi="Arial"/>
          <w:sz w:val="20"/>
          <w:szCs w:val="20"/>
        </w:rPr>
        <w:t xml:space="preserve">CHF 1.5 million fully paid-up</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Registered office and business activities in Switzerland</w:t>
      </w:r>
    </w:p>
    <w:p>
      <w:pPr>
        <w:spacing w:after="80"/>
      </w:pPr>
      <w:r>
        <w:rPr>
          <w:rFonts w:ascii="Arial" w:cs="Arial" w:eastAsia="Arial" w:hAnsi="Arial"/>
          <w:b/>
          <w:bCs/>
          <w:sz w:val="20"/>
          <w:szCs w:val="20"/>
        </w:rPr>
        <w:t xml:space="preserve">Supervision: </w:t>
      </w:r>
      <w:r>
        <w:rPr>
          <w:rFonts w:ascii="Arial" w:cs="Arial" w:eastAsia="Arial" w:hAnsi="Arial"/>
          <w:sz w:val="20"/>
          <w:szCs w:val="20"/>
        </w:rPr>
        <w:t xml:space="preserve">Direct prudential supervision by FINMA</w:t>
      </w:r>
    </w:p>
    <w:p>
      <w:pPr>
        <w:spacing w:after="80"/>
      </w:pPr>
      <w:r>
        <w:rPr>
          <w:rFonts w:ascii="Arial" w:cs="Arial" w:eastAsia="Arial" w:hAnsi="Arial"/>
          <w:b/>
          <w:bCs/>
          <w:sz w:val="20"/>
          <w:szCs w:val="20"/>
        </w:rPr>
        <w:t xml:space="preserve">Audit: </w:t>
      </w:r>
      <w:r>
        <w:rPr>
          <w:rFonts w:ascii="Arial" w:cs="Arial" w:eastAsia="Arial" w:hAnsi="Arial"/>
          <w:sz w:val="20"/>
          <w:szCs w:val="20"/>
        </w:rPr>
        <w:t xml:space="preserve">Both licensing audit and ongoing regulatory audit required</w:t>
      </w:r>
    </w:p>
    <w:p>
      <w:pPr>
        <w:pStyle w:val="Heading2"/>
        <w:spacing w:before="300" w:after="150"/>
      </w:pPr>
      <w:r>
        <w:rPr>
          <w:rFonts w:ascii="Arial" w:cs="Arial" w:eastAsia="Arial" w:hAnsi="Arial"/>
          <w:b/>
          <w:bCs/>
          <w:color w:val="2E75B6"/>
          <w:sz w:val="26"/>
          <w:szCs w:val="26"/>
        </w:rPr>
        <w:t xml:space="preserve">5.2 Complete Documentation Checklist</w:t>
      </w:r>
    </w:p>
    <w:p>
      <w:pPr>
        <w:pStyle w:val="Heading3"/>
        <w:spacing w:before="200" w:after="100"/>
      </w:pPr>
      <w:r>
        <w:rPr>
          <w:rFonts w:ascii="Arial" w:cs="Arial" w:eastAsia="Arial" w:hAnsi="Arial"/>
          <w:b/>
          <w:bCs/>
          <w:color w:val="404040"/>
          <w:sz w:val="22"/>
          <w:szCs w:val="22"/>
        </w:rPr>
        <w:t xml:space="preserve">A. Corporate &amp; Legal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Articles of Association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precise factual and geographical description of business (types of securities traded, markets, client types)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Partnership Agreement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applicable, for Kommandit-AG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Rules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regulations governing operations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Commercial Register Extract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Certified recent extract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Resolutions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Authorizing license application and business activities</w:t>
            </w:r>
          </w:p>
        </w:tc>
      </w:tr>
    </w:tbl>
    <w:p>
      <w:pPr>
        <w:pStyle w:val="Heading3"/>
        <w:spacing w:before="200" w:after="100"/>
      </w:pPr>
      <w:r>
        <w:rPr>
          <w:rFonts w:ascii="Arial" w:cs="Arial" w:eastAsia="Arial" w:hAnsi="Arial"/>
          <w:b/>
          <w:bCs/>
          <w:color w:val="404040"/>
          <w:sz w:val="22"/>
          <w:szCs w:val="22"/>
        </w:rPr>
        <w:t xml:space="preserve">B. Business Plan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Plan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plan showing scope compatible with finances/organization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Projections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year projections with scenarios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Adequacy Projections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Demonstrating ongoing compliance with Art. 63 FinIO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Diversification Analysis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with concentration limits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Analysis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markets, competitive positioning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Securities and derivatives to be traded</w:t>
            </w:r>
          </w:p>
        </w:tc>
      </w:tr>
    </w:tbl>
    <w:p>
      <w:pPr>
        <w:pStyle w:val="Heading3"/>
        <w:spacing w:before="200" w:after="100"/>
      </w:pPr>
      <w:r>
        <w:rPr>
          <w:rFonts w:ascii="Arial" w:cs="Arial" w:eastAsia="Arial" w:hAnsi="Arial"/>
          <w:b/>
          <w:bCs/>
          <w:color w:val="404040"/>
          <w:sz w:val="22"/>
          <w:szCs w:val="22"/>
        </w:rPr>
        <w:t xml:space="preserve">C. Ownership &amp; Qualified Participations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Shareholder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ownership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Qualified Participation Forms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all 10%+ shareholders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Beneficial Ownership Declaration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Statement on ultimate beneficial ownership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Foreign Control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foreign-controlled, reciprocity guarantee from home country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part of financial group, structure and supervision documentation</w:t>
            </w:r>
          </w:p>
        </w:tc>
      </w:tr>
    </w:tbl>
    <w:p>
      <w:pPr>
        <w:pStyle w:val="Heading3"/>
        <w:spacing w:before="200" w:after="100"/>
      </w:pPr>
      <w:r>
        <w:rPr>
          <w:rFonts w:ascii="Arial" w:cs="Arial" w:eastAsia="Arial" w:hAnsi="Arial"/>
          <w:b/>
          <w:bCs/>
          <w:color w:val="404040"/>
          <w:sz w:val="22"/>
          <w:szCs w:val="22"/>
        </w:rPr>
        <w:t xml:space="preserve">D. Governance &amp; Management (Fit &amp;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Composition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 including chairman, vice-chairman, committees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Board Structure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 organization, powers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FINMA Personal Questionnaires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all board members and executives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Documents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Copies for all key persons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Residence Permits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foreign nationals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CVs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Signed by each person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Criminal Record Certificates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extracts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Debt Enforcement Extracts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extracts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Qualifications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 certifications, experience evidence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Letters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Professional references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 Business Conduct Declarations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Gewährsformular for all key persons</w:t>
            </w:r>
          </w:p>
        </w:tc>
      </w:tr>
    </w:tbl>
    <w:p>
      <w:pPr>
        <w:pStyle w:val="Heading3"/>
        <w:spacing w:before="200" w:after="100"/>
      </w:pPr>
      <w:r>
        <w:rPr>
          <w:rFonts w:ascii="Arial" w:cs="Arial" w:eastAsia="Arial" w:hAnsi="Arial"/>
          <w:b/>
          <w:bCs/>
          <w:color w:val="404040"/>
          <w:sz w:val="22"/>
          <w:szCs w:val="22"/>
        </w:rPr>
        <w:t xml:space="preserve">E. Organizational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Organizational Chart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chart with all functions and reporting lines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 Separation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 of separation: trading, asset management, settlement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Descriptions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all key positions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Staffing Plan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and projected headcount by function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Outsourcing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outsourced functions with contracts</w:t>
            </w:r>
          </w:p>
        </w:tc>
      </w:tr>
    </w:tbl>
    <w:p>
      <w:pPr>
        <w:pStyle w:val="Heading3"/>
        <w:spacing w:before="200" w:after="100"/>
      </w:pPr>
      <w:r>
        <w:rPr>
          <w:rFonts w:ascii="Arial" w:cs="Arial" w:eastAsia="Arial" w:hAnsi="Arial"/>
          <w:b/>
          <w:bCs/>
          <w:color w:val="404040"/>
          <w:sz w:val="22"/>
          <w:szCs w:val="22"/>
        </w:rPr>
        <w:t xml:space="preserve">F. Risk Management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risk management framework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Risk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Identification, limitation, monitoring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Risk Management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Counterparty risk policies and limits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Risk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scenarios and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 Risk Controls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DVP procedures, settlement finality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Liquidity Risk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Liquidity buffers and stress testing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Risk Management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Including IT and cyber risk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 Risk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with laws and contracts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Reputation Risk Management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Reputational risk policies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Model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using proprietary risk models for capital calculation</w:t>
            </w:r>
          </w:p>
        </w:tc>
      </w:tr>
    </w:tbl>
    <w:p>
      <w:pPr>
        <w:pStyle w:val="Heading3"/>
        <w:spacing w:before="200" w:after="100"/>
      </w:pPr>
      <w:r>
        <w:rPr>
          <w:rFonts w:ascii="Arial" w:cs="Arial" w:eastAsia="Arial" w:hAnsi="Arial"/>
          <w:b/>
          <w:bCs/>
          <w:color w:val="404040"/>
          <w:sz w:val="22"/>
          <w:szCs w:val="22"/>
        </w:rPr>
        <w:t xml:space="preserve">G. Internal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Control Framework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lines of defense model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Audit Charter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Independent audit function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Audit Plan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audit plan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Function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organization and monitoring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Testing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effectiveness assessment</w:t>
            </w:r>
          </w:p>
        </w:tc>
      </w:tr>
    </w:tbl>
    <w:p>
      <w:pPr>
        <w:pStyle w:val="Heading3"/>
        <w:spacing w:before="200" w:after="100"/>
      </w:pPr>
      <w:r>
        <w:rPr>
          <w:rFonts w:ascii="Arial" w:cs="Arial" w:eastAsia="Arial" w:hAnsi="Arial"/>
          <w:b/>
          <w:bCs/>
          <w:color w:val="404040"/>
          <w:sz w:val="22"/>
          <w:szCs w:val="22"/>
        </w:rPr>
        <w:t xml:space="preserve">H. FinSA Conduct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Classification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Retail/Professional/Institutional segmentation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Suitability &amp; Appropriateness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procedures for investment advice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Execution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execution principles considering price, cost, speed, likelihood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Conflicts of Interest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Identification, prevention, management, disclosure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Conflicts of Interest Register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of identified conflicts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Compensation Disclosure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Third-party compensation/retrocession policies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Information Documents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FinSA-required disclosure documents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Information Documents (KIDs)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relevant financial instruments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Handling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 treatment, timely execution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Securities Lending Policy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applicable, compliant procedures</w:t>
            </w:r>
          </w:p>
        </w:tc>
      </w:tr>
    </w:tbl>
    <w:p>
      <w:pPr>
        <w:pStyle w:val="Heading3"/>
        <w:spacing w:before="200" w:after="100"/>
      </w:pPr>
      <w:r>
        <w:rPr>
          <w:rFonts w:ascii="Arial" w:cs="Arial" w:eastAsia="Arial" w:hAnsi="Arial"/>
          <w:b/>
          <w:bCs/>
          <w:color w:val="404040"/>
          <w:sz w:val="22"/>
          <w:szCs w:val="22"/>
        </w:rPr>
        <w:t xml:space="preserve">I. Trading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System Documentation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specifications of trading infrastructure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Trading Procedures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operating procedures for trading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Limits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limits and controls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Settlement Procedures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T+2 settlement processes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Safekeeping Procedures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asset custody and segregation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Reporting Capabilities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and position reporting</w:t>
            </w:r>
          </w:p>
        </w:tc>
      </w:tr>
    </w:tbl>
    <w:p>
      <w:pPr>
        <w:pStyle w:val="Heading3"/>
        <w:spacing w:before="200" w:after="100"/>
      </w:pPr>
      <w:r>
        <w:rPr>
          <w:rFonts w:ascii="Arial" w:cs="Arial" w:eastAsia="Arial" w:hAnsi="Arial"/>
          <w:b/>
          <w:bCs/>
          <w:color w:val="404040"/>
          <w:sz w:val="22"/>
          <w:szCs w:val="22"/>
        </w:rPr>
        <w:t xml:space="preserve">J. Capital &amp; Financial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Adequacy Calculation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Methodology per Art. 63 FinIO / Capital Adequacy Ordinance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Risk-Weighted Assets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Calculation of market, credit, operational risk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Capital Evidence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CHF 1.5 million minimum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Capital Instruments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AT1/T2 instruments, FINMA approval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Statements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Audited accounts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Liquidity Documentation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Liquidity resources and stress testing</w:t>
            </w:r>
          </w:p>
        </w:tc>
      </w:tr>
    </w:tbl>
    <w:p>
      <w:pPr>
        <w:pStyle w:val="Heading3"/>
        <w:spacing w:before="200" w:after="100"/>
      </w:pPr>
      <w:r>
        <w:rPr>
          <w:rFonts w:ascii="Arial" w:cs="Arial" w:eastAsia="Arial" w:hAnsi="Arial"/>
          <w:b/>
          <w:bCs/>
          <w:color w:val="404040"/>
          <w:sz w:val="22"/>
          <w:szCs w:val="22"/>
        </w:rPr>
        <w:t xml:space="preserve">K. Compliance &amp; 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AML/KYC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anti-money laundering framework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CDD Procedures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due diligence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Sanctions Screening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 and international sanctions compliance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Monitoring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Surveillance systems and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Reporting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activity reporting to MROS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Abuse Prevention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Insider dealing and market manipulation controls</w:t>
            </w:r>
          </w:p>
        </w:tc>
      </w:tr>
    </w:tbl>
    <w:p>
      <w:pPr>
        <w:pStyle w:val="Heading3"/>
        <w:spacing w:before="200" w:after="100"/>
      </w:pPr>
      <w:r>
        <w:rPr>
          <w:rFonts w:ascii="Arial" w:cs="Arial" w:eastAsia="Arial" w:hAnsi="Arial"/>
          <w:b/>
          <w:bCs/>
          <w:color w:val="404040"/>
          <w:sz w:val="22"/>
          <w:szCs w:val="22"/>
        </w:rPr>
        <w:t xml:space="preserve">L. Audit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Licensing Audit Firm Appointment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Recognized audit firm for licensing process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Regulatory Audit Firm Appointment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Recognized firm for ongoing supervision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Engagement Letter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mandate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Audit Report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requested by FINMA during licensing</w:t>
            </w:r>
          </w:p>
        </w:tc>
      </w:tr>
    </w:tbl>
    <w:p>
      <w:pPr>
        <w:pStyle w:val="Heading3"/>
        <w:spacing w:before="200" w:after="100"/>
      </w:pPr>
      <w:r>
        <w:rPr>
          <w:rFonts w:ascii="Arial" w:cs="Arial" w:eastAsia="Arial" w:hAnsi="Arial"/>
          <w:b/>
          <w:bCs/>
          <w:color w:val="404040"/>
          <w:sz w:val="22"/>
          <w:szCs w:val="22"/>
        </w:rPr>
        <w:t xml:space="preserve">M. IT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Security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security framework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Cybersecurity Controls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 and organizational measures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Continuity Plan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BCM/BCP/DR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 Response Plan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incident procedures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Protection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data handling procedures</w:t>
            </w:r>
          </w:p>
        </w:tc>
      </w:tr>
    </w:tbl>
    <w:p>
      <w:pPr>
        <w:pStyle w:val="Heading3"/>
        <w:spacing w:before="200" w:after="100"/>
      </w:pPr>
      <w:r>
        <w:rPr>
          <w:rFonts w:ascii="Arial" w:cs="Arial" w:eastAsia="Arial" w:hAnsi="Arial"/>
          <w:b/>
          <w:bCs/>
          <w:color w:val="404040"/>
          <w:sz w:val="22"/>
          <w:szCs w:val="22"/>
        </w:rPr>
        <w:t xml:space="preserve">N. Group/Consolidated Requirements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 #</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Consolidated Supervision Evidence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adequate group supervision by recognized authority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Risk Management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Group-wide risk management framework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Intra-Group Agreements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SLAs, cost sharing, service agreements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Recovery Plan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systemically important</w:t>
            </w:r>
          </w:p>
        </w:tc>
      </w:tr>
    </w:tbl>
    <w:p>
      <w:r>
        <w:br w:type="page"/>
      </w:r>
    </w:p>
    <w:p>
      <w:pPr>
        <w:pStyle w:val="Heading1"/>
        <w:spacing w:before="400" w:after="200"/>
      </w:pPr>
      <w:r>
        <w:rPr>
          <w:rFonts w:ascii="Arial" w:cs="Arial" w:eastAsia="Arial" w:hAnsi="Arial"/>
          <w:b/>
          <w:bCs/>
          <w:color w:val="1F4E79"/>
          <w:sz w:val="32"/>
          <w:szCs w:val="32"/>
        </w:rPr>
        <w:t xml:space="preserve">6. Summary Comparison</w:t>
      </w:r>
    </w:p>
    <w:p>
      <w:pPr>
        <w:pStyle w:val="Heading2"/>
        <w:spacing w:before="300" w:after="150"/>
      </w:pPr>
      <w:r>
        <w:rPr>
          <w:rFonts w:ascii="Arial" w:cs="Arial" w:eastAsia="Arial" w:hAnsi="Arial"/>
          <w:b/>
          <w:bCs/>
          <w:color w:val="2E75B6"/>
          <w:sz w:val="26"/>
          <w:szCs w:val="26"/>
        </w:rPr>
        <w:t xml:space="preserve">6.1 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800"/>
        <w:gridCol w:w="2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 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 Capital</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FinTech (Art. 1b)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9-16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CHF 300k-1M+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deposits up to CHF 100M, no lending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VASP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SRO/FINMA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CHF 20k-100k</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Crypto-specific AML, Travel Rule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SRO Membership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VQF/SO-FIT etc.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(corp.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intermediary AML compliance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 Systems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FINMA/SNB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Adequate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if systemically important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Securities Firm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CHF 1.5M+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prudential supervision, FinSA conduct</w:t>
            </w:r>
          </w:p>
        </w:tc>
      </w:tr>
    </w:tbl>
    <w:p>
      <w:pPr>
        <w:pStyle w:val="Heading2"/>
        <w:spacing w:before="300" w:after="150"/>
      </w:pPr>
      <w:r>
        <w:rPr>
          <w:rFonts w:ascii="Arial" w:cs="Arial" w:eastAsia="Arial" w:hAnsi="Arial"/>
          <w:b/>
          <w:bCs/>
          <w:color w:val="2E75B6"/>
          <w:sz w:val="26"/>
          <w:szCs w:val="26"/>
        </w:rPr>
        <w:t xml:space="preserve">6.2 Document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Document Count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Document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FinTech License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45-50 items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governance, personnel, compliance, IT, audit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VASP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35-50 items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Corporate, business model, ownership, compliance, technical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SRO Membership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45-50 items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forms, corporate, business, governance, AML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 Systems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items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Corporate, business, governance, risk, technical,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Securities Firm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85-90 items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comprehensive: all above plus FinSA conduct, trading, capital</w:t>
            </w:r>
          </w:p>
        </w:tc>
      </w:tr>
    </w:tbl>
    <w:p>
      <w:pPr>
        <w:pStyle w:val="Heading2"/>
        <w:spacing w:before="300" w:after="150"/>
      </w:pPr>
      <w:r>
        <w:rPr>
          <w:rFonts w:ascii="Arial" w:cs="Arial" w:eastAsia="Arial" w:hAnsi="Arial"/>
          <w:b/>
          <w:bCs/>
          <w:color w:val="2E75B6"/>
          <w:sz w:val="26"/>
          <w:szCs w:val="26"/>
        </w:rPr>
        <w:t xml:space="preserve">6.3 Important Notes</w:t>
      </w:r>
    </w:p>
    <w:p>
      <w:pPr>
        <w:spacing w:after="120"/>
      </w:pPr>
      <w:r>
        <w:rPr>
          <w:rFonts w:ascii="Arial" w:cs="Arial" w:eastAsia="Arial" w:hAnsi="Arial"/>
          <w:sz w:val="20"/>
          <w:szCs w:val="20"/>
        </w:rPr>
        <w:t xml:space="preserve">1. FINMA Portal (EHP): Most applications are submitted via FINMA's electronic platform (Erhebungs- und Gesuchsplattform). Self-registration is required before accessing application forms.</w:t>
      </w:r>
    </w:p>
    <w:p>
      <w:pPr>
        <w:spacing w:after="120"/>
      </w:pPr>
      <w:r>
        <w:rPr>
          <w:rFonts w:ascii="Arial" w:cs="Arial" w:eastAsia="Arial" w:hAnsi="Arial"/>
          <w:sz w:val="20"/>
          <w:szCs w:val="20"/>
        </w:rPr>
        <w:t xml:space="preserve">2. Language: While English is accepted for many documents, German, French, or Italian may be required for official forms and communications with FINMA.</w:t>
      </w:r>
    </w:p>
    <w:p>
      <w:pPr>
        <w:spacing w:after="120"/>
      </w:pPr>
      <w:r>
        <w:rPr>
          <w:rFonts w:ascii="Arial" w:cs="Arial" w:eastAsia="Arial" w:hAnsi="Arial"/>
          <w:sz w:val="20"/>
          <w:szCs w:val="20"/>
        </w:rPr>
        <w:t xml:space="preserve">3. Case-by-Case Variations: FINMA may request additional documents based on business model complexity, risk profile, foreign ownership, or group affiliations.</w:t>
      </w:r>
    </w:p>
    <w:p>
      <w:pPr>
        <w:spacing w:after="120"/>
      </w:pPr>
      <w:r>
        <w:rPr>
          <w:rFonts w:ascii="Arial" w:cs="Arial" w:eastAsia="Arial" w:hAnsi="Arial"/>
          <w:sz w:val="20"/>
          <w:szCs w:val="20"/>
        </w:rPr>
        <w:t xml:space="preserve">4. Pre-Application: For FINMA licenses, presenting the licensing project to FINMA before formal submission is recommended (authorization@finma.ch).</w:t>
      </w:r>
    </w:p>
    <w:p>
      <w:pPr>
        <w:spacing w:after="120"/>
      </w:pPr>
      <w:r>
        <w:rPr>
          <w:rFonts w:ascii="Arial" w:cs="Arial" w:eastAsia="Arial" w:hAnsi="Arial"/>
          <w:sz w:val="20"/>
          <w:szCs w:val="20"/>
        </w:rPr>
        <w:t xml:space="preserve">5. Ongoing Requirements: All licenses have ongoing compliance, reporting, and audit requirements after initial authorization.</w:t>
      </w:r>
    </w:p>
    <w:p>
      <w:pPr>
        <w:spacing w:after="120"/>
      </w:pPr>
      <w:r>
        <w:rPr>
          <w:rFonts w:ascii="Arial" w:cs="Arial" w:eastAsia="Arial" w:hAnsi="Arial"/>
          <w:sz w:val="20"/>
          <w:szCs w:val="20"/>
        </w:rPr>
        <w:t xml:space="preserve">6. Professional Advice: Given the complexity, engaging Swiss regulatory lawyers and compliance consultants is strongly recommended.</w:t>
      </w:r>
    </w:p>
    <w:p>
      <w:pPr>
        <w:pStyle w:val="Heading2"/>
        <w:spacing w:before="300" w:after="150"/>
      </w:pPr>
      <w:r>
        <w:rPr>
          <w:rFonts w:ascii="Arial" w:cs="Arial" w:eastAsia="Arial" w:hAnsi="Arial"/>
          <w:b/>
          <w:bCs/>
          <w:color w:val="2E75B6"/>
          <w:sz w:val="26"/>
          <w:szCs w:val="26"/>
        </w:rPr>
        <w:t xml:space="preserve">6.4 Key Contacts</w:t>
      </w:r>
    </w:p>
    <w:p>
      <w:pPr>
        <w:spacing w:after="120"/>
      </w:pPr>
      <w:r>
        <w:rPr>
          <w:rFonts w:ascii="Arial" w:cs="Arial" w:eastAsia="Arial" w:hAnsi="Arial"/>
          <w:sz w:val="20"/>
          <w:szCs w:val="20"/>
        </w:rPr>
        <w:t xml:space="preserve">FINMA: Laupenstrasse 27, CH-3003 Bern | Hotline: +41 31 327 98 88 | authorization@finma.ch</w:t>
      </w:r>
    </w:p>
    <w:p>
      <w:pPr>
        <w:spacing w:after="120"/>
      </w:pPr>
      <w:r>
        <w:rPr>
          <w:rFonts w:ascii="Arial" w:cs="Arial" w:eastAsia="Arial" w:hAnsi="Arial"/>
          <w:sz w:val="20"/>
          <w:szCs w:val="20"/>
        </w:rPr>
        <w:t xml:space="preserve">VQF: Talstrasse 20, CH-8001 Zürich | +41 44 296 16 16 | info@vqf.ch</w:t>
      </w:r>
    </w:p>
    <w:p>
      <w:pPr>
        <w:spacing w:after="120"/>
      </w:pPr>
      <w:r>
        <w:rPr>
          <w:rFonts w:ascii="Arial" w:cs="Arial" w:eastAsia="Arial" w:hAnsi="Arial"/>
          <w:sz w:val="20"/>
          <w:szCs w:val="20"/>
        </w:rPr>
        <w:t xml:space="preserve">SO-FIT: Route de Pré-Bois 29, CH-1215 Genève | +41 22 710 04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2026-02-14T15:17:06.644Z</dcterms:created>
  <dcterms:modified xsi:type="dcterms:W3CDTF">2026-02-14T15:17:06.645Z</dcterms:modified>
</cp:coreProperties>
</file>

<file path=docProps/custom.xml><?xml version="1.0" encoding="utf-8"?>
<Properties xmlns="http://schemas.openxmlformats.org/officeDocument/2006/custom-properties" xmlns:vt="http://schemas.openxmlformats.org/officeDocument/2006/docPropsVTypes"/>
</file>