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vml" xmlns:ns11="urn:schemas-microsoft-com:office:office" xmlns:ns12="urn:schemas-microsoft-com:office:word"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word/2010/wordprocessingShape" xmlns:ns9="http://schemas.microsoft.com/office/drawing/2010/main" xmlns:w="http://schemas.openxmlformats.org/wordprocessingml/2006/main" ns1:Ignorable="w14 w15 w16se w16cid w16 w16cex w16sdtdh w16sdtfl w16du wp14">
  <w:body>
    <w:p ns2:paraId="08D69D5C" ns2:textId="7C29DC80" w:rsidP="008A3F71" w:rsidR="008A3F71" w:rsidRDefault="008A3F71" w:rsidRPr="0064423E">
      <w:pPr>
        <w:rPr>
          <w:rFonts w:ascii="Arial" w:cs="Arial" w:hAnsi="Arial"/>
        </w:rPr>
      </w:pPr>
      <w:r w:rsidRPr="0064423E">
        <w:rPr>
          <w:rFonts w:ascii="Arial" w:cs="Arial" w:hAnsi="Arial"/>
        </w:rPr>
        <w:t>Impact of sub</w:t>
      </w:r>
      <w:r w:rsidR="005E1B7C" w:rsidRPr="0064423E">
        <w:rPr>
          <w:rFonts w:ascii="Arial" w:cs="Arial" w:hAnsi="Arial"/>
        </w:rPr>
        <w:t>phenotype</w:t>
      </w:r>
      <w:r w:rsidRPr="0064423E">
        <w:rPr>
          <w:rFonts w:ascii="Arial" w:cs="Arial" w:hAnsi="Arial"/>
        </w:rPr>
        <w:t xml:space="preserve"> misclassification on detecting heterogeneous treatment effects in </w:t>
      </w:r>
      <w:r w:rsidRPr="0064423E">
        <w:rPr>
          <w:rFonts w:ascii="Arial" w:cs="Arial" w:hAnsi="Arial"/>
          <w:i/>
          <w:iCs/>
        </w:rPr>
        <w:t>Staphylococcus aureus</w:t>
      </w:r>
      <w:r w:rsidRPr="0064423E">
        <w:rPr>
          <w:rFonts w:ascii="Arial" w:cs="Arial" w:hAnsi="Arial"/>
        </w:rPr>
        <w:t xml:space="preserve"> bacteraemia: A simulation study</w:t>
      </w:r>
      <w:r w:rsidR="005E1B7C" w:rsidRPr="0064423E">
        <w:rPr>
          <w:rFonts w:ascii="Arial" w:cs="Arial" w:hAnsi="Arial"/>
        </w:rPr>
        <w:t>.</w:t>
      </w:r>
    </w:p>
    <w:p ns2:paraId="3ECF988E" ns2:textId="77777777" w:rsidP="008A3F71" w:rsidR="001D2FD0" w:rsidRDefault="001D2FD0" w:rsidRPr="0064423E">
      <w:pPr>
        <w:rPr>
          <w:rFonts w:ascii="Arial" w:cs="Arial" w:hAnsi="Arial"/>
        </w:rPr>
      </w:pPr>
    </w:p>
    <w:p ns2:paraId="058DE608" ns2:textId="6365AFCD" w:rsidP="008A3F71" w:rsidR="001D2FD0" w:rsidRDefault="001D2FD0" w:rsidRPr="0064423E">
      <w:pPr>
        <w:rPr>
          <w:rFonts w:ascii="Arial" w:cs="Arial" w:hAnsi="Arial"/>
        </w:rPr>
      </w:pPr>
      <w:r w:rsidRPr="0064423E">
        <w:rPr>
          <w:rFonts w:ascii="Arial" w:cs="Arial" w:hAnsi="Arial"/>
        </w:rPr>
        <w:t>Fergus Hamilton</w:t>
      </w:r>
      <w:r w:rsidR="00A54F99" w:rsidRPr="0064423E">
        <w:rPr>
          <w:rFonts w:ascii="Arial" w:cs="Arial" w:hAnsi="Arial"/>
          <w:vertAlign w:val="superscript"/>
        </w:rPr>
        <w:t>1</w:t>
      </w:r>
      <w:r w:rsidR="00FD1D66" w:rsidRPr="0064423E">
        <w:rPr>
          <w:rFonts w:ascii="Arial" w:cs="Arial" w:hAnsi="Arial"/>
          <w:vertAlign w:val="superscript"/>
        </w:rPr>
        <w:t>,2</w:t>
      </w:r>
      <w:r w:rsidR="0049470B" w:rsidRPr="0064423E">
        <w:rPr>
          <w:rFonts w:ascii="Arial" w:cs="Arial" w:hAnsi="Arial"/>
        </w:rPr>
        <w:t xml:space="preserve">, </w:t>
      </w:r>
      <w:r w:rsidR="00833E0A" w:rsidRPr="0064423E">
        <w:rPr>
          <w:rFonts w:ascii="Arial" w:cs="Arial" w:hAnsi="Arial"/>
        </w:rPr>
        <w:t xml:space="preserve">Sean Ong, </w:t>
      </w:r>
      <w:r w:rsidR="002E0276">
        <w:rPr>
          <w:rFonts w:ascii="Arial" w:cs="Arial" w:hAnsi="Arial"/>
        </w:rPr>
        <w:t xml:space="preserve">Maaike Swets, Jon Underwood, </w:t>
      </w:r>
      <w:r w:rsidR="0049470B" w:rsidRPr="0064423E">
        <w:rPr>
          <w:rFonts w:ascii="Arial" w:cs="Arial" w:hAnsi="Arial"/>
        </w:rPr>
        <w:t>Clark Russell</w:t>
      </w:r>
    </w:p>
    <w:p ns2:paraId="4256B32B" ns2:textId="4123F6B9" w:rsidP="00FD1D66" w:rsidR="00FD1D66" w:rsidRDefault="00FD1D66" w:rsidRPr="0064423E">
      <w:pPr>
        <w:pStyle w:val="ListParagraph"/>
        <w:numPr>
          <w:ilvl w:val="0"/>
          <w:numId w:val="10"/>
        </w:numPr>
        <w:rPr>
          <w:rFonts w:ascii="Arial" w:cs="Arial" w:hAnsi="Arial"/>
        </w:rPr>
      </w:pPr>
      <w:r w:rsidRPr="0064423E">
        <w:rPr>
          <w:rFonts w:ascii="Arial" w:cs="Arial" w:hAnsi="Arial"/>
        </w:rPr>
        <w:t>Infection Science, North Bristol NHS Trust</w:t>
      </w:r>
    </w:p>
    <w:p ns2:paraId="3B2A6303" ns2:textId="0811C5F9" w:rsidP="00FD1D66" w:rsidR="00FD1D66" w:rsidRDefault="00FD1D66" w:rsidRPr="0064423E">
      <w:pPr>
        <w:pStyle w:val="ListParagraph"/>
        <w:numPr>
          <w:ilvl w:val="0"/>
          <w:numId w:val="10"/>
        </w:numPr>
        <w:rPr>
          <w:rFonts w:ascii="Arial" w:cs="Arial" w:hAnsi="Arial"/>
        </w:rPr>
      </w:pPr>
      <w:r w:rsidRPr="0064423E">
        <w:rPr>
          <w:rFonts w:ascii="Arial" w:cs="Arial" w:hAnsi="Arial"/>
        </w:rPr>
        <w:t>MRC Integrative Epidemiology Unit, University of Bristol.</w:t>
      </w:r>
    </w:p>
    <w:p ns2:paraId="17D7F951" ns2:textId="77777777" w:rsidP="00A54F99" w:rsidR="00A54F99" w:rsidRDefault="00A54F99" w:rsidRPr="0064423E">
      <w:pPr>
        <w:spacing w:after="0" w:line="240" w:lineRule="auto"/>
        <w:jc w:val="both"/>
        <w:rPr>
          <w:rFonts w:ascii="Arial" w:cs="Arial" w:hAnsi="Arial"/>
        </w:rPr>
      </w:pPr>
    </w:p>
    <w:p ns2:paraId="183BC0B3" ns2:textId="4B6F0966" w:rsidP="008A3F71" w:rsidR="00A54F99" w:rsidRDefault="00A54F99" w:rsidRPr="0064423E">
      <w:pPr>
        <w:rPr>
          <w:rFonts w:ascii="Arial" w:cs="Arial" w:hAnsi="Arial"/>
        </w:rPr>
      </w:pPr>
      <w:hyperlink ns3:id="rId5" w:history="1">
        <w:r w:rsidRPr="0064423E">
          <w:rPr>
            <w:rStyle w:val="Hyperlink"/>
            <w:rFonts w:ascii="Arial" w:cs="Arial" w:hAnsi="Arial"/>
          </w:rPr>
          <w:t>Fergus.hamilton@bristol.ac.uk</w:t>
        </w:r>
      </w:hyperlink>
    </w:p>
    <w:p ns2:paraId="547A7C11" ns2:textId="77777777" w:rsidP="00FD1D66" w:rsidR="00FD1D66" w:rsidRDefault="00FD1D66" w:rsidRPr="0064423E">
      <w:pPr>
        <w:spacing w:after="0" w:line="240" w:lineRule="auto"/>
        <w:jc w:val="both"/>
        <w:rPr>
          <w:rFonts w:ascii="Arial" w:cs="Arial" w:hAnsi="Arial"/>
        </w:rPr>
      </w:pPr>
      <w:r w:rsidRPr="0064423E">
        <w:rPr>
          <w:rFonts w:ascii="Arial" w:cs="Arial" w:hAnsi="Arial"/>
        </w:rPr>
        <w:t xml:space="preserve">NIHR Clinical Lecturer in Aetiological Epidemiology, </w:t>
      </w:r>
    </w:p>
    <w:p ns2:paraId="7FEDE4B2" ns2:textId="77777777" w:rsidP="00FD1D66" w:rsidR="00FD1D66" w:rsidRDefault="00FD1D66" w:rsidRPr="0064423E">
      <w:pPr>
        <w:spacing w:after="0" w:line="240" w:lineRule="auto"/>
        <w:jc w:val="both"/>
        <w:rPr>
          <w:rFonts w:ascii="Arial" w:cs="Arial" w:hAnsi="Arial"/>
        </w:rPr>
      </w:pPr>
      <w:r w:rsidRPr="0064423E">
        <w:rPr>
          <w:rFonts w:ascii="Arial" w:cs="Arial" w:hAnsi="Arial"/>
        </w:rPr>
        <w:t xml:space="preserve">Infection Science, </w:t>
      </w:r>
    </w:p>
    <w:p ns2:paraId="70BCB0AD" ns2:textId="79F67B87" w:rsidP="00FD1D66" w:rsidR="00FD1D66" w:rsidRDefault="00FD1D66" w:rsidRPr="0064423E">
      <w:pPr>
        <w:spacing w:after="0" w:line="240" w:lineRule="auto"/>
        <w:jc w:val="both"/>
        <w:rPr>
          <w:rFonts w:ascii="Arial" w:cs="Arial" w:hAnsi="Arial"/>
        </w:rPr>
      </w:pPr>
      <w:r w:rsidRPr="0064423E">
        <w:rPr>
          <w:rFonts w:ascii="Arial" w:cs="Arial" w:hAnsi="Arial"/>
        </w:rPr>
        <w:t>North Bristol NHS Trust</w:t>
      </w:r>
    </w:p>
    <w:p ns2:paraId="00655443" ns2:textId="31A866F5" w:rsidR="00121D97" w:rsidRDefault="00FD1D66" w:rsidRPr="0064423E">
      <w:pPr>
        <w:rPr>
          <w:rFonts w:ascii="Arial" w:cs="Arial" w:hAnsi="Arial"/>
        </w:rPr>
      </w:pPr>
      <w:r w:rsidRPr="0064423E">
        <w:rPr>
          <w:rFonts w:ascii="Arial" w:cs="Arial" w:hAnsi="Arial"/>
        </w:rPr>
        <w:t>Bristol BS10 5NB</w:t>
      </w:r>
      <w:r w:rsidR="00121D97" w:rsidRPr="0064423E">
        <w:rPr>
          <w:rFonts w:ascii="Arial" w:cs="Arial" w:hAnsi="Arial"/>
        </w:rPr>
        <w:br w:type="page"/>
      </w:r>
    </w:p>
    <w:p ns2:paraId="2AD6CDAD" ns2:textId="77777777" w:rsidP="00E31D54" w:rsidR="00E31D54" w:rsidRDefault="00E31D54" w:rsidRPr="0064423E">
      <w:pPr>
        <w:rPr>
          <w:rFonts w:ascii="Arial" w:cs="Arial" w:hAnsi="Arial"/>
        </w:rPr>
      </w:pPr>
      <w:r w:rsidRPr="0064423E">
        <w:rPr>
          <w:rFonts w:ascii="Arial" w:cs="Arial" w:hAnsi="Arial"/>
        </w:rPr>
        <w:lastRenderedPageBreak/>
        <w:t>Background</w:t>
      </w:r>
    </w:p>
    <w:p ns2:paraId="6256AEFD" ns2:textId="7D009346" w:rsidP="00E31D54" w:rsidR="00E31D54" w:rsidRDefault="00E31D54" w:rsidRPr="0064423E">
      <w:pPr>
        <w:rPr>
          <w:rFonts w:ascii="Arial" w:cs="Arial" w:hAnsi="Arial"/>
        </w:rPr>
      </w:pPr>
      <w:r w:rsidRPr="0064423E">
        <w:rPr>
          <w:rFonts w:ascii="Arial" w:cs="Arial" w:hAnsi="Arial"/>
        </w:rPr>
        <w:t>Staphylococcus aureus bacteraemia (SAB) is clinically heterogeneous. Recently identified</w:t>
      </w:r>
      <w:r w:rsidR="00833E0A" w:rsidRPr="0064423E">
        <w:rPr>
          <w:rFonts w:ascii="Arial" w:cs="Arial" w:hAnsi="Arial"/>
        </w:rPr>
        <w:t>, reproducible</w:t>
      </w:r>
      <w:r w:rsidRPr="0064423E">
        <w:rPr>
          <w:rFonts w:ascii="Arial" w:cs="Arial" w:hAnsi="Arial"/>
        </w:rPr>
        <w:t xml:space="preserve"> subphenotypes suggest potential for heterogeneous treatment effects (HTE), but the impact of patient misclassification on detecting these effects is unclear</w:t>
      </w:r>
      <w:r w:rsidR="00D81741">
        <w:rPr>
          <w:rFonts w:ascii="Arial" w:cs="Arial" w:hAnsi="Arial"/>
        </w:rPr>
        <w:t xml:space="preserve">, and strategies to improve detection </w:t>
      </w:r>
      <w:r w:rsidR="00BF4AE2">
        <w:rPr>
          <w:rFonts w:ascii="Arial" w:cs="Arial" w:hAnsi="Arial"/>
        </w:rPr>
        <w:t xml:space="preserve">of HTE </w:t>
      </w:r>
      <w:r w:rsidR="00D81741">
        <w:rPr>
          <w:rFonts w:ascii="Arial" w:cs="Arial" w:hAnsi="Arial"/>
        </w:rPr>
        <w:t>are not yet identified</w:t>
      </w:r>
      <w:r w:rsidR="00BF4AE2">
        <w:rPr>
          <w:rFonts w:ascii="Arial" w:cs="Arial" w:hAnsi="Arial"/>
        </w:rPr>
        <w:t>.</w:t>
      </w:r>
    </w:p>
    <w:p ns2:paraId="32841C5E" ns2:textId="77777777" w:rsidP="00E31D54" w:rsidR="00E31D54" w:rsidRDefault="00E31D54" w:rsidRPr="0064423E">
      <w:pPr>
        <w:rPr>
          <w:rFonts w:ascii="Arial" w:cs="Arial" w:hAnsi="Arial"/>
        </w:rPr>
      </w:pPr>
      <w:r w:rsidRPr="0064423E">
        <w:rPr>
          <w:rFonts w:ascii="Arial" w:cs="Arial" w:hAnsi="Arial"/>
        </w:rPr>
        <w:t>Methods</w:t>
      </w:r>
    </w:p>
    <w:p ns2:paraId="08297E1D" ns2:textId="4DDAF8AA" w:rsidP="00E31D54" w:rsidR="00E31D54" w:rsidRDefault="00E31D54" w:rsidRPr="0064423E">
      <w:pPr>
        <w:rPr>
          <w:rFonts w:ascii="Arial" w:cs="Arial" w:hAnsi="Arial"/>
        </w:rPr>
      </w:pPr>
      <w:r>
        <w:t>We performed a simulation study using recent data from randomised trials and observational studies in SAB. We assessed the impact classification accuracy (70%-100%) on i) power, ii) type 1 error, and iii) bias in post-hoc analyses of HTE. We modelled two strategies to try and maximise power and reduce bias; first by performing enrichment trials (e.g. only randomising those who are predicted to be in a subphenotype), and secondly, by using ordinal outcomes rather than binary outcomes.</w:t>
      </w:r>
    </w:p>
    <w:p ns2:paraId="3AD7DA07" ns2:textId="77777777" w:rsidP="00E31D54" w:rsidR="00E31D54" w:rsidRDefault="00E31D54" w:rsidRPr="0064423E">
      <w:pPr>
        <w:rPr>
          <w:rFonts w:ascii="Arial" w:cs="Arial" w:hAnsi="Arial"/>
        </w:rPr>
      </w:pPr>
      <w:r w:rsidRPr="0064423E">
        <w:rPr>
          <w:rFonts w:ascii="Arial" w:cs="Arial" w:hAnsi="Arial"/>
        </w:rPr>
        <w:t>Results</w:t>
      </w:r>
    </w:p>
    <w:p ns2:paraId="35FFEA88" ns2:textId="26427407" w:rsidP="00E31D54" w:rsidR="00E31D54" w:rsidRDefault="00E31D54" w:rsidRPr="0064423E">
      <w:pPr>
        <w:rPr>
          <w:rFonts w:ascii="Arial" w:cs="Arial" w:hAnsi="Arial"/>
        </w:rPr>
      </w:pPr>
      <w:r w:rsidRPr="0064423E">
        <w:rPr>
          <w:rFonts w:ascii="Arial" w:cs="Arial" w:hAnsi="Arial"/>
        </w:rPr>
        <w:t xml:space="preserve">Even with perfect classification, </w:t>
      </w:r>
      <w:r w:rsidR="00D81EF5">
        <w:rPr>
          <w:rFonts w:ascii="Arial" w:cs="Arial" w:hAnsi="Arial"/>
        </w:rPr>
        <w:t xml:space="preserve">based on effect sizes </w:t>
      </w:r>
      <w:r w:rsidR="00926EAC">
        <w:rPr>
          <w:rFonts w:ascii="Arial" w:cs="Arial" w:hAnsi="Arial"/>
        </w:rPr>
        <w:t>on 84</w:t>
      </w:r>
      <w:r w:rsidR="005048FB">
        <w:rPr>
          <w:rFonts w:ascii="Arial" w:cs="Arial" w:hAnsi="Arial"/>
        </w:rPr>
        <w:t>-</w:t>
      </w:r>
      <w:r w:rsidR="00926EAC">
        <w:rPr>
          <w:rFonts w:ascii="Arial" w:cs="Arial" w:hAnsi="Arial"/>
        </w:rPr>
        <w:t xml:space="preserve">day mortality </w:t>
      </w:r>
      <w:r w:rsidR="00D81EF5">
        <w:rPr>
          <w:rFonts w:ascii="Arial" w:cs="Arial" w:hAnsi="Arial"/>
        </w:rPr>
        <w:t>seen for adjunctive rifampicin</w:t>
      </w:r>
      <w:r w:rsidRPr="0064423E">
        <w:rPr>
          <w:rFonts w:ascii="Arial" w:cs="Arial" w:hAnsi="Arial"/>
        </w:rPr>
        <w:t xml:space="preserve">, post-hoc analyses required very large trials (often &gt;20,000 participants) to achieve adequate power for most subphenotypes. Decreasing classification accuracy markedly reduced power, </w:t>
      </w:r>
      <w:r w:rsidR="009A5616">
        <w:rPr>
          <w:rFonts w:ascii="Arial" w:cs="Arial" w:hAnsi="Arial"/>
        </w:rPr>
        <w:t xml:space="preserve">increased type 1 error, and </w:t>
      </w:r>
      <w:r w:rsidRPr="0064423E">
        <w:rPr>
          <w:rFonts w:ascii="Arial" w:cs="Arial" w:hAnsi="Arial"/>
        </w:rPr>
        <w:t>introduced bias</w:t>
      </w:r>
      <w:r w:rsidR="009A5616">
        <w:rPr>
          <w:rFonts w:ascii="Arial" w:cs="Arial" w:hAnsi="Arial"/>
        </w:rPr>
        <w:t xml:space="preserve">. Enrichment </w:t>
      </w:r>
      <w:r w:rsidRPr="0064423E">
        <w:rPr>
          <w:rFonts w:ascii="Arial" w:cs="Arial" w:hAnsi="Arial"/>
        </w:rPr>
        <w:t xml:space="preserve">strategies </w:t>
      </w:r>
      <w:r w:rsidR="009A5616">
        <w:rPr>
          <w:rFonts w:ascii="Arial" w:cs="Arial" w:hAnsi="Arial"/>
        </w:rPr>
        <w:t xml:space="preserve">were unsuccessful </w:t>
      </w:r>
      <w:r w:rsidR="00A245F9">
        <w:rPr>
          <w:rFonts w:ascii="Arial" w:cs="Arial" w:hAnsi="Arial"/>
        </w:rPr>
        <w:t xml:space="preserve">due to extreme screening requirements. Ordinal outcomes </w:t>
      </w:r>
      <w:r w:rsidR="00172824">
        <w:rPr>
          <w:rFonts w:ascii="Arial" w:cs="Arial" w:hAnsi="Arial"/>
        </w:rPr>
        <w:t>increased statistical power</w:t>
      </w:r>
      <w:r w:rsidR="00612C4B">
        <w:rPr>
          <w:rFonts w:ascii="Arial" w:cs="Arial" w:hAnsi="Arial"/>
        </w:rPr>
        <w:t xml:space="preserve">, however this increased type 1 error due to the increased precision. Importantly, all results were highly conditional on subphenotype prevalence and mortality, which varied greatly between studies. </w:t>
      </w:r>
    </w:p>
    <w:p ns2:paraId="35D5335B" ns2:textId="77777777" w:rsidP="00E31D54" w:rsidR="00E31D54" w:rsidRDefault="00E31D54" w:rsidRPr="0064423E">
      <w:pPr>
        <w:rPr>
          <w:rFonts w:ascii="Arial" w:cs="Arial" w:hAnsi="Arial"/>
        </w:rPr>
      </w:pPr>
      <w:r w:rsidRPr="0064423E">
        <w:rPr>
          <w:rFonts w:ascii="Arial" w:cs="Arial" w:hAnsi="Arial"/>
        </w:rPr>
        <w:t>Conclusions</w:t>
      </w:r>
    </w:p>
    <w:p ns2:paraId="11153B2E" ns2:textId="16FCB477" w:rsidP="00E31D54" w:rsidR="00121D97" w:rsidRDefault="00E31D54" w:rsidRPr="0064423E">
      <w:pPr>
        <w:rPr>
          <w:rFonts w:ascii="Arial" w:cs="Arial" w:hAnsi="Arial"/>
        </w:rPr>
      </w:pPr>
      <w:r w:rsidRPr="0064423E">
        <w:rPr>
          <w:rFonts w:ascii="Arial" w:cs="Arial" w:hAnsi="Arial"/>
        </w:rPr>
        <w:t xml:space="preserve">Detecting HTE in SAB is challenging, demanding extremely large trials and highly accurate </w:t>
      </w:r>
      <w:r w:rsidR="005048FB">
        <w:rPr>
          <w:rFonts w:ascii="Arial" w:cs="Arial" w:hAnsi="Arial"/>
        </w:rPr>
        <w:t>subphenotype</w:t>
      </w:r>
      <w:r w:rsidRPr="0064423E">
        <w:rPr>
          <w:rFonts w:ascii="Arial" w:cs="Arial" w:hAnsi="Arial"/>
        </w:rPr>
        <w:t xml:space="preserve"> classification. To advance stratified medicine in SAB, research should prioritize developing robust classifiers (sensitivity and specificity &gt;95%)</w:t>
      </w:r>
      <w:r w:rsidR="00612C4B">
        <w:rPr>
          <w:rFonts w:ascii="Arial" w:cs="Arial" w:hAnsi="Arial"/>
        </w:rPr>
        <w:t xml:space="preserve"> </w:t>
      </w:r>
      <w:r w:rsidR="00F27803">
        <w:rPr>
          <w:rFonts w:ascii="Arial" w:cs="Arial" w:hAnsi="Arial"/>
        </w:rPr>
        <w:t xml:space="preserve">and </w:t>
      </w:r>
      <w:r w:rsidR="00612C4B">
        <w:rPr>
          <w:rFonts w:ascii="Arial" w:cs="Arial" w:hAnsi="Arial"/>
        </w:rPr>
        <w:t>use</w:t>
      </w:r>
      <w:r w:rsidR="00F27803">
        <w:rPr>
          <w:rFonts w:ascii="Arial" w:cs="Arial" w:hAnsi="Arial"/>
        </w:rPr>
        <w:t xml:space="preserve"> </w:t>
      </w:r>
      <w:r w:rsidR="009739E0">
        <w:rPr>
          <w:rFonts w:ascii="Arial" w:cs="Arial" w:hAnsi="Arial"/>
        </w:rPr>
        <w:t>statistically efficient</w:t>
      </w:r>
      <w:r w:rsidR="00F27803">
        <w:rPr>
          <w:rFonts w:ascii="Arial" w:cs="Arial" w:hAnsi="Arial"/>
        </w:rPr>
        <w:t xml:space="preserve"> outcomes </w:t>
      </w:r>
      <w:r w:rsidR="00612C4B">
        <w:rPr>
          <w:rFonts w:ascii="Arial" w:cs="Arial" w:hAnsi="Arial"/>
        </w:rPr>
        <w:t>and</w:t>
      </w:r>
      <w:r w:rsidR="00F27803">
        <w:rPr>
          <w:rFonts w:ascii="Arial" w:cs="Arial" w:hAnsi="Arial"/>
        </w:rPr>
        <w:t xml:space="preserve"> trial designs</w:t>
      </w:r>
      <w:r w:rsidR="00612C4B">
        <w:rPr>
          <w:rFonts w:ascii="Arial" w:cs="Arial" w:hAnsi="Arial"/>
        </w:rPr>
        <w:t>. Given th</w:t>
      </w:r>
      <w:r w:rsidR="00141153">
        <w:rPr>
          <w:rFonts w:ascii="Arial" w:cs="Arial" w:hAnsi="Arial"/>
        </w:rPr>
        <w:t>at trialists cannot be confident of prior subphenotype prevalences, designs that allow for adjusting sample sizes while trials are running (e.g. Bayesian approaches) are preferred.</w:t>
      </w:r>
    </w:p>
    <w:p ns2:paraId="69BB31BD" ns2:textId="77777777" w:rsidR="00CE767C" w:rsidRDefault="00CE767C" w:rsidRPr="0064423E">
      <w:pPr>
        <w:rPr>
          <w:rFonts w:ascii="Arial" w:cs="Arial" w:hAnsi="Arial"/>
          <w:u w:val="single"/>
        </w:rPr>
      </w:pPr>
      <w:r w:rsidRPr="0064423E">
        <w:rPr>
          <w:rFonts w:ascii="Arial" w:cs="Arial" w:hAnsi="Arial"/>
          <w:u w:val="single"/>
        </w:rPr>
        <w:br w:type="page"/>
      </w:r>
    </w:p>
    <w:p ns2:paraId="26952FB3" ns2:textId="55AD058F" w:rsidP="005A3FAB" w:rsidR="005A3FAB" w:rsidRDefault="00006A49" w:rsidRPr="0064423E">
      <w:pPr>
        <w:rPr>
          <w:rFonts w:ascii="Arial" w:cs="Arial" w:hAnsi="Arial"/>
          <w:u w:val="single"/>
        </w:rPr>
      </w:pPr>
      <w:r w:rsidRPr="0064423E">
        <w:rPr>
          <w:rFonts w:ascii="Arial" w:cs="Arial" w:hAnsi="Arial"/>
          <w:u w:val="single"/>
        </w:rPr>
        <w:lastRenderedPageBreak/>
        <w:t>Introduction</w:t>
      </w:r>
    </w:p>
    <w:p ns2:paraId="5800A6D8" ns2:textId="5DF9678F" w:rsidP="005A3FAB" w:rsidR="005A3FAB" w:rsidRDefault="005A3FAB" w:rsidRPr="0064423E">
      <w:pPr>
        <w:rPr>
          <w:rFonts w:ascii="Arial" w:cs="Arial" w:hAnsi="Arial"/>
        </w:rPr>
      </w:pPr>
      <w:r w:rsidRPr="0064423E">
        <w:rPr>
          <w:rFonts w:ascii="Arial" w:cs="Arial" w:hAnsi="Arial"/>
        </w:rPr>
        <w:t>Staphylococcus aureus bacteraemia (SAB) is a common and serious infection associated with significant morbidity and mortality.</w:t>
      </w:r>
      <w:r w:rsidR="004E35F3" w:rsidRPr="0064423E">
        <w:rPr>
          <w:rFonts w:ascii="Arial" w:cs="Arial" w:hAnsi="Arial"/>
        </w:rPr>
        <w:fldChar w:fldCharType="begin"/>
      </w:r>
      <w:r w:rsidR="00FB06CB">
        <w:rPr>
          <w:rFonts w:ascii="Arial" w:cs="Arial" w:hAnsi="Arial"/>
        </w:rPr>
        <w:instrText xml:space="preserve"> ADDIN ZOTERO_ITEM CSL_CITATION {"citationID":"CTF4cJUG","properties":{"formattedCitation":"\\super 1,2\\nosupersub{}","plainCitation":"1,2","noteIndex":0},"citationItems":[{"id":6819,"uris":["http://zotero.org/users/66919/items/2B4N2QIU"],"itemData":{"id":6819,"type":"article-journal","abstract":"BACKGROUND: Reducing the burden of death due to infection is an urgent global public health priority. Previous studies have estimated the number of deaths associated with drug-resistant infections and sepsis and found that infections remain a leading cause of death globally. Understanding the global burden of common bacterial pathogens (both susceptible and resistant to antimicrobials) is essential to identify the greatest threats to public health. To our knowledge, this is the first study to present global comprehensive estimates of deaths associated with 33 bacterial pathogens across 11 major infectious syndromes. METHODS: We estimated deaths associated with 33 bacterial genera or species across 11 infectious syndromes in 2019 using methods from the Global Burden of Diseases, Injuries, and Risk Factors Study (GBD) 2019, in addition to a subset of the input data described in the Global Burden of Antimicrobial Resistance 2019 study. This study included 343 million individual records or isolates covering 11 361 study-location-years. We used three modelling steps to estimate the number of deaths associated with each pathogen: deaths in which infection had a role, the fraction of deaths due to infection that are attributable to a given infectious syndrome, and the fraction of deaths due to an infectious syndrome that are attributable to a given pathogen. Estimates were produced for all ages and for males and females across 204 countries and territories in 2019. 95% uncertainty intervals (UIs) were calculated for final estimates of deaths and infections associated with the 33 bacterial pathogens following standard GBD methods by taking the 2·5th and 97·5th percentiles across 1000 posterior draws for each quantity of interest. FINDINGS: From an estimated 13·7 million (95% UI 10·9-17·1) infection-related deaths in 2019, there were 7·7 million deaths (5·7-10·2) associated with the 33 bacterial pathogens (both resistant and susceptible to antimicrobials) across the 11 infectious syndromes estimated in this study. We estimated deaths associated with the 33 bacterial pathogens to comprise 13·6% (10·2-18·1) of all global deaths and 56·2% (52·1-60·1) of all sepsis-related deaths in 2019. Five leading pathogens-Staphylococcus aureus, Escherichia coli, Streptococcus pneumoniae, Klebsiella pneumoniae, and Pseudomonas aeruginosa-were responsible for 54·9% (52·9-56·9) of deaths among the investigated bacteria. The deadliest infectious syndromes and pathogens varied by location and age. The age-standardised mortality rate associated with these bacterial pathogens was highest in the sub-Saharan Africa super-region, with 230 deaths (185-285) per 100 000 population, and lowest in the high-income super-region, with 52·2 deaths (37·4-71·5) per 100 000 population. S aureus was the leading bacterial cause of death in 135 countries and was also associated with the most deaths in individuals older than 15 years, globally. Among children younger than 5 years, S pneumoniae was the pathogen associated with the most deaths. In 2019, more than 6 million deaths occurred as a result of three bacterial infectious syndromes, with lower respiratory infections and bloodstream infections each causing more than 2 million deaths and peritoneal and intra-abdominal infections causing more than 1 million deaths. INTERPRETATION: The 33 bacterial pathogens that we investigated in this study are a substantial source of health loss globally, with considerable variation in their distribution across infectious syndromes and locations. Compared with GBD Level 3 underlying causes of death, deaths associated with these bacteria would rank as the second leading cause of death globally in 2019; hence, they should be considered an urgent priority for intervention within the global health community. Strategies to address the burden of bacterial infections include infection prevention, optimised use of antibiotics, improved capacity for microbiological analysis, vaccine development, and improved and more pervasive use of available vaccines. These estimates can be used to help set priorities for vaccine need, demand, and development. FUNDING: Bill &amp; Melinda Gates Foundation, Wellcome Trust, and Department of Health and Social Care, using UK aid funding managed by the Fleming Fund.","citation-key":"gbd2019antimicrobialresistancecollaboratorsGlobalMortalityAssociated2022","container-title":"Lancet","issue":"10369","language":"en","page":"2221–2248","publisher":"Elsevier","title":"Global mortality associated with 33 bacterial pathogens in 2019: a systematic analysis for the Global Burden of Disease Study 2019","volume":"400","author":[{"literal":"GBD 2019 Antimicrobial Resistance Collaborators"}],"issued":{"date-parts":[["2022",12]]}}},{"id":2094,"uris":["http://zotero.org/users/66919/items/XDS52JPR","http://zotero.org/users/66919/items/VV8FMFEA"],"itemData":{"id":2094,"type":"article-journal","abstract":"Staphylococcus aureus is a major human pathogen that causes a wide range of clinical infections. It is a leading cause of bacteremia and infective endocarditis as well as osteoarticular, skin and soft tissue, pleuropulmonary, and device-related infections. This review comprehensively covers the epidemiology, pathophysiology, clinical manifestations, and management of each of these clinical entities. The past 2 decades have witnessed two clear shifts in the epidemiology of S. aureus infections: first, a growing number of health care-associated infections, particularly seen in infective endocarditis and prosthetic device infections, and second, an epidemic of community-associated skin and soft tissue infections driven by strains with certain virulence factors and resistance to β-lactam antibiotics. In reviewing the literature to support management strategies for these clinical manifestations, we also highlight the paucity of high-quality evidence for many key clinical questions.","citation-key":"tongStaphylococcusAureusInfections2015","container-title":"Clinical Microbiology Reviews","issue":"3","journalAbbreviation":"Clin. Microbiol. Rev.","language":"English","page":"603–661","title":"Staphylococcus aureus infections: epidemiology, pathophysiology, clinical manifestations, and management","volume":"28","author":[{"family":"Tong","given":"Steven Y C"},{"family":"Davis","given":"Joshua S"},{"family":"Eichenberger","given":"Emily"},{"family":"Holland","given":"Thomas L"},{"family":"Fowler, Jr","given":"Vance G"}],"issued":{"date-parts":[["2015",7]]}}}],"schema":"https://github.com/citation-style-language/schema/raw/master/csl-citation.json"} </w:instrText>
      </w:r>
      <w:r w:rsidR="004E35F3" w:rsidRPr="0064423E">
        <w:rPr>
          <w:rFonts w:ascii="Arial" w:cs="Arial" w:hAnsi="Arial"/>
        </w:rPr>
        <w:fldChar w:fldCharType="separate"/>
      </w:r>
      <w:r w:rsidR="00E4230D" w:rsidRPr="0064423E">
        <w:rPr>
          <w:rFonts w:ascii="Arial" w:cs="Arial" w:hAnsi="Arial"/>
          <w:kern w:val="0"/>
          <w:vertAlign w:val="superscript"/>
        </w:rPr>
        <w:t>1,2</w:t>
      </w:r>
      <w:r w:rsidR="004E35F3" w:rsidRPr="0064423E">
        <w:rPr>
          <w:rFonts w:ascii="Arial" w:cs="Arial" w:hAnsi="Arial"/>
        </w:rPr>
        <w:fldChar w:fldCharType="end"/>
      </w:r>
      <w:r w:rsidR="004E35F3" w:rsidRPr="0064423E">
        <w:rPr>
          <w:rFonts w:ascii="Arial" w:cs="Arial" w:hAnsi="Arial"/>
        </w:rPr>
        <w:t xml:space="preserve"> </w:t>
      </w:r>
      <w:r w:rsidRPr="0064423E">
        <w:rPr>
          <w:rFonts w:ascii="Arial" w:cs="Arial" w:hAnsi="Arial"/>
        </w:rPr>
        <w:t>A defining feature of SAB is its clinical heterogeneity, encompassing variations in patient characteristics (e.g., age, comorbidities), pathogen factors (e.g., methicillin</w:t>
      </w:r>
      <w:r w:rsidR="00F27803">
        <w:rPr>
          <w:rFonts w:ascii="Arial" w:cs="Arial" w:hAnsi="Arial"/>
        </w:rPr>
        <w:t>-</w:t>
      </w:r>
      <w:r w:rsidRPr="0064423E">
        <w:rPr>
          <w:rFonts w:ascii="Arial" w:cs="Arial" w:hAnsi="Arial"/>
        </w:rPr>
        <w:t xml:space="preserve">resistance), </w:t>
      </w:r>
      <w:r w:rsidR="00F3796F">
        <w:rPr>
          <w:rFonts w:ascii="Arial" w:cs="Arial" w:hAnsi="Arial"/>
        </w:rPr>
        <w:t>portal of entry of bacteraemia</w:t>
      </w:r>
      <w:r w:rsidRPr="0064423E">
        <w:rPr>
          <w:rFonts w:ascii="Arial" w:cs="Arial" w:hAnsi="Arial"/>
        </w:rPr>
        <w:t xml:space="preserve">, and disease </w:t>
      </w:r>
      <w:r w:rsidR="00F3796F">
        <w:rPr>
          <w:rFonts w:ascii="Arial" w:cs="Arial" w:hAnsi="Arial"/>
        </w:rPr>
        <w:t>manifestations such as metastatic foci</w:t>
      </w:r>
      <w:r w:rsidRPr="0064423E">
        <w:rPr>
          <w:rFonts w:ascii="Arial" w:cs="Arial" w:hAnsi="Arial"/>
        </w:rPr>
        <w:t>.</w:t>
      </w:r>
      <w:r w:rsidR="00DA37FB" w:rsidRPr="0064423E">
        <w:rPr>
          <w:rFonts w:ascii="Arial" w:cs="Arial" w:hAnsi="Arial"/>
        </w:rPr>
        <w:fldChar w:fldCharType="begin"/>
      </w:r>
      <w:r w:rsidR="00FB06CB">
        <w:rPr>
          <w:rFonts w:ascii="Arial" w:cs="Arial" w:hAnsi="Arial"/>
        </w:rPr>
        <w:instrText xml:space="preserve"> ADDIN ZOTERO_ITEM CSL_CITATION {"citationID":"N57sqpbt","properties":{"formattedCitation":"\\super 3\\nosupersub{}","plainCitation":"3","noteIndex":0},"citationItems":[{"id":7211,"uris":["http://zotero.org/users/66919/items/F9WI6DJK"],"itemData":{"id":7211,"type":"article-journal","abstract":"We systematically evaluated randomized-controlled trials (RCTs) for Staphylococcus aureus bacteremia (SAB). There was intertrial heterogeneity in cohort characteristics, including bacteremia source, complicated SAB, and comorbidities. Reporting of cohort characteristics was itself variable, including bacteremia source and illness severity. Selection bias was introduced by exclusion criteria relating to comorbidities, illness severity, infection types, and source control. Mortality was lower in RCT control arms compared with observational cohorts. Differences in outcome definitions impedes meta-analysis. These issues complicate the interpretation and application of SAB RCT results. The value of these trials should be maximized by a standardized approach to recruitment, definitions, and reporting., RCTs of medical therapy for SAB contain intertrial heterogeneity in clinically important cohort characteristics. Reporting of cohort characteristics and definitions of outcomes are variable. Some exclusion criteria introduce selection biases. These issues complicate the interpretation and application of results.","citation-key":"dolbyHeterogeneityStaphylococcusAureus2022","container-title":"The Journal of Infectious Diseases","DOI":"10.1093/infdis/jiac219","ISSN":"0022-1899","issue":"4","journalAbbreviation":"J Infect Dis","page":"723-728","PMID":"35639909","PMCID":"PMC9441204","source":"PubMed Central","title":"Heterogeneity in Staphylococcus aureus Bacteraemia Clinical Trials Complicates Interpretation of Findings","volume":"226","author":[{"family":"Dolby","given":"Heather W"},{"family":"Clifford","given":"Sarah A"},{"family":"Laurenson","given":"Ian F"},{"family":"Fowler","given":"Vance G"},{"family":"Russell","given":"Clark D"}],"issued":{"date-parts":[["2022",5,27]]}}}],"schema":"https://github.com/citation-style-language/schema/raw/master/csl-citation.json"} </w:instrText>
      </w:r>
      <w:r w:rsidR="00DA37FB" w:rsidRPr="0064423E">
        <w:rPr>
          <w:rFonts w:ascii="Arial" w:cs="Arial" w:hAnsi="Arial"/>
        </w:rPr>
        <w:fldChar w:fldCharType="separate"/>
      </w:r>
      <w:r w:rsidR="00DA37FB" w:rsidRPr="0064423E">
        <w:rPr>
          <w:rFonts w:ascii="Arial" w:cs="Arial" w:hAnsi="Arial"/>
          <w:kern w:val="0"/>
          <w:vertAlign w:val="superscript"/>
        </w:rPr>
        <w:t>3</w:t>
      </w:r>
      <w:r w:rsidR="00DA37FB" w:rsidRPr="0064423E">
        <w:rPr>
          <w:rFonts w:ascii="Arial" w:cs="Arial" w:hAnsi="Arial"/>
        </w:rPr>
        <w:fldChar w:fldCharType="end"/>
      </w:r>
      <w:r w:rsidRPr="0064423E">
        <w:rPr>
          <w:rFonts w:ascii="Arial" w:cs="Arial" w:hAnsi="Arial"/>
        </w:rPr>
        <w:t xml:space="preserve"> Despite this heterogeneity, clinical trials in SAB often treat it as a single entity, </w:t>
      </w:r>
      <w:r w:rsidR="00F3796F">
        <w:rPr>
          <w:rFonts w:ascii="Arial" w:cs="Arial" w:hAnsi="Arial"/>
        </w:rPr>
        <w:t>introducing the risk of failing to detect treatments which differentially benefit or harm sub-groups of patients</w:t>
      </w:r>
      <w:r w:rsidR="00DA37FB" w:rsidRPr="0064423E">
        <w:rPr>
          <w:rFonts w:ascii="Arial" w:cs="Arial" w:hAnsi="Arial"/>
        </w:rPr>
        <w:t>.</w:t>
      </w:r>
      <w:r w:rsidR="00F94C4A" w:rsidRPr="0064423E">
        <w:rPr>
          <w:rFonts w:ascii="Arial" w:cs="Arial" w:hAnsi="Arial"/>
        </w:rPr>
        <w:fldChar w:fldCharType="begin"/>
      </w:r>
      <w:r w:rsidR="00FB06CB">
        <w:rPr>
          <w:rFonts w:ascii="Arial" w:cs="Arial" w:hAnsi="Arial"/>
        </w:rPr>
        <w:instrText xml:space="preserve"> ADDIN ZOTERO_ITEM CSL_CITATION {"citationID":"kzHfKA1O","properties":{"formattedCitation":"\\super 4,5\\nosupersub{}","plainCitation":"4,5","noteIndex":0},"citationItems":[{"id":7217,"uris":["http://zotero.org/users/66919/items/XQW9J66N"],"itemData":{"id":7217,"type":"article-journal","abstract":"In this trial involving 387 patients with Staphylococcus aureus bacteremia, ceftobiprole, a cephalosporin active against methicillin-sensitive and -resistant S. aureus, was noninferior to daptomycin.","citation-key":"hollandCeftobiproleTreatmentComplicated2023","container-title":"New England Journal of Medicine","DOI":"10.1056/NEJMoa2300220","ISSN":"0028-4793","issue":"15","note":"_eprint: https://www.nejm.org/doi/pdf/10.1056/NEJMoa2300220","page":"1390-1401","publisher":"Massachusetts Medical Society","source":"Taylor and Francis+NEJM","title":"Ceftobiprole for Treatment of Complicated Staphylococcus aureus Bacteremia","volume":"389","author":[{"family":"Holland","given":"Thomas L."},{"family":"Cosgrove","given":"Sara E."},{"family":"Doernberg","given":"Sarah B."},{"family":"Jenkins","given":"Timothy C."},{"family":"Turner","given":"Nicholas A."},{"family":"Boucher","given":"Helen W."},{"family":"Pavlov","given":"Oleksander"},{"family":"Titov","given":"Ivan"},{"family":"Kosulnykov","given":"Serhii"},{"family":"Atanasov","given":"Boyko"},{"family":"Poromanski","given":"Ivan"},{"family":"Makhviladze","given":"Manana"},{"family":"Anderzhanova","given":"Anastasia"},{"family":"Stryjewski","given":"Martin E."},{"family":"Gehr","given":"Maziar Assadi"},{"family":"Engelhardt","given":"Marc"},{"family":"Hamed","given":"Kamal"},{"family":"Ionescu","given":"Daniel"},{"family":"Jones","given":"Mark"},{"family":"Saulay","given":"Mikael"},{"family":"Smart","given":"Jennifer"},{"family":"Seifert","given":"Harald"},{"family":"Fowler","given":"Vance G."}],"issued":{"date-parts":[["2023",10,11]]}}},{"id":7214,"uris":["http://zotero.org/users/66919/items/VUFUM4NN"],"itemData":{"id":7214,"type":"article-journal","abstract":"BACKGROUND: Staphylococcus aureus bacteraemia is a common cause of severe community-acquired and hospital-acquired infection worldwide. We tested the hypothesis that adjunctive rifampicin would reduce bacteriologically confirmed treatment failure or disease recurrence, or death, by enhancing early S aureus killing, sterilising infected foci and blood faster, and reducing risks of dissemination and metastatic infection.\nMETHODS: In this multicentre, randomised, double-blind, placebo-controlled trial, adults (≥18 years) with S aureus bacteraemia who had received ≤96 h of active antibiotic therapy were recruited from 29 UK hospitals. Patients were randomly assigned (1:1) via a computer-generated sequential randomisation list to receive 2 weeks of adjunctive rifampicin (600 mg or 900 mg per day according to weight, oral or intravenous) versus identical placebo, together with standard antibiotic therapy. Randomisation was stratified by centre. Patients, investigators, and those caring for the patients were masked to group allocation. The primary outcome was time to bacteriologically confirmed treatment failure or disease recurrence, or death (all-cause), from randomisation to 12 weeks, adjudicated by an independent review committee masked to the treatment. Analysis was intention to treat. This trial was registered, number ISRCTN37666216, and is closed to new participants.\nFINDINGS: Between Dec 10, 2012, and Oct 25, 2016, 758 eligible participants were randomly assigned: 370 to rifampicin and 388 to placebo. 485 (64%) participants had community-acquired S aureus infections, and 132 (17%) had nosocomial S aureus infections. 47 (6%) had meticillin-resistant infections. 301 (40%) participants had an initial deep infection focus. Standard antibiotics were given for 29 (IQR 18-45) days; 619 (82%) participants received flucloxacillin. By week 12, 62 (17%) of participants who received rifampicin versus 71 (18%) who received placebo experienced treatment failure or disease recurrence, or died (absolute risk difference -1·4%, 95% CI -7·0 to 4·3; hazard ratio 0·96, 0·68-1·35, p=0·81). From randomisation to 12 weeks, no evidence of differences in serious (p=0·17) or grade 3-4 (p=0·36) adverse events were observed; however, 63 (17%) participants in the rifampicin group versus 39 (10%) in the placebo group had antibiotic or trial drug-modifying adverse events (p=0·004), and 24 (6%) versus six (2%) had drug interactions (p=0·0005).\nINTERPRETATION: Adjunctive rifampicin provided no overall benefit over standard antibiotic therapy in adults with S aureus bacteraemia.\nFUNDING: UK National Institute for Health Research Health Technology Assessment.","citation-key":"thwaitesAdjunctiveRifampicinStaphylococcus2018","container-title":"Lancet (London, England)","DOI":"10.1016/S0140-6736(17)32456-X","ISSN":"1474-547X","issue":"10121","journalAbbreviation":"Lancet","language":"eng","page":"668-678","PMID":"29249276","PMCID":"PMC5820409","source":"PubMed","title":"Adjunctive rifampicin for Staphylococcus aureus bacteraemia (ARREST): a multicentre, randomised, double-blind, placebo-controlled trial","title-short":"Adjunctive rifampicin for Staphylococcus aureus bacteraemia (ARREST)","volume":"391","author":[{"family":"Thwaites","given":"Guy E."},{"family":"Scarborough","given":"Matthew"},{"family":"Szubert","given":"Alexander"},{"family":"Nsutebu","given":"Emmanuel"},{"family":"Tilley","given":"Robert"},{"family":"Greig","given":"Julia"},{"family":"Wyllie","given":"Sarah A."},{"family":"Wilson","given":"Peter"},{"family":"Auckland","given":"Cressida"},{"family":"Cairns","given":"Janet"},{"family":"Ward","given":"Denise"},{"family":"Lal","given":"Pankaj"},{"family":"Guleri","given":"Achyut"},{"family":"Jenkins","given":"Neil"},{"family":"Sutton","given":"Julian"},{"family":"Wiselka","given":"Martin"},{"family":"Armando","given":"Gonzalez-Ruiz"},{"family":"Graham","given":"Clive"},{"family":"Chadwick","given":"Paul R."},{"family":"Barlow","given":"Gavin"},{"family":"Gordon","given":"N. Claire"},{"family":"Young","given":"Bernadette"},{"family":"Meisner","given":"Sarah"},{"family":"McWhinney","given":"Paul"},{"family":"Price","given":"David A."},{"family":"Harvey","given":"David"},{"family":"Nayar","given":"Deepa"},{"family":"Jeyaratnam","given":"Dakshika"},{"family":"Planche","given":"Tim"},{"family":"Minton","given":"Jane"},{"family":"Hudson","given":"Fleur"},{"family":"Hopkins","given":"Susan"},{"family":"Williams","given":"John"},{"family":"Török","given":"M. Estee"},{"family":"Llewelyn","given":"Martin J."},{"family":"Edgeworth","given":"Jonathan D."},{"family":"Walker","given":"A. Sarah"},{"literal":"United Kingdom Clinical Infection Research Group (UKCIRG)"}],"issued":{"date-parts":[["2018",2,17]]}}}],"schema":"https://github.com/citation-style-language/schema/raw/master/csl-citation.json"} </w:instrText>
      </w:r>
      <w:r w:rsidR="00F94C4A" w:rsidRPr="0064423E">
        <w:rPr>
          <w:rFonts w:ascii="Arial" w:cs="Arial" w:hAnsi="Arial"/>
        </w:rPr>
        <w:fldChar w:fldCharType="separate"/>
      </w:r>
      <w:r w:rsidR="00F94C4A" w:rsidRPr="0064423E">
        <w:rPr>
          <w:rFonts w:ascii="Arial" w:cs="Arial" w:hAnsi="Arial"/>
          <w:kern w:val="0"/>
          <w:vertAlign w:val="superscript"/>
        </w:rPr>
        <w:t>4,5</w:t>
      </w:r>
      <w:r w:rsidR="00F94C4A" w:rsidRPr="0064423E">
        <w:rPr>
          <w:rFonts w:ascii="Arial" w:cs="Arial" w:hAnsi="Arial"/>
        </w:rPr>
        <w:fldChar w:fldCharType="end"/>
      </w:r>
      <w:r w:rsidR="00DA37FB" w:rsidRPr="0064423E">
        <w:rPr>
          <w:rFonts w:ascii="Arial" w:cs="Arial" w:hAnsi="Arial"/>
        </w:rPr>
        <w:t xml:space="preserve"> </w:t>
      </w:r>
      <w:r w:rsidR="00F3796F">
        <w:rPr>
          <w:rFonts w:ascii="Arial" w:cs="Arial" w:hAnsi="Arial"/>
        </w:rPr>
        <w:t xml:space="preserve">In particular, </w:t>
      </w:r>
      <w:r w:rsidR="001D1AA0">
        <w:rPr>
          <w:rFonts w:ascii="Arial" w:cs="Arial" w:hAnsi="Arial"/>
        </w:rPr>
        <w:t>t</w:t>
      </w:r>
      <w:r w:rsidRPr="0064423E">
        <w:rPr>
          <w:rFonts w:ascii="Arial" w:cs="Arial" w:hAnsi="Arial"/>
        </w:rPr>
        <w:t>rials investigating adjunctive or alternative therapies have frequently failed to show overall benefit compared to standard car</w:t>
      </w:r>
      <w:r w:rsidR="00F94C4A" w:rsidRPr="0064423E">
        <w:rPr>
          <w:rFonts w:ascii="Arial" w:cs="Arial" w:hAnsi="Arial"/>
        </w:rPr>
        <w:t>e</w:t>
      </w:r>
      <w:r w:rsidR="001D1AA0">
        <w:rPr>
          <w:rFonts w:ascii="Arial" w:cs="Arial" w:hAnsi="Arial"/>
        </w:rPr>
        <w:t>, although recent data suggests antimicrobial choice affects outcomes</w:t>
      </w:r>
      <w:r w:rsidR="00F94C4A" w:rsidRPr="0064423E">
        <w:rPr>
          <w:rFonts w:ascii="Arial" w:cs="Arial" w:hAnsi="Arial"/>
        </w:rPr>
        <w:t>.</w:t>
      </w:r>
      <w:r w:rsidR="00546872" w:rsidRPr="0064423E">
        <w:rPr>
          <w:rFonts w:ascii="Arial" w:cs="Arial" w:hAnsi="Arial"/>
        </w:rPr>
        <w:fldChar w:fldCharType="begin"/>
      </w:r>
      <w:r w:rsidR="00FB06CB">
        <w:rPr>
          <w:rFonts w:ascii="Arial" w:cs="Arial" w:hAnsi="Arial"/>
        </w:rPr>
        <w:instrText xml:space="preserve"> ADDIN ZOTERO_ITEM CSL_CITATION {"citationID":"GBvcO21e","properties":{"unsorted":false,"formattedCitation":"\\super 5\\uc0\\u8211{}7\\nosupersub{}","plainCitation":"5–7","noteIndex":0},"citationItems":[{"id":7214,"uris":["http://zotero.org/users/66919/items/VUFUM4NN"],"itemData":{"id":7214,"type":"article-journal","abstract":"BACKGROUND: Staphylococcus aureus bacteraemia is a common cause of severe community-acquired and hospital-acquired infection worldwide. We tested the hypothesis that adjunctive rifampicin would reduce bacteriologically confirmed treatment failure or disease recurrence, or death, by enhancing early S aureus killing, sterilising infected foci and blood faster, and reducing risks of dissemination and metastatic infection.\nMETHODS: In this multicentre, randomised, double-blind, placebo-controlled trial, adults (≥18 years) with S aureus bacteraemia who had received ≤96 h of active antibiotic therapy were recruited from 29 UK hospitals. Patients were randomly assigned (1:1) via a computer-generated sequential randomisation list to receive 2 weeks of adjunctive rifampicin (600 mg or 900 mg per day according to weight, oral or intravenous) versus identical placebo, together with standard antibiotic therapy. Randomisation was stratified by centre. Patients, investigators, and those caring for the patients were masked to group allocation. The primary outcome was time to bacteriologically confirmed treatment failure or disease recurrence, or death (all-cause), from randomisation to 12 weeks, adjudicated by an independent review committee masked to the treatment. Analysis was intention to treat. This trial was registered, number ISRCTN37666216, and is closed to new participants.\nFINDINGS: Between Dec 10, 2012, and Oct 25, 2016, 758 eligible participants were randomly assigned: 370 to rifampicin and 388 to placebo. 485 (64%) participants had community-acquired S aureus infections, and 132 (17%) had nosocomial S aureus infections. 47 (6%) had meticillin-resistant infections. 301 (40%) participants had an initial deep infection focus. Standard antibiotics were given for 29 (IQR 18-45) days; 619 (82%) participants received flucloxacillin. By week 12, 62 (17%) of participants who received rifampicin versus 71 (18%) who received placebo experienced treatment failure or disease recurrence, or died (absolute risk difference -1·4%, 95% CI -7·0 to 4·3; hazard ratio 0·96, 0·68-1·35, p=0·81). From randomisation to 12 weeks, no evidence of differences in serious (p=0·17) or grade 3-4 (p=0·36) adverse events were observed; however, 63 (17%) participants in the rifampicin group versus 39 (10%) in the placebo group had antibiotic or trial drug-modifying adverse events (p=0·004), and 24 (6%) versus six (2%) had drug interactions (p=0·0005).\nINTERPRETATION: Adjunctive rifampicin provided no overall benefit over standard antibiotic therapy in adults with S aureus bacteraemia.\nFUNDING: UK National Institute for Health Research Health Technology Assessment.","citation-key":"thwaitesAdjunctiveRifampicinStaphylococcus2018","container-title":"Lancet (London, England)","DOI":"10.1016/S0140-6736(17)32456-X","ISSN":"1474-547X","issue":"10121","journalAbbreviation":"Lancet","language":"eng","page":"668-678","PMID":"29249276","PMCID":"PMC5820409","source":"PubMed","title":"Adjunctive rifampicin for Staphylococcus aureus bacteraemia (ARREST): a multicentre, randomised, double-blind, placebo-controlled trial","title-short":"Adjunctive rifampicin for Staphylococcus aureus bacteraemia (ARREST)","volume":"391","author":[{"family":"Thwaites","given":"Guy E."},{"family":"Scarborough","given":"Matthew"},{"family":"Szubert","given":"Alexander"},{"family":"Nsutebu","given":"Emmanuel"},{"family":"Tilley","given":"Robert"},{"family":"Greig","given":"Julia"},{"family":"Wyllie","given":"Sarah A."},{"family":"Wilson","given":"Peter"},{"family":"Auckland","given":"Cressida"},{"family":"Cairns","given":"Janet"},{"family":"Ward","given":"Denise"},{"family":"Lal","given":"Pankaj"},{"family":"Guleri","given":"Achyut"},{"family":"Jenkins","given":"Neil"},{"family":"Sutton","given":"Julian"},{"family":"Wiselka","given":"Martin"},{"family":"Armando","given":"Gonzalez-Ruiz"},{"family":"Graham","given":"Clive"},{"family":"Chadwick","given":"Paul R."},{"family":"Barlow","given":"Gavin"},{"family":"Gordon","given":"N. Claire"},{"family":"Young","given":"Bernadette"},{"family":"Meisner","given":"Sarah"},{"family":"McWhinney","given":"Paul"},{"family":"Price","given":"David A."},{"family":"Harvey","given":"David"},{"family":"Nayar","given":"Deepa"},{"family":"Jeyaratnam","given":"Dakshika"},{"family":"Planche","given":"Tim"},{"family":"Minton","given":"Jane"},{"family":"Hudson","given":"Fleur"},{"family":"Hopkins","given":"Susan"},{"family":"Williams","given":"John"},{"family":"Török","given":"M. Estee"},{"family":"Llewelyn","given":"Martin J."},{"family":"Edgeworth","given":"Jonathan D."},{"family":"Walker","given":"A. Sarah"},{"literal":"United Kingdom Clinical Infection Research Group (UKCIRG)"}],"issued":{"date-parts":[["2018",2,17]]}}},{"id":7219,"uris":["http://zotero.org/users/66919/items/G24QUB2D"],"itemData":{"id":7219,"type":"article-journal","abstract":"Treatment failure occurs in about 25% of patients with methicillin-susceptible Staphylococcus aureus (MSSA) bacteremia. We assessed whether cloxacillin plus fosfomycin achieves better treatment success than cloxacillin alone in hospitalized adults with MSSA bacteremia. We conducted a multicenter, open-label, phase III–IV superiority randomized clinical trial. We randomly assigned patients (1:1) to receive 2 g of intravenous cloxacillin alone every 4 h or with 3 g of intravenous fosfomycin every 6 h for the initial 7 days. The primary endpoint was treatment success at day 7, a composite endpoint with the following criteria: patient alive, stable or with improved quick Sequential Organ Failure Assessment score, afebrile and with negative blood cultures for MSSA, adjudicated by an independent committee blinded to treatment allocation. We randomized 215 patients, of whom 105 received cloxacillin plus fosfomycin and 110 received cloxacillin alone. We analyzed the primary endpoint with the intention-to-treat approach in 214 patients who received at least 1 day of treatment. Treatment success at day 7 after randomization was achieved in 83 (79.8%) of 104 patients receiving combination treatment versus 82 (74.5%) of 110 patients receiving monotherapy (risk difference 5.3%; 95% confidence interval (CI), –5.95–16.48). Secondary endpoints, including mortality and adverse events, were similar in the two groups except for persistent bacteremia at day 3, which was less common in the combination arm. In a prespecified interim analysis, the independent committee recommended stopping recruitment for futility prior to meeting the planned randomization of 366 patients. Cloxacillin plus fosfomycin did not achieve better treatment success at day 7 of therapy than cloxacillin alone in MSSA bacteremia. Further trials should consider the intrinsic heterogeneity of the infection by using a more personalized approach. ClinicalTrials.gov registration: NCT03959345.","citation-key":"grilloCloxacillinFosfomycinCloxacillin2023","container-title":"Nature Medicine","DOI":"10.1038/s41591-023-02569-0","ISSN":"1546-170X","issue":"10","journalAbbreviation":"Nat Med","language":"en","license":"2023 The Author(s)","page":"2518-2525","publisher":"Nature Publishing Group","source":"www.nature.com","title":"Cloxacillin plus fosfomycin versus cloxacillin alone for methicillin-susceptible Staphylococcus aureus bacteremia: a randomized trial","title-short":"Cloxacillin plus fosfomycin versus cloxacillin alone for methicillin-susceptible Staphylococcus aureus bacteremia","volume":"29","author":[{"family":"Grillo","given":"Sara"},{"family":"Pujol","given":"Miquel"},{"family":"Miró","given":"Josep M."},{"family":"López-Contreras","given":"Joaquín"},{"family":"Euba","given":"Gorane"},{"family":"Gasch","given":"Oriol"},{"family":"Boix-Palop","given":"Lucia"},{"family":"Garcia-País","given":"Maria José"},{"family":"Pérez-Rodríguez","given":"Maria Teresa"},{"family":"Gomez-Zorrilla","given":"Silvia"},{"family":"Oriol","given":"Isabel"},{"family":"López-Cortés","given":"Luis Eduardo"},{"family":"Pedro-Botet","given":"Maria Luisa"},{"family":"San-Juan","given":"Rafael"},{"family":"Aguado","given":"José María"},{"family":"Gioia","given":"Francesca"},{"family":"Iftimie","given":"Simona"},{"family":"Morata","given":"Laura"},{"family":"Jover-Sáenz","given":"Alfredo"},{"family":"García-Pardo","given":"Graciano"},{"family":"Loeches","given":"Belén"},{"family":"Izquierdo-Cárdenas","given":"Álvaro"},{"family":"Goikoetxea","given":"Ane Josune"},{"family":"Gomila-Grange","given":"Aina"},{"family":"Dietl","given":"Beatriz"},{"family":"Berbel","given":"Damaris"},{"family":"Videla","given":"Sebastian"},{"family":"Hereu","given":"Pilar"},{"family":"Padullés","given":"Ariadna"},{"family":"Pallarès","given":"Natalia"},{"family":"Tebé","given":"Cristian"},{"family":"Cuervo","given":"Guillermo"},{"family":"Carratalà","given":"Jordi"}],"issued":{"date-parts":[["2023",10]]}}},{"id":7584,"uris":["http://zotero.org/users/66919/items/JS7IM5LL"],"itemData":{"id":7584,"type":"article-journal","citation-key":"burdetCloxacillinCefazolinMeticillinsusceptible2025","container-title":"The Lancet","DOI":"10.1016/S0140-6736(25)01624-1","ISSN":"0140-6736, 1474-547X","issue":"10517","journalAbbreviation":"The Lancet","language":"English","page":"2349-2359","PMID":"41115439","publisher":"Elsevier","source":"www.thelancet.com","title":"Cloxacillin versus cefazolin for meticillin-susceptible Staphylococcus aureus bacteraemia (CloCeBa): a prospective, open-label, multicentre, non-inferiority, randomised clinical trial","title-short":"Cloxacillin versus cefazolin for meticillin-susceptible Staphylococcus aureus bacteraemia (CloCeBa)","volume":"406","author":[{"family":"Burdet","given":"Charles"},{"family":"Saïdani","given":"Nadia"},{"family":"Dupieux","given":"Céline"},{"family":"Lemaignen","given":"Adrien"},{"family":"Canouï","given":"Etienne"},{"family":"Surgers","given":"Laure"},{"family":"Vareil","given":"Marc Olivier"},{"family":"Lefort","given":"Agnès"},{"family":"Lepeule","given":"Raphaël"},{"family":"Peiffer-Smadja","given":"Nathan"},{"family":"Charmillon","given":"Alexandre"},{"family":"Moing","given":"Vincent Le"},{"family":"Boutoille","given":"David"},{"family":"Tolsma","given":"Violaine"},{"family":"Abgrall","given":"Sophie"},{"family":"Wolff","given":"Michel"},{"family":"Tattevin","given":"Pierre"},{"family":"Esposito-Farèse","given":"Marina"},{"family":"Vandenesch","given":"François"},{"family":"Duval","given":"Xavier"},{"family":"Tubiana","given":"Sarah"},{"family":"Lescure","given":"François-Xavier"},{"family":"Abgrall","given":"Sophie"},{"family":"Alauzet","given":"Corentine"},{"family":"Alleman","given":"Laure"},{"family":"Alloux","given":"Céline"},{"family":"Bachelard","given":"Antoine"},{"family":"Barbault-Foucher","given":"Sévrine"},{"family":"Belot","given":"Romane"},{"family":"Bernard","given":"Louis"},{"family":"Bernier","given":"Antoine"},{"family":"Berthomé","given":"Hélène"},{"family":"Bertin","given":"Laura"},{"family":"Billard","given":"Nicolas"},{"family":"Bleibtreu","given":"Alexandre"},{"family":"Bouetard","given":"Laura"},{"family":"Bouguerra","given":"Hassina"},{"family":"Boulle","given":"Charlotte"},{"family":"Bourgoin","given":"Hélène"},{"family":"Bourgoin","given":"Charlotte"},{"family":"Boutoille","given":"David"},{"family":"Braun","given":"Florence"},{"family":"Bréaud-Briand","given":"Sophie"},{"family":"Burdet","given":"Charles"},{"family":"Cailloux","given":"Philippe"},{"family":"Calin","given":"Ruxandra"},{"family":"Canoui","given":"Etienne"},{"family":"Capelle","given":"Florence"},{"family":"Carvalho","given":"Muriel"},{"family":"Schneider","given":"Claudia Carvalho"},{"family":"Cassou","given":"Nicolas"},{"family":"Chalal","given":"Lynda"},{"family":"Chambon","given":"Anne"},{"family":"Chansombat","given":"Malikhone"},{"family":"Beaupel","given":"Fanny Charbonnier"},{"family":"Charmillon","given":"Alexandre"},{"family":"Chiarabini","given":"Thibault"},{"family":"Chirio","given":"David"},{"family":"Courjon","given":"Johan"},{"family":"Coustilleres","given":"François"},{"family":"Coutinho","given":"Corinne Da Costa Ribeiro"},{"family":"Selle","given":"Andrea De La"},{"family":"Lastours","given":"Victoire De"},{"family":"Demonchy","given":"Elisa"},{"family":"Didier","given":"Agnès"},{"family":"Dobremel","given":"Nikita"},{"family":"Doloy","given":"Alexandra"},{"family":"Donnay","given":"Jean-Luc"},{"family":"Dubée","given":"Vincent"},{"family":"Dumondin","given":"Gilles"},{"family":"Dupieux","given":"Céline"},{"family":"Durand","given":"Hélène"},{"family":"Duval","given":"Xavier"},{"family":"Esposito-Farese","given":"Marina"},{"family":"Fangous","given":"Marie-Sarah"},{"family":"Ferry","given":"Tristan"},{"family":"Flet","given":"Laurent"},{"family":"Galy","given":"Adrien"},{"family":"Gamany","given":"Naura"},{"family":"Garnier","given":"Pauline"},{"family":"Gendrin","given":"Vincent"},{"family":"Ghionda","given":"Carine"},{"family":"Godard","given":"Virginie"},{"family":"Godreuil","given":"Sylvain"},{"family":"Grall","given":"Nathalie"},{"family":"Guerpillon","given":"Brice"},{"family":"Guettar","given":"Abdeslam"},{"family":"Gueye","given":"Signara"},{"family":"Caruba","given":"Christelle Guillet"},{"family":"Harrabi","given":"Meriem"},{"family":"Hoedt","given":"Brigitte"},{"family":"Holeindre","given":"Elena"},{"family":"Huart","given":"Virginie"},{"family":"Habensus","given":"Emila Ilic"},{"family":"Jamard","given":"Simon"},{"family":"Joubert","given":"Clarisse"},{"family":"Kedzia","given":"Cecile"},{"family":"Kempf","given":"Marie"},{"family":"Khatchatourian","given":"Lydie"},{"family":"Khoutam","given":"Chaimae"},{"family":"Lacasse","given":"Marion"},{"family":"Lacombe","given":"Karine"},{"family":"Lafaurie","given":"Matthieu"},{"family":"Lafitte","given":"Blandine"},{"family":"Lanotte","given":"Philippe"},{"family":"Laradh","given":"Nadia"},{"family":"Laribi","given":"Samira"},{"family":"Lassel","given":"Ludovic"},{"family":"Gac","given":"Sylvie Le"},{"family":"Bras","given":"Clémence Le"},{"family":"Brun","given":"Cécile Le"},{"family":"Gall","given":"Florence Le"},{"family":"Moing","given":"Vincent Le"},{"family":"Lecerf","given":"Thibault"},{"family":"Lecompte","given":"Anne-Sophie"},{"family":"Lecomte","given":"Raphael"},{"family":"Lefort","given":"Agnes"},{"family":"Lejeune","given":"Jordan"},{"family":"Lemaignen","given":"Adrien"},{"family":"Lepeule","given":"Raphaël"},{"family":"Lescure","given":"Xavier"},{"family":"Letaillandier","given":"Cyrielle"},{"family":"Leyssene","given":"David"},{"family":"Lotte","given":"Romain"},{"family":"Louis","given":"Zeina"},{"family":"Maataoui","given":"Naouale"},{"family":"Macheda","given":"Gabriel"},{"family":"Madelaine","given":"Isabelle"},{"family":"Mahieu","given":"Rafael"},{"family":"Maillet","given":"Myléne"},{"family":"Marrane","given":"Guillaume"},{"family":"Merrien","given":"Dominique"},{"family":"Mora","given":"Clara"},{"family":"Morrier","given":"Marine"},{"family":"Mugnier","given":"Sophie"},{"family":"Nguyen","given":"Yann"},{"family":"Orain","given":"Jérémie"},{"family":"Smadja","given":"Nathan Peiffer"},{"family":"Pelerin","given":"Hélène"},{"family":"Perez","given":"Lucas"},{"family":"Piet","given":"Emilie"},{"family":"Plantin","given":"Julie"},{"family":"Poirier","given":"Yannick"},{"family":"Poirot-Mazeres","given":"Stephane"},{"family":"Portier","given":"Isabelle"},{"family":"Poupet","given":"Hélène"},{"family":"Proux","given":"Caroline"},{"family":"Prudent","given":"Karen"},{"family":"Rabille","given":"Nadine"},{"family":"Rahli","given":"Roza"},{"family":"Rameau","given":"Pascaline"},{"family":"Rehaiem","given":"Sami"},{"family":"Rigault","given":"Marie-Christine"},{"family":"Robert","given":"Jérôme"},{"family":"Torreilles","given":"Isabelle Roch"},{"family":"Rossi","given":"Geoffrey"},{"family":"Rougier","given":"Estelle"},{"family":"Roussez","given":"Isabelle"},{"family":"Royer","given":"Pierre-Yves"},{"family":"Ruimy","given":"Raymond"},{"family":"Saïdani","given":"Nadia"},{"family":"Saoudi","given":"Nabila"},{"family":"Cam","given":"Manuela Sebire-Le"},{"family":"Souhail","given":"Bérénice"},{"family":"Surgers","given":"Laure"},{"family":"Talarmin","given":"Jean-Philippe"},{"family":"Tattevin","given":"Pierre"},{"family":"Tesmoingt","given":"Chloé"},{"family":"Thomas","given":"Elise"},{"family":"Tolsma","given":"Violaine"},{"family":"Touitou","given":"Irit"},{"family":"Touratier","given":"Sophie"},{"family":"Tran","given":"Christian"},{"family":"Tubiana","given":"Sarah"},{"family":"Vandenesch","given":"François"},{"family":"Vareil","given":"Marc-Olivier"},{"family":"Verdet","given":"Charlotte"},{"family":"Vignes","given":"Dorothée"},{"family":"Villeneuve","given":"Laurent"},{"family":"Wille","given":"Heidi"},{"family":"Woerther","given":"Paul-Louis"},{"family":"Wolff","given":"Michel"}],"issued":{"date-parts":[["2025",11,15]]}}}],"schema":"https://github.com/citation-style-language/schema/raw/master/csl-citation.json"} </w:instrText>
      </w:r>
      <w:r w:rsidR="00546872" w:rsidRPr="0064423E">
        <w:rPr>
          <w:rFonts w:ascii="Arial" w:cs="Arial" w:hAnsi="Arial"/>
        </w:rPr>
        <w:fldChar w:fldCharType="separate"/>
      </w:r>
      <w:r w:rsidR="00FB06CB" w:rsidRPr="00FB06CB">
        <w:rPr>
          <w:rFonts w:ascii="Arial" w:cs="Arial" w:hAnsi="Arial"/>
          <w:kern w:val="0"/>
          <w:vertAlign w:val="superscript"/>
        </w:rPr>
        <w:t>5–7</w:t>
      </w:r>
      <w:r w:rsidR="00546872" w:rsidRPr="0064423E">
        <w:rPr>
          <w:rFonts w:ascii="Arial" w:cs="Arial" w:hAnsi="Arial"/>
        </w:rPr>
        <w:fldChar w:fldCharType="end"/>
      </w:r>
    </w:p>
    <w:p ns2:paraId="49AE8D34" ns2:textId="6BBF1D46" w:rsidP="005A3FAB" w:rsidR="00FE4DF9" w:rsidRDefault="005A3FAB" w:rsidRPr="0064423E">
      <w:pPr>
        <w:rPr>
          <w:rFonts w:ascii="Arial" w:cs="Arial" w:hAnsi="Arial"/>
        </w:rPr>
      </w:pPr>
      <w:r w:rsidRPr="0064423E">
        <w:rPr>
          <w:rFonts w:ascii="Arial" w:cs="Arial" w:hAnsi="Arial"/>
        </w:rPr>
        <w:t xml:space="preserve">Recent efforts have focused on identifying clinically relevant subphenotypes within SAB to enable better patient stratification for research and potentially personalized treatment. </w:t>
      </w:r>
      <w:r w:rsidR="00F3796F">
        <w:rPr>
          <w:rFonts w:ascii="Arial" w:cs="Arial" w:hAnsi="Arial"/>
        </w:rPr>
        <w:t>Using latent</w:t>
      </w:r>
      <w:r w:rsidRPr="0064423E">
        <w:rPr>
          <w:rFonts w:ascii="Arial" w:cs="Arial" w:hAnsi="Arial"/>
        </w:rPr>
        <w:t xml:space="preserve"> class analysis on </w:t>
      </w:r>
      <w:r w:rsidR="00F3796F">
        <w:rPr>
          <w:rFonts w:ascii="Arial" w:cs="Arial" w:hAnsi="Arial"/>
        </w:rPr>
        <w:t>routinely available</w:t>
      </w:r>
      <w:r w:rsidRPr="0064423E">
        <w:rPr>
          <w:rFonts w:ascii="Arial" w:cs="Arial" w:hAnsi="Arial"/>
        </w:rPr>
        <w:t xml:space="preserve"> data from observational and trial cohorts </w:t>
      </w:r>
      <w:r w:rsidR="00F3796F">
        <w:rPr>
          <w:rFonts w:ascii="Arial" w:cs="Arial" w:hAnsi="Arial"/>
        </w:rPr>
        <w:t>from the UK, Spain, the Netherlands, and USA</w:t>
      </w:r>
      <w:r w:rsidR="00FB06CB">
        <w:rPr>
          <w:rFonts w:ascii="Arial" w:cs="Arial" w:hAnsi="Arial"/>
        </w:rPr>
        <w:t xml:space="preserve"> </w:t>
      </w:r>
      <w:r w:rsidRPr="0064423E">
        <w:rPr>
          <w:rFonts w:ascii="Arial" w:cs="Arial" w:hAnsi="Arial"/>
        </w:rPr>
        <w:t xml:space="preserve">five distinct and reproducible clinical subphenotypes (A-E) </w:t>
      </w:r>
      <w:r w:rsidR="00F3796F">
        <w:rPr>
          <w:rFonts w:ascii="Arial" w:cs="Arial" w:hAnsi="Arial"/>
        </w:rPr>
        <w:t>have been identified</w:t>
      </w:r>
      <w:r w:rsidR="00FB06CB">
        <w:rPr>
          <w:rFonts w:ascii="Arial" w:cs="Arial" w:hAnsi="Arial"/>
        </w:rPr>
        <w:t xml:space="preserve"> (and replicated)</w:t>
      </w:r>
      <w:r w:rsidR="00FE4DF9" w:rsidRPr="0064423E">
        <w:rPr>
          <w:rFonts w:ascii="Arial" w:cs="Arial" w:hAnsi="Arial"/>
        </w:rPr>
        <w:t>.</w:t>
      </w:r>
      <w:r w:rsidR="00E654A3" w:rsidRPr="0064423E">
        <w:rPr>
          <w:rFonts w:ascii="Arial" w:cs="Arial" w:hAnsi="Arial"/>
        </w:rPr>
        <w:fldChar w:fldCharType="begin"/>
      </w:r>
      <w:r w:rsidR="003D4BDF">
        <w:rPr>
          <w:rFonts w:ascii="Arial" w:cs="Arial" w:hAnsi="Arial"/>
        </w:rPr>
        <w:instrText xml:space="preserve"> ADDIN ZOTERO_ITEM CSL_CITATION {"citationID":"qu0ru8DR","properties":{"unsorted":false,"formattedCitation":"\\super 8\\uc0\\u8211{}10\\nosupersub{}","plainCitation":"8–10","noteIndex":0},"citationItems":[{"id":7209,"uris":["http://zotero.org/users/66919/items/VPAQ65US"],"itemData":{"id":7209,"type":"article-journal","abstract":"BACKGROUND: Staphylococcus aureus bacteremia (SAB) is a clinically heterogeneous disease. The ability to identify subgroups of patients with shared traits (subphenotypes) is an unmet need to allow patient stratification for clinical management and research. We aimed to test the hypothesis that clinically relevant subphenotypes can be reproducibly identified among patients with SAB.\nMETHODS: We studied 3 cohorts of adults with monomicrobial SAB: a UK retrospective observational study (Edinburgh cohort, n = 458), the UK ARREST trial (n = 758), and the Spanish SAFO trial (n = 214). Latent class analysis was used to identify subphenotypes using routinely collected clinical data without considering outcomes. Mortality and microbiologic outcomes were then compared between subphenotypes.\nRESULTS: Included patients had predominantly methicillin-susceptible SAB (1366 of 1430, 95.5%). We identified 5 distinct, reproducible clinical subphenotypes: (A) SAB associated with older age and comorbidity, (B) nosocomial intravenous catheter-associated SAB in younger people without comorbidity, (C) community-acquired metastatic SAB, (D) SAB associated with chronic kidney disease, and (E) SAB associated with injection drug use. Survival and microbiologic outcomes differed between the subphenotypes. Mortality was highest in subphenotype A and lowest in subphenotypes B and E. Microbiologic outcomes were worse in subphenotype C. In a secondary analysis of the ARREST trial, adjunctive rifampicin was associated with increased mortality in subphenotype B and improved microbiologic outcomes in subphenotype C.\nCONCLUSIONS: We have identified reproducible and clinically relevant subphenotypes within SAB and provide proof of principle of differential treatment effects. Through clinical trial enrichment and patient stratification, these subphenotypes could contribute to a personalized medicine approach to SAB.","citation-key":"swetsClinicalSubphenotypesStaphylococcus2024","container-title":"Clinical Infectious Diseases: An Official Publication of the Infectious Diseases Society of America","DOI":"10.1093/cid/ciae338","ISSN":"1537-6591","issue":"5","journalAbbreviation":"Clin Infect Dis","language":"eng","page":"1153-1161","PMID":"38916975","PMCID":"PMC11581694","source":"PubMed","title":"Clinical Subphenotypes of Staphylococcus aureus Bacteremia","volume":"79","author":[{"family":"Swets","given":"Maaike C."},{"family":"Bakk","given":"Zsuzsa"},{"family":"Berry","given":"Karla"},{"family":"Cooper","given":"George"},{"family":"Sim","given":"Wynne"},{"family":"Lee","given":"Rui Shian"},{"family":"Gan","given":"Tze Yi"},{"family":"Donlon","given":"William"},{"family":"Besu","given":"Antonia"},{"family":"Heppenstall","given":"Emily"},{"family":"Tysall","given":"Luke"},{"family":"Dewar","given":"Simon"},{"family":"Boer","given":"Mark","non-dropping-particle":"de"},{"family":"Fowler","given":"Vance G."},{"family":"Dockrell","given":"David H."},{"family":"Thwaites","given":"Guy E."},{"family":"Pujol","given":"Miquel"},{"family":"Pallarès","given":"Natàlia"},{"family":"Tebé","given":"Cristian"},{"family":"Carratalà","given":"Jordi"},{"family":"Szubert","given":"Alexander"},{"family":"Groeneveld","given":"Geert H."},{"family":"Russell","given":"Clark D."}],"issued":{"date-parts":[["2024",11,22]]}}},{"id":7534,"uris":["http://zotero.org/users/66919/items/T4VP5SVK"],"itemData":{"id":7534,"type":"article-journal","abstract":"BACKGROUND: Clinical heterogeneity in Staphylococcus aureus bacteremia (SAB) complicates clinical management and research. We have previously identified five clinically distinct subphenotypes of SAB associated with differences in outcomes and response to adjunctive rifampicin. Here, we aimed to identify these subphenotypes in geographically diverse observational cohorts, including a higher prevalence of methicillin-resistant S. aureus (MRSA) bacteremia and the USA300 clone.\nMETHODS: We studied three cohorts of adults with SAB from observational studies: a UK retrospective study (Edinburgh cohort 2, n=463); a Dutch prospective study (IDISA, n=490); and a USA prospective study (SABG-PCS, n=755). Subphenotypes were identified from routinely available clinical data using latent class analysis.\nRESULTS: Patients from the SABG-PCS cohort had greater multimorbidity and more MRSA bacteremia (40.2%, 303/755), including infection with the USA300 clone (14.7%, 111/755). Five distinct subphenotypes were identified in each cohort: (A) older age and cardio-metabolic multimorbidity; (B) nosocomial acquisition and intravenous catheter portal of entry; (C) community acquisition and metastatic infection; (D) chronic kidney disease; and (E) younger age, injection drug use, and metastatic infection. Bacterial genotypes varied substantially between the Edinburgh 2 and SABG-PCS cohorts but did not differ between subphenotypes within each cohort. 90-day mortality was highest in subphenotype A, and persistent bacteremia in subphenotypes C and E.\nCONCLUSIONS: We have reproducibly identified five clinical subphenotypes of SAB in observational cohorts including diverse bacterial genetic lineages and a cohort with a high prevalence of MRSA and USA300 bacteremia. These robustly reproducible clinical subphenotypes provide a framework to rationalize the heterogeneity intrinsic to SAB.","citation-key":"swetsReproducibleIdentificationStaphylococcus2025","container-title":"Clinical Infectious Diseases: An Official Publication of the Infectious Diseases Society of America","DOI":"10.1093/cid/ciaf655","ISSN":"1537-6591","journalAbbreviation":"Clin Infect Dis","language":"eng","page":"ciaf655","PMID":"41307923","source":"PubMed","title":"Reproducible identification of Staphylococcus aureus bacteremia clinical subphenotypes","author":[{"family":"Swets","given":"Maaike C."},{"family":"Bakk","given":"Zsuzsa"},{"family":"Westgeest","given":"Annette C."},{"family":"Ruffin","given":"Felicia"},{"family":"Korn","given":"Rachel"},{"family":"Jabbour","given":"Jean-Francois"},{"family":"La","given":"Priscilla"},{"family":"Tysall","given":"Luke"},{"family":"Dewar","given":"Simon"},{"family":"Sutherland","given":"Rebecca K."},{"family":"Boer","given":"Mark Gj","non-dropping-particle":"de"},{"family":"Groeneveld","given":"Geert H."},{"family":"Dockrell","given":"David H."},{"family":"Vaart","given":"Thomas W.","non-dropping-particle":"van der"},{"family":"Fowler","given":"Vance G."},{"family":"Russell","given":"Clark D."},{"literal":"IDISA study team"}],"issued":{"date-parts":[["2025",11,27]]}}},{"id":7221,"uris":["http://zotero.org/users/66919/items/8Z596U7T"],"itemData":{"id":7221,"type":"webpage","citation-key":"IdentificationValidationClinical","title":"Identification and validation of clinical phenotypes in Staphylococcus aureus bloodstream infection and their association with mortality (FEN-AUREUS study) - eClinicalMedicine","URL":"https://www.thelancet.com/journals/eclinm/article/PIIS2589-5370(25)00172-5/fulltext","accessed":{"date-parts":[["2025",7,15]]}}}],"schema":"https://github.com/citation-style-language/schema/raw/master/csl-citation.json"} </w:instrText>
      </w:r>
      <w:r w:rsidR="00E654A3" w:rsidRPr="0064423E">
        <w:rPr>
          <w:rFonts w:ascii="Arial" w:cs="Arial" w:hAnsi="Arial"/>
        </w:rPr>
        <w:fldChar w:fldCharType="separate"/>
      </w:r>
      <w:r w:rsidR="003D4BDF" w:rsidRPr="003D4BDF">
        <w:rPr>
          <w:rFonts w:ascii="Arial" w:cs="Arial" w:hAnsi="Arial"/>
          <w:kern w:val="0"/>
          <w:vertAlign w:val="superscript"/>
        </w:rPr>
        <w:t>8–10</w:t>
      </w:r>
      <w:r w:rsidR="00E654A3" w:rsidRPr="0064423E">
        <w:rPr>
          <w:rFonts w:ascii="Arial" w:cs="Arial" w:hAnsi="Arial"/>
        </w:rPr>
        <w:fldChar w:fldCharType="end"/>
      </w:r>
      <w:r w:rsidR="00913945" w:rsidRPr="0064423E">
        <w:rPr>
          <w:rFonts w:ascii="Arial" w:cs="Arial" w:hAnsi="Arial"/>
        </w:rPr>
        <w:t xml:space="preserve"> </w:t>
      </w:r>
    </w:p>
    <w:p ns2:paraId="1CC12391" ns2:textId="0429329F" w:rsidP="005A3FAB" w:rsidR="005A3FAB" w:rsidRDefault="00FE4DF9" w:rsidRPr="0064423E">
      <w:pPr>
        <w:rPr>
          <w:rFonts w:ascii="Arial" w:cs="Arial" w:hAnsi="Arial"/>
        </w:rPr>
      </w:pPr>
      <w:r w:rsidRPr="0064423E">
        <w:rPr>
          <w:rFonts w:ascii="Arial" w:cs="Arial" w:hAnsi="Arial"/>
        </w:rPr>
        <w:t xml:space="preserve">Importantly, </w:t>
      </w:r>
      <w:r w:rsidR="00F3796F">
        <w:rPr>
          <w:rFonts w:ascii="Arial" w:cs="Arial" w:hAnsi="Arial"/>
        </w:rPr>
        <w:t>these</w:t>
      </w:r>
      <w:r w:rsidR="009574B6" w:rsidRPr="0064423E">
        <w:rPr>
          <w:rFonts w:ascii="Arial" w:cs="Arial" w:hAnsi="Arial"/>
        </w:rPr>
        <w:t xml:space="preserve"> analyses</w:t>
      </w:r>
      <w:r w:rsidRPr="0064423E">
        <w:rPr>
          <w:rFonts w:ascii="Arial" w:cs="Arial" w:hAnsi="Arial"/>
        </w:rPr>
        <w:t xml:space="preserve"> </w:t>
      </w:r>
      <w:r w:rsidR="005A3FAB" w:rsidRPr="0064423E">
        <w:rPr>
          <w:rFonts w:ascii="Arial" w:cs="Arial" w:hAnsi="Arial"/>
        </w:rPr>
        <w:t>suggested potential heterogeneous treatment effects</w:t>
      </w:r>
      <w:r w:rsidR="00EB0DD0" w:rsidRPr="0064423E">
        <w:rPr>
          <w:rFonts w:ascii="Arial" w:cs="Arial" w:hAnsi="Arial"/>
        </w:rPr>
        <w:fldChar w:fldCharType="begin"/>
      </w:r>
      <w:r w:rsidR="003D4BDF">
        <w:rPr>
          <w:rFonts w:ascii="Arial" w:cs="Arial" w:hAnsi="Arial"/>
        </w:rPr>
        <w:instrText xml:space="preserve"> ADDIN ZOTERO_ITEM CSL_CITATION {"citationID":"QqHOHIZl","properties":{"formattedCitation":"\\super 11\\nosupersub{}","plainCitation":"11","noteIndex":0},"citationItems":[{"id":7237,"uris":["http://zotero.org/users/66919/items/FKUQ4AEF"],"itemData":{"id":7237,"type":"article-journal","abstract":"The beneficial effects of most treatments vary across individuals. For example, a treatment that reduces mortality from severe COVID-19 saves some patients who would otherwise have died, but others may die despite treatment, others may survive regardless of treatment, and others may die because of adverse effects of the treatment. Randomized clinical trials (RCTs) provide estimates of average treatment effects, but are less well-suited to understanding this variability, or heterogeneity of treatment effect (HTE), across individuals. In the current issue of JAMA, Kent et al assessed heterogeneity in the association between surgery to close patent foramen ovale (PFO) and risk of recurrent stroke in patients who presented with a stroke.","citation-key":"angusHeterogeneityTreatmentEffect2021","container-title":"JAMA","DOI":"10.1001/jama.2021.20552","ISSN":"0098-7484","issue":"22","journalAbbreviation":"JAMA","page":"2312-2313","source":"Silverchair","title":"Heterogeneity of Treatment Effect: Estimating How the Effects of Interventions Vary Across Individuals","title-short":"Heterogeneity of Treatment Effect","volume":"326","author":[{"family":"Angus","given":"Derek C."},{"family":"Chang","given":"Chung-Chou H."}],"issued":{"date-parts":[["2021",12,14]]}}}],"schema":"https://github.com/citation-style-language/schema/raw/master/csl-citation.json"} </w:instrText>
      </w:r>
      <w:r w:rsidR="00EB0DD0" w:rsidRPr="0064423E">
        <w:rPr>
          <w:rFonts w:ascii="Arial" w:cs="Arial" w:hAnsi="Arial"/>
        </w:rPr>
        <w:fldChar w:fldCharType="separate"/>
      </w:r>
      <w:r w:rsidR="003D4BDF" w:rsidRPr="003D4BDF">
        <w:rPr>
          <w:rFonts w:ascii="Arial" w:cs="Arial" w:hAnsi="Arial"/>
          <w:kern w:val="0"/>
          <w:vertAlign w:val="superscript"/>
        </w:rPr>
        <w:t>11</w:t>
      </w:r>
      <w:r w:rsidR="00EB0DD0" w:rsidRPr="0064423E">
        <w:rPr>
          <w:rFonts w:ascii="Arial" w:cs="Arial" w:hAnsi="Arial"/>
        </w:rPr>
        <w:fldChar w:fldCharType="end"/>
      </w:r>
      <w:r w:rsidR="005A3FAB" w:rsidRPr="0064423E">
        <w:rPr>
          <w:rFonts w:ascii="Arial" w:cs="Arial" w:hAnsi="Arial"/>
        </w:rPr>
        <w:t xml:space="preserve"> (HTE) of adjunctive rifampicin across these subphenotypes. Notably, rifampicin appeared potentially harmful in subphenotype B (Nosocomial IV catheter-associated SAB; OR 18.8</w:t>
      </w:r>
      <w:r w:rsidR="00F3796F">
        <w:rPr>
          <w:rFonts w:ascii="Arial" w:cs="Arial" w:hAnsi="Arial"/>
        </w:rPr>
        <w:t xml:space="preserve"> for 84 day mortality</w:t>
      </w:r>
      <w:r w:rsidR="005A3FAB" w:rsidRPr="0064423E">
        <w:rPr>
          <w:rFonts w:ascii="Arial" w:cs="Arial" w:hAnsi="Arial"/>
        </w:rPr>
        <w:t>)</w:t>
      </w:r>
      <w:r w:rsidR="003D4BDF">
        <w:rPr>
          <w:rFonts w:ascii="Arial" w:cs="Arial" w:hAnsi="Arial"/>
        </w:rPr>
        <w:t>, although the effect size is likely inflated</w:t>
      </w:r>
      <w:r w:rsidRPr="0064423E">
        <w:rPr>
          <w:rFonts w:ascii="Arial" w:cs="Arial" w:hAnsi="Arial"/>
        </w:rPr>
        <w:t>.</w:t>
      </w:r>
      <w:r w:rsidR="003D4BDF">
        <w:rPr>
          <w:rFonts w:ascii="Arial" w:cs="Arial" w:hAnsi="Arial"/>
        </w:rPr>
        <w:fldChar w:fldCharType="begin"/>
      </w:r>
      <w:r w:rsidR="003D4BDF">
        <w:rPr>
          <w:rFonts w:ascii="Arial" w:cs="Arial" w:hAnsi="Arial"/>
        </w:rPr>
        <w:instrText xml:space="preserve"> ADDIN ZOTERO_ITEM CSL_CITATION {"citationID":"uBcbWAxK","properties":{"unsorted":false,"formattedCitation":"\\super 8,12\\nosupersub{}","plainCitation":"8,12","noteIndex":0},"citationItems":[{"id":7209,"uris":["http://zotero.org/users/66919/items/VPAQ65US"],"itemData":{"id":7209,"type":"article-journal","abstract":"BACKGROUND: Staphylococcus aureus bacteremia (SAB) is a clinically heterogeneous disease. The ability to identify subgroups of patients with shared traits (subphenotypes) is an unmet need to allow patient stratification for clinical management and research. We aimed to test the hypothesis that clinically relevant subphenotypes can be reproducibly identified among patients with SAB.\nMETHODS: We studied 3 cohorts of adults with monomicrobial SAB: a UK retrospective observational study (Edinburgh cohort, n = 458), the UK ARREST trial (n = 758), and the Spanish SAFO trial (n = 214). Latent class analysis was used to identify subphenotypes using routinely collected clinical data without considering outcomes. Mortality and microbiologic outcomes were then compared between subphenotypes.\nRESULTS: Included patients had predominantly methicillin-susceptible SAB (1366 of 1430, 95.5%). We identified 5 distinct, reproducible clinical subphenotypes: (A) SAB associated with older age and comorbidity, (B) nosocomial intravenous catheter-associated SAB in younger people without comorbidity, (C) community-acquired metastatic SAB, (D) SAB associated with chronic kidney disease, and (E) SAB associated with injection drug use. Survival and microbiologic outcomes differed between the subphenotypes. Mortality was highest in subphenotype A and lowest in subphenotypes B and E. Microbiologic outcomes were worse in subphenotype C. In a secondary analysis of the ARREST trial, adjunctive rifampicin was associated with increased mortality in subphenotype B and improved microbiologic outcomes in subphenotype C.\nCONCLUSIONS: We have identified reproducible and clinically relevant subphenotypes within SAB and provide proof of principle of differential treatment effects. Through clinical trial enrichment and patient stratification, these subphenotypes could contribute to a personalized medicine approach to SAB.","citation-key":"swetsClinicalSubphenotypesStaphylococcus2024","container-title":"Clinical Infectious Diseases: An Official Publication of the Infectious Diseases Society of America","DOI":"10.1093/cid/ciae338","ISSN":"1537-6591","issue":"5","journalAbbreviation":"Clin Infect Dis","language":"eng","page":"1153-1161","PMID":"38916975","PMCID":"PMC11581694","source":"PubMed","title":"Clinical Subphenotypes of Staphylococcus aureus Bacteremia","volume":"79","author":[{"family":"Swets","given":"Maaike C."},{"family":"Bakk","given":"Zsuzsa"},{"family":"Berry","given":"Karla"},{"family":"Cooper","given":"George"},{"family":"Sim","given":"Wynne"},{"family":"Lee","given":"Rui Shian"},{"family":"Gan","given":"Tze Yi"},{"family":"Donlon","given":"William"},{"family":"Besu","given":"Antonia"},{"family":"Heppenstall","given":"Emily"},{"family":"Tysall","given":"Luke"},{"family":"Dewar","given":"Simon"},{"family":"Boer","given":"Mark","non-dropping-particle":"de"},{"family":"Fowler","given":"Vance G."},{"family":"Dockrell","given":"David H."},{"family":"Thwaites","given":"Guy E."},{"family":"Pujol","given":"Miquel"},{"family":"Pallarès","given":"Natàlia"},{"family":"Tebé","given":"Cristian"},{"family":"Carratalà","given":"Jordi"},{"family":"Szubert","given":"Alexander"},{"family":"Groeneveld","given":"Geert H."},{"family":"Russell","given":"Clark D."}],"issued":{"date-parts":[["2024",11,22]]}}},{"id":7539,"uris":["http://zotero.org/users/66919/items/2KJ3RZRU"],"itemData":{"id":7539,"type":"article-journal","citation-key":"sidebothamWinnersCurseWhy2024","container-title":"Anaesthesia","DOI":"10.1111/anae.16161","ISSN":"1365-2044","issue":"1","journalAbbreviation":"Anaesthesia","language":"eng","page":"86-90","PMID":"37889911","source":"PubMed","title":"The winner's curse: why large effect sizes in discovery trials always get smaller and often disappear completely","title-short":"The winner's curse","volume":"79","author":[{"family":"Sidebotham","given":"D."},{"family":"Barlow","given":"C. J."}],"issued":{"date-parts":[["2024",1]]}}}],"schema":"https://github.com/citation-style-language/schema/raw/master/csl-citation.json"} </w:instrText>
      </w:r>
      <w:r w:rsidR="003D4BDF">
        <w:rPr>
          <w:rFonts w:ascii="Arial" w:cs="Arial" w:hAnsi="Arial"/>
        </w:rPr>
        <w:fldChar w:fldCharType="separate"/>
      </w:r>
      <w:r w:rsidR="003D4BDF" w:rsidRPr="003D4BDF">
        <w:rPr>
          <w:rFonts w:ascii="Arial" w:cs="Arial" w:hAnsi="Arial"/>
          <w:kern w:val="0"/>
          <w:vertAlign w:val="superscript"/>
        </w:rPr>
        <w:t>8,12</w:t>
      </w:r>
      <w:r w:rsidR="003D4BDF">
        <w:rPr>
          <w:rFonts w:ascii="Arial" w:cs="Arial" w:hAnsi="Arial"/>
        </w:rPr>
        <w:fldChar w:fldCharType="end"/>
      </w:r>
    </w:p>
    <w:p ns2:paraId="16A6BDC1" ns2:textId="382961DF" w:rsidP="005A3FAB" w:rsidR="008D11DB" w:rsidRDefault="005A3FAB" w:rsidRPr="0064423E">
      <w:pPr>
        <w:rPr>
          <w:rFonts w:ascii="Arial" w:cs="Arial" w:hAnsi="Arial"/>
        </w:rPr>
      </w:pPr>
      <w:r w:rsidRPr="0064423E">
        <w:rPr>
          <w:rFonts w:ascii="Arial" w:cs="Arial" w:hAnsi="Arial"/>
        </w:rPr>
        <w:t>The possibility of such HTE raises critical questions for future clinical trial design and the implementation of stratified medicine approaches.</w:t>
      </w:r>
      <w:r w:rsidR="008D11DB" w:rsidRPr="0064423E">
        <w:rPr>
          <w:rFonts w:ascii="Arial" w:cs="Arial" w:hAnsi="Arial"/>
        </w:rPr>
        <w:t xml:space="preserve"> In principle, participants in an RCT (or in clinical practice) </w:t>
      </w:r>
      <w:r w:rsidR="00370314">
        <w:rPr>
          <w:rFonts w:ascii="Arial" w:cs="Arial" w:hAnsi="Arial"/>
        </w:rPr>
        <w:t>sh</w:t>
      </w:r>
      <w:r w:rsidR="008D11DB" w:rsidRPr="0064423E">
        <w:rPr>
          <w:rFonts w:ascii="Arial" w:cs="Arial" w:hAnsi="Arial"/>
        </w:rPr>
        <w:t xml:space="preserve">ould be </w:t>
      </w:r>
      <w:r w:rsidR="002E758D" w:rsidRPr="0064423E">
        <w:rPr>
          <w:rFonts w:ascii="Arial" w:cs="Arial" w:hAnsi="Arial"/>
        </w:rPr>
        <w:t>subphenotyped</w:t>
      </w:r>
      <w:r w:rsidR="008D11DB" w:rsidRPr="0064423E">
        <w:rPr>
          <w:rFonts w:ascii="Arial" w:cs="Arial" w:hAnsi="Arial"/>
        </w:rPr>
        <w:t xml:space="preserve">, then assigned a treatment likely to </w:t>
      </w:r>
      <w:r w:rsidR="00F3796F">
        <w:rPr>
          <w:rFonts w:ascii="Arial" w:cs="Arial" w:hAnsi="Arial"/>
        </w:rPr>
        <w:t xml:space="preserve">specifically </w:t>
      </w:r>
      <w:r w:rsidR="008D11DB" w:rsidRPr="0064423E">
        <w:rPr>
          <w:rFonts w:ascii="Arial" w:cs="Arial" w:hAnsi="Arial"/>
        </w:rPr>
        <w:t xml:space="preserve">benefit them. This </w:t>
      </w:r>
      <w:r w:rsidR="002E758D" w:rsidRPr="0064423E">
        <w:rPr>
          <w:rFonts w:ascii="Arial" w:cs="Arial" w:hAnsi="Arial"/>
        </w:rPr>
        <w:t xml:space="preserve">approach may be more beneficial than applying therapies across </w:t>
      </w:r>
      <w:r w:rsidR="00F3796F">
        <w:rPr>
          <w:rFonts w:ascii="Arial" w:cs="Arial" w:hAnsi="Arial"/>
        </w:rPr>
        <w:t>unselected patients with</w:t>
      </w:r>
      <w:r w:rsidR="002E758D" w:rsidRPr="0064423E">
        <w:rPr>
          <w:rFonts w:ascii="Arial" w:cs="Arial" w:hAnsi="Arial"/>
        </w:rPr>
        <w:t xml:space="preserve"> SAB, especially when for many subphenotypes </w:t>
      </w:r>
      <w:r w:rsidR="005A4FDF" w:rsidRPr="0064423E">
        <w:rPr>
          <w:rFonts w:ascii="Arial" w:cs="Arial" w:hAnsi="Arial"/>
        </w:rPr>
        <w:t xml:space="preserve">the biological plausibility of some therapies may be much less. For example, in nosocomial catheter associated bacteraemia, </w:t>
      </w:r>
      <w:r w:rsidR="009C78EA">
        <w:rPr>
          <w:rFonts w:ascii="Arial" w:cs="Arial" w:hAnsi="Arial"/>
        </w:rPr>
        <w:t xml:space="preserve">where the primary treatment is catheter removal, </w:t>
      </w:r>
      <w:r w:rsidR="005A4FDF" w:rsidRPr="0064423E">
        <w:rPr>
          <w:rFonts w:ascii="Arial" w:cs="Arial" w:hAnsi="Arial"/>
        </w:rPr>
        <w:t xml:space="preserve">the benefit of adjunctive clindamycin may be much less </w:t>
      </w:r>
      <w:r w:rsidR="00D27725" w:rsidRPr="0064423E">
        <w:rPr>
          <w:rFonts w:ascii="Arial" w:cs="Arial" w:hAnsi="Arial"/>
        </w:rPr>
        <w:t xml:space="preserve">than in </w:t>
      </w:r>
      <w:r w:rsidR="008404FD">
        <w:rPr>
          <w:rFonts w:ascii="Arial" w:cs="Arial" w:hAnsi="Arial"/>
        </w:rPr>
        <w:t xml:space="preserve">patients with a much higher burden of infection </w:t>
      </w:r>
      <w:r w:rsidR="00E1735B">
        <w:rPr>
          <w:rFonts w:ascii="Arial" w:cs="Arial" w:hAnsi="Arial"/>
        </w:rPr>
        <w:t xml:space="preserve">such as </w:t>
      </w:r>
      <w:r w:rsidR="00F3796F">
        <w:rPr>
          <w:rFonts w:ascii="Arial" w:cs="Arial" w:hAnsi="Arial"/>
        </w:rPr>
        <w:t>patients</w:t>
      </w:r>
      <w:r w:rsidR="00263950">
        <w:rPr>
          <w:rFonts w:ascii="Arial" w:cs="Arial" w:hAnsi="Arial"/>
        </w:rPr>
        <w:t xml:space="preserve"> </w:t>
      </w:r>
      <w:r w:rsidR="00E1735B">
        <w:rPr>
          <w:rFonts w:ascii="Arial" w:cs="Arial" w:hAnsi="Arial"/>
        </w:rPr>
        <w:t xml:space="preserve">in with </w:t>
      </w:r>
      <w:r w:rsidR="00F3796F">
        <w:rPr>
          <w:rFonts w:ascii="Arial" w:cs="Arial" w:hAnsi="Arial"/>
        </w:rPr>
        <w:t>higher infection severity or bioburden</w:t>
      </w:r>
      <w:r w:rsidR="00263950">
        <w:rPr>
          <w:rFonts w:ascii="Arial" w:cs="Arial" w:hAnsi="Arial"/>
        </w:rPr>
        <w:t xml:space="preserve"> such as in </w:t>
      </w:r>
      <w:r w:rsidR="00D27725" w:rsidRPr="0064423E">
        <w:rPr>
          <w:rFonts w:ascii="Arial" w:cs="Arial" w:hAnsi="Arial"/>
        </w:rPr>
        <w:t>endocarditis</w:t>
      </w:r>
      <w:r w:rsidR="00E1735B">
        <w:rPr>
          <w:rFonts w:ascii="Arial" w:cs="Arial" w:hAnsi="Arial"/>
        </w:rPr>
        <w:t xml:space="preserve"> and native vertebral osteomyelitis</w:t>
      </w:r>
      <w:r w:rsidR="00D27725" w:rsidRPr="0064423E">
        <w:rPr>
          <w:rFonts w:ascii="Arial" w:cs="Arial" w:hAnsi="Arial"/>
        </w:rPr>
        <w:t xml:space="preserve">. </w:t>
      </w:r>
    </w:p>
    <w:p ns2:paraId="3DB2EE8F" ns2:textId="32B05046" w:rsidP="007D62EF" w:rsidR="005A3FAB" w:rsidRDefault="005A3FAB" w:rsidRPr="0064423E">
      <w:pPr>
        <w:rPr>
          <w:rFonts w:ascii="Arial" w:cs="Arial" w:hAnsi="Arial"/>
        </w:rPr>
      </w:pPr>
      <w:r w:rsidRPr="0064423E">
        <w:rPr>
          <w:rFonts w:ascii="Arial" w:cs="Arial" w:hAnsi="Arial"/>
        </w:rPr>
        <w:t>If treatment effects truly differ between sub</w:t>
      </w:r>
      <w:r w:rsidR="00AE702C" w:rsidRPr="0064423E">
        <w:rPr>
          <w:rFonts w:ascii="Arial" w:cs="Arial" w:hAnsi="Arial"/>
        </w:rPr>
        <w:t>phenotypes</w:t>
      </w:r>
      <w:r w:rsidRPr="0064423E">
        <w:rPr>
          <w:rFonts w:ascii="Arial" w:cs="Arial" w:hAnsi="Arial"/>
        </w:rPr>
        <w:t>, accurately identifying these sub</w:t>
      </w:r>
      <w:r w:rsidR="00AE702C" w:rsidRPr="0064423E">
        <w:rPr>
          <w:rFonts w:ascii="Arial" w:cs="Arial" w:hAnsi="Arial"/>
        </w:rPr>
        <w:t>phenotypes</w:t>
      </w:r>
      <w:r w:rsidRPr="0064423E">
        <w:rPr>
          <w:rFonts w:ascii="Arial" w:cs="Arial" w:hAnsi="Arial"/>
        </w:rPr>
        <w:t xml:space="preserve"> becomes paramount. However, any diagnostic test or classification algorithm used to assign patients to subphenotypes will inevitably have imperfect accuracy</w:t>
      </w:r>
      <w:r w:rsidR="00D45409" w:rsidRPr="0064423E">
        <w:rPr>
          <w:rFonts w:ascii="Arial" w:cs="Arial" w:hAnsi="Arial"/>
        </w:rPr>
        <w:t xml:space="preserve">. </w:t>
      </w:r>
      <w:r w:rsidRPr="0064423E">
        <w:rPr>
          <w:rFonts w:ascii="Arial" w:cs="Arial" w:hAnsi="Arial"/>
        </w:rPr>
        <w:t xml:space="preserve">Misclassifying patients can lead to biased estimates of </w:t>
      </w:r>
      <w:r w:rsidR="008D11DB" w:rsidRPr="0064423E">
        <w:rPr>
          <w:rFonts w:ascii="Arial" w:cs="Arial" w:hAnsi="Arial"/>
        </w:rPr>
        <w:t>s</w:t>
      </w:r>
      <w:r w:rsidR="007A6E25" w:rsidRPr="0064423E">
        <w:rPr>
          <w:rFonts w:ascii="Arial" w:cs="Arial" w:hAnsi="Arial"/>
        </w:rPr>
        <w:t>ubphenotype</w:t>
      </w:r>
      <w:r w:rsidRPr="0064423E">
        <w:rPr>
          <w:rFonts w:ascii="Arial" w:cs="Arial" w:hAnsi="Arial"/>
        </w:rPr>
        <w:t>-specific effects,</w:t>
      </w:r>
      <w:r w:rsidR="00263950">
        <w:rPr>
          <w:rFonts w:ascii="Arial" w:cs="Arial" w:hAnsi="Arial"/>
        </w:rPr>
        <w:t xml:space="preserve"> type 1 error (e.g. false positives), and</w:t>
      </w:r>
      <w:r w:rsidRPr="0064423E">
        <w:rPr>
          <w:rFonts w:ascii="Arial" w:cs="Arial" w:hAnsi="Arial"/>
        </w:rPr>
        <w:t xml:space="preserve"> reduced statistical power to detect true HTE, </w:t>
      </w:r>
      <w:r w:rsidR="00263950">
        <w:rPr>
          <w:rFonts w:ascii="Arial" w:cs="Arial" w:hAnsi="Arial"/>
        </w:rPr>
        <w:t xml:space="preserve">with </w:t>
      </w:r>
      <w:r w:rsidRPr="0064423E">
        <w:rPr>
          <w:rFonts w:ascii="Arial" w:cs="Arial" w:hAnsi="Arial"/>
        </w:rPr>
        <w:t xml:space="preserve">potentially misleading conclusions about which patients benefit or are harmed by a treatment. Understanding the quantitative impact of misclassification is essential for interpreting </w:t>
      </w:r>
      <w:r w:rsidR="008D11DB" w:rsidRPr="0064423E">
        <w:rPr>
          <w:rFonts w:ascii="Arial" w:cs="Arial" w:hAnsi="Arial"/>
        </w:rPr>
        <w:t>s</w:t>
      </w:r>
      <w:r w:rsidR="007A6E25" w:rsidRPr="0064423E">
        <w:rPr>
          <w:rFonts w:ascii="Arial" w:cs="Arial" w:hAnsi="Arial"/>
        </w:rPr>
        <w:t>ubphenotype</w:t>
      </w:r>
      <w:r w:rsidRPr="0064423E">
        <w:rPr>
          <w:rFonts w:ascii="Arial" w:cs="Arial" w:hAnsi="Arial"/>
        </w:rPr>
        <w:t xml:space="preserve"> analyses and designing efficient trials, including potential enrichment strategies</w:t>
      </w:r>
      <w:r w:rsidR="004D1265">
        <w:rPr>
          <w:rFonts w:ascii="Arial" w:cs="Arial" w:hAnsi="Arial"/>
        </w:rPr>
        <w:t xml:space="preserve"> </w:t>
      </w:r>
      <w:r w:rsidR="00B2004F">
        <w:rPr>
          <w:rFonts w:ascii="Arial" w:cs="Arial" w:hAnsi="Arial"/>
        </w:rPr>
        <w:t>and the use of ordinal outcomes</w:t>
      </w:r>
      <w:r w:rsidR="00D2410B" w:rsidRPr="0064423E">
        <w:rPr>
          <w:rFonts w:ascii="Arial" w:cs="Arial" w:hAnsi="Arial"/>
        </w:rPr>
        <w:t>.</w:t>
      </w:r>
      <w:r w:rsidR="003258F4" w:rsidRPr="0064423E">
        <w:rPr>
          <w:rFonts w:ascii="Arial" w:cs="Arial" w:hAnsi="Arial"/>
        </w:rPr>
        <w:t xml:space="preserve"> </w:t>
      </w:r>
    </w:p>
    <w:p ns2:paraId="1476A7B0" ns2:textId="77777777" w:rsidP="005A3FAB" w:rsidR="005A3FAB" w:rsidRDefault="005A3FAB" w:rsidRPr="0064423E">
      <w:pPr>
        <w:rPr>
          <w:rFonts w:ascii="Arial" w:cs="Arial" w:hAnsi="Arial"/>
        </w:rPr>
      </w:pPr>
    </w:p>
    <w:p ns2:paraId="4A9E06B3" ns2:textId="77777777" w:rsidP="006C054E" w:rsidR="00CE7ABC" w:rsidRDefault="006C054E" w:rsidRPr="0064423E">
      <w:pPr>
        <w:rPr>
          <w:rFonts w:ascii="Arial" w:cs="Arial" w:hAnsi="Arial"/>
          <w:u w:val="single"/>
        </w:rPr>
      </w:pPr>
      <w:r w:rsidRPr="0064423E">
        <w:rPr>
          <w:rFonts w:ascii="Arial" w:cs="Arial" w:hAnsi="Arial"/>
          <w:u w:val="single"/>
        </w:rPr>
        <w:t>Methods</w:t>
      </w:r>
    </w:p>
    <w:p ns2:paraId="6FF3B8B0" ns2:textId="0A6A2F17" w:rsidP="006C054E" w:rsidR="006C054E" w:rsidRDefault="006C054E">
      <w:pPr>
        <w:rPr>
          <w:rFonts w:ascii="Arial" w:cs="Arial" w:hAnsi="Arial"/>
        </w:rPr>
      </w:pPr>
      <w:r>
        <w:t>To investigate the interplay between diagnostic accuracy, sample size, and statistical power in trials with substantial treatment-effect heterogeneity, we conducted a comprehensive simulation study using the Aims, data generation, estimands, methods, and performance measures (ADEMP) framework.13 The study was designed to be directly relevant to clinical trials in SAB, with parameters for treatment effects, subphenotype frequencies, and baseline risk taken from recent published literature on SAB subphenotypes. The simulation framework was implemented in R (version 4.5.1) using tidyverse-based scripted analyses.</w:t>
      </w:r>
    </w:p>
    <w:p ns2:paraId="485570CE" ns2:textId="7CB68FE1" w:rsidP="00146BBD" w:rsidR="00146BBD" w:rsidRDefault="00F8049E">
      <w:pPr>
        <w:rPr>
          <w:rFonts w:ascii="Arial" w:cs="Arial" w:hAnsi="Arial"/>
        </w:rPr>
      </w:pPr>
      <w:r>
        <w:rPr>
          <w:rFonts w:ascii="Arial" w:cs="Arial" w:hAnsi="Arial"/>
        </w:rPr>
        <w:t xml:space="preserve">Full details of the simulation study are in the </w:t>
      </w:r>
      <w:r w:rsidR="009F08F9" w:rsidRPr="007D62EF">
        <w:rPr>
          <w:rFonts w:ascii="Arial" w:cs="Arial" w:hAnsi="Arial"/>
          <w:b/>
          <w:bCs/>
        </w:rPr>
        <w:t>S</w:t>
      </w:r>
      <w:r w:rsidRPr="007D62EF">
        <w:rPr>
          <w:rFonts w:ascii="Arial" w:cs="Arial" w:hAnsi="Arial"/>
          <w:b/>
          <w:bCs/>
        </w:rPr>
        <w:t xml:space="preserve">upplementary </w:t>
      </w:r>
      <w:r w:rsidR="009F08F9">
        <w:rPr>
          <w:rFonts w:ascii="Arial" w:cs="Arial" w:hAnsi="Arial"/>
          <w:b/>
          <w:bCs/>
        </w:rPr>
        <w:t>M</w:t>
      </w:r>
      <w:r w:rsidRPr="007D62EF">
        <w:rPr>
          <w:rFonts w:ascii="Arial" w:cs="Arial" w:hAnsi="Arial"/>
          <w:b/>
          <w:bCs/>
        </w:rPr>
        <w:t>ethods</w:t>
      </w:r>
      <w:r>
        <w:rPr>
          <w:rFonts w:ascii="Arial" w:cs="Arial" w:hAnsi="Arial"/>
        </w:rPr>
        <w:t>. We provide a brief overview here.</w:t>
      </w:r>
    </w:p>
    <w:p ns2:paraId="19CF5A7D" ns2:textId="77777777" w:rsidP="00146BBD" w:rsidR="00F40627" w:rsidRDefault="00F40627" w:rsidRPr="00146BBD">
      <w:pPr>
        <w:rPr>
          <w:rFonts w:ascii="Arial" w:cs="Arial" w:hAnsi="Arial"/>
        </w:rPr>
      </w:pPr>
    </w:p>
    <w:p ns2:paraId="10D5744B" ns2:textId="189828C0" w:rsidP="00146BBD" w:rsidR="00146BBD" w:rsidRDefault="00146BBD" w:rsidRPr="007D62EF">
      <w:pPr>
        <w:rPr>
          <w:rFonts w:ascii="Arial" w:cs="Arial" w:hAnsi="Arial"/>
          <w:i/>
          <w:iCs/>
        </w:rPr>
      </w:pPr>
      <w:r w:rsidRPr="007D62EF">
        <w:rPr>
          <w:rFonts w:ascii="Arial" w:cs="Arial" w:hAnsi="Arial"/>
          <w:i/>
          <w:iCs/>
        </w:rPr>
        <w:t>Main analysis:</w:t>
      </w:r>
    </w:p>
    <w:p ns2:paraId="6095C7CB" ns2:textId="1E4E2576" w:rsidP="00146BBD" w:rsidR="00240679" w:rsidRDefault="009F08F9">
      <w:pPr>
        <w:rPr>
          <w:rFonts w:ascii="Arial" w:cs="Arial" w:hAnsi="Arial"/>
        </w:rPr>
      </w:pPr>
      <w:r>
        <w:rPr>
          <w:rFonts w:ascii="Arial" w:cs="Arial" w:hAnsi="Arial"/>
        </w:rPr>
        <w:t>In our main analysis w</w:t>
      </w:r>
      <w:r w:rsidR="00146BBD" w:rsidRPr="00146BBD">
        <w:rPr>
          <w:rFonts w:ascii="Arial" w:cs="Arial" w:hAnsi="Arial"/>
        </w:rPr>
        <w:t xml:space="preserve">e simulated </w:t>
      </w:r>
      <w:r w:rsidR="0065419A">
        <w:rPr>
          <w:rFonts w:ascii="Arial" w:cs="Arial" w:hAnsi="Arial"/>
        </w:rPr>
        <w:t xml:space="preserve">a simple, two arm </w:t>
      </w:r>
      <w:r w:rsidR="00146BBD" w:rsidRPr="00146BBD">
        <w:rPr>
          <w:rFonts w:ascii="Arial" w:cs="Arial" w:hAnsi="Arial"/>
        </w:rPr>
        <w:t>randomized trial with subgroup-specific treatment effects</w:t>
      </w:r>
      <w:r>
        <w:rPr>
          <w:rFonts w:ascii="Arial" w:cs="Arial" w:hAnsi="Arial"/>
        </w:rPr>
        <w:t xml:space="preserve"> derived from </w:t>
      </w:r>
      <w:r w:rsidR="007D62EF">
        <w:rPr>
          <w:rFonts w:ascii="Arial" w:cs="Arial" w:hAnsi="Arial"/>
        </w:rPr>
        <w:t xml:space="preserve">an analysis of </w:t>
      </w:r>
      <w:r>
        <w:rPr>
          <w:rFonts w:ascii="Arial" w:cs="Arial" w:hAnsi="Arial"/>
        </w:rPr>
        <w:t>the ARREST trial</w:t>
      </w:r>
      <w:r w:rsidR="004B1764">
        <w:rPr>
          <w:rFonts w:ascii="Arial" w:cs="Arial" w:hAnsi="Arial"/>
        </w:rPr>
        <w:t xml:space="preserve"> to get base estimates of the sample size required to identify sub-phenotypes in SAB</w:t>
      </w:r>
      <w:r w:rsidR="0065419A">
        <w:rPr>
          <w:rFonts w:ascii="Arial" w:cs="Arial" w:hAnsi="Arial"/>
        </w:rPr>
        <w:t>.</w:t>
      </w:r>
      <w:r w:rsidR="004B1764">
        <w:rPr>
          <w:rFonts w:ascii="Arial" w:cs="Arial" w:hAnsi="Arial"/>
        </w:rPr>
        <w:t xml:space="preserve"> We</w:t>
      </w:r>
      <w:r w:rsidR="00146BBD" w:rsidRPr="00146BBD">
        <w:rPr>
          <w:rFonts w:ascii="Arial" w:cs="Arial" w:hAnsi="Arial"/>
        </w:rPr>
        <w:t xml:space="preserve"> then imposed imperfect subphenotype classification, and estimated subgroup effects using observed (potentially misclassified) subphenotypes.</w:t>
      </w:r>
      <w:r w:rsidR="00240679">
        <w:rPr>
          <w:rFonts w:ascii="Arial" w:cs="Arial" w:hAnsi="Arial"/>
        </w:rPr>
        <w:t xml:space="preserve"> </w:t>
      </w:r>
      <w:r w:rsidR="00240679" w:rsidRPr="007D62EF">
        <w:rPr>
          <w:rFonts w:ascii="Arial" w:cs="Arial" w:hAnsi="Arial"/>
          <w:b/>
          <w:bCs/>
        </w:rPr>
        <w:t>Table 1</w:t>
      </w:r>
      <w:r w:rsidR="00240679">
        <w:rPr>
          <w:rFonts w:ascii="Arial" w:cs="Arial" w:hAnsi="Arial"/>
        </w:rPr>
        <w:t xml:space="preserve"> describes the main simulated estimation </w:t>
      </w:r>
      <w:r w:rsidR="004B1764">
        <w:rPr>
          <w:rFonts w:ascii="Arial" w:cs="Arial" w:hAnsi="Arial"/>
        </w:rPr>
        <w:t>parameters;</w:t>
      </w:r>
      <w:r w:rsidR="00240679">
        <w:rPr>
          <w:rFonts w:ascii="Arial" w:cs="Arial" w:hAnsi="Arial"/>
        </w:rPr>
        <w:t xml:space="preserve"> these were taken from the frequencies and baseline mortality of the </w:t>
      </w:r>
      <w:r w:rsidR="00A4474B">
        <w:rPr>
          <w:rFonts w:ascii="Arial" w:cs="Arial" w:hAnsi="Arial"/>
        </w:rPr>
        <w:t xml:space="preserve">sub-phenotypes derived from ARREST. As the effect sizes were </w:t>
      </w:r>
      <w:r w:rsidR="007D62EF">
        <w:rPr>
          <w:rFonts w:ascii="Arial" w:cs="Arial" w:hAnsi="Arial"/>
        </w:rPr>
        <w:t xml:space="preserve">very large </w:t>
      </w:r>
      <w:r w:rsidR="00A4474B">
        <w:rPr>
          <w:rFonts w:ascii="Arial" w:cs="Arial" w:hAnsi="Arial"/>
        </w:rPr>
        <w:t>in the recent analyses</w:t>
      </w:r>
      <w:r w:rsidR="007D62EF">
        <w:rPr>
          <w:rFonts w:ascii="Arial" w:cs="Arial" w:hAnsi="Arial"/>
        </w:rPr>
        <w:t xml:space="preserve"> due to Winner’s curse</w:t>
      </w:r>
      <w:r w:rsidR="00A4474B">
        <w:rPr>
          <w:rFonts w:ascii="Arial" w:cs="Arial" w:hAnsi="Arial"/>
        </w:rPr>
        <w:t>, these were shrunk</w:t>
      </w:r>
      <w:r w:rsidR="007D62EF">
        <w:rPr>
          <w:rFonts w:ascii="Arial" w:cs="Arial" w:hAnsi="Arial"/>
        </w:rPr>
        <w:t xml:space="preserve"> by 50%</w:t>
      </w:r>
      <w:r w:rsidR="00A4474B">
        <w:rPr>
          <w:rFonts w:ascii="Arial" w:cs="Arial" w:hAnsi="Arial"/>
        </w:rPr>
        <w:t xml:space="preserve"> to more conservative effects</w:t>
      </w:r>
      <w:r w:rsidR="007D62EF">
        <w:rPr>
          <w:rFonts w:ascii="Arial" w:cs="Arial" w:hAnsi="Arial"/>
        </w:rPr>
        <w:t xml:space="preserve"> for the simulations. </w:t>
      </w:r>
    </w:p>
    <w:p ns2:paraId="0864FBD8" ns2:textId="77777777" w:rsidP="00240679" w:rsidR="00240679" w:rsidRDefault="00240679" w:rsidRPr="0064423E">
      <w:pPr>
        <w:rPr>
          <w:rFonts w:ascii="Arial" w:cs="Arial" w:hAnsi="Arial"/>
        </w:rPr>
      </w:pPr>
    </w:p>
    <w:p ns2:paraId="251E50C2" ns2:textId="77777777" w:rsidP="00240679" w:rsidR="00240679" w:rsidRDefault="00240679" w:rsidRPr="0064423E">
      <w:pPr>
        <w:rPr>
          <w:rFonts w:ascii="Arial" w:cs="Arial" w:hAnsi="Arial"/>
        </w:rPr>
      </w:pPr>
      <w:r w:rsidRPr="0064423E">
        <w:rPr>
          <w:rFonts w:ascii="Arial" w:cs="Arial" w:hAnsi="Arial"/>
          <w:b/>
          <w:bCs/>
        </w:rPr>
        <w:t>Table 1:</w:t>
      </w:r>
      <w:r w:rsidRPr="0064423E">
        <w:rPr>
          <w:rFonts w:ascii="Arial" w:cs="Arial" w:hAnsi="Arial"/>
        </w:rPr>
        <w:t xml:space="preserve"> Main estimation parameters, with the conservative OR representing a 50% decrease on the log-odds scale.</w:t>
      </w:r>
    </w:p>
    <w:tbl>
      <w:tblPr>
        <w:tblStyle w:val="TableGrid"/>
        <w:tblpPr w:horzAnchor="margin" w:leftFromText="180" w:rightFromText="180" w:tblpY="405" w:vertAnchor="text"/>
        <w:tblW w:type="dxa" w:w="9493"/>
        <w:tblLook w:firstColumn="1" w:firstRow="1" w:lastColumn="0" w:lastRow="0" w:noHBand="0" w:noVBand="1" w:val="04A0"/>
      </w:tblPr>
      <w:tblGrid>
        <w:gridCol w:w="1765"/>
        <w:gridCol w:w="1724"/>
        <w:gridCol w:w="1751"/>
        <w:gridCol w:w="1701"/>
        <w:gridCol w:w="2552"/>
      </w:tblGrid>
      <w:tr ns2:paraId="68606077" ns2:textId="77777777" w:rsidR="00240679" w:rsidRPr="0064423E" w:rsidTr="007D62EF">
        <w:tc>
          <w:tcPr>
            <w:tcW w:type="auto" w:w="0"/>
            <w:hideMark/>
          </w:tcPr>
          <w:p ns2:paraId="170CDA4D" ns2:textId="77777777" w:rsidP="006548FA" w:rsidR="00240679" w:rsidRDefault="00240679" w:rsidRPr="0064423E">
            <w:pPr>
              <w:spacing w:after="160" w:line="278" w:lineRule="auto"/>
              <w:rPr>
                <w:rFonts w:ascii="Arial" w:cs="Arial" w:hAnsi="Arial"/>
              </w:rPr>
            </w:pPr>
            <w:r w:rsidRPr="0064423E">
              <w:rPr>
                <w:rFonts w:ascii="Arial" w:cs="Arial" w:hAnsi="Arial"/>
              </w:rPr>
              <w:t>Subphenotype</w:t>
            </w:r>
          </w:p>
        </w:tc>
        <w:tc>
          <w:tcPr>
            <w:tcW w:type="dxa" w:w="1724"/>
            <w:hideMark/>
          </w:tcPr>
          <w:p ns2:paraId="631F7BCF" ns2:textId="77777777" w:rsidP="006548FA" w:rsidR="00240679" w:rsidRDefault="00240679" w:rsidRPr="0064423E">
            <w:pPr>
              <w:spacing w:after="160" w:line="278" w:lineRule="auto"/>
              <w:jc w:val="both"/>
              <w:rPr>
                <w:rFonts w:ascii="Arial" w:cs="Arial" w:hAnsi="Arial"/>
              </w:rPr>
            </w:pPr>
            <w:r w:rsidRPr="0064423E">
              <w:rPr>
                <w:rFonts w:ascii="Arial" w:cs="Arial" w:hAnsi="Arial"/>
              </w:rPr>
              <w:t xml:space="preserve">Frequency </w:t>
            </w:r>
            <w:r>
              <w:rPr>
                <w:rFonts w:ascii="Arial" w:cs="Arial" w:hAnsi="Arial"/>
              </w:rPr>
              <w:t>of subphenotype in ARREST cohort</w:t>
            </w:r>
            <w:r w:rsidRPr="0064423E">
              <w:rPr>
                <w:rFonts w:ascii="Arial" w:cs="Arial" w:hAnsi="Arial"/>
              </w:rPr>
              <w:t xml:space="preserve"> (%)</w:t>
            </w:r>
          </w:p>
        </w:tc>
        <w:tc>
          <w:tcPr>
            <w:tcW w:type="dxa" w:w="1751"/>
            <w:hideMark/>
          </w:tcPr>
          <w:p ns2:paraId="49DDAB1C" ns2:textId="5D64BC95" w:rsidP="006548FA" w:rsidR="00240679" w:rsidRDefault="00240679" w:rsidRPr="0064423E">
            <w:pPr>
              <w:spacing w:after="160" w:line="278" w:lineRule="auto"/>
              <w:jc w:val="both"/>
              <w:rPr>
                <w:rFonts w:ascii="Arial" w:cs="Arial" w:hAnsi="Arial"/>
              </w:rPr>
            </w:pPr>
            <w:r w:rsidRPr="0064423E">
              <w:rPr>
                <w:rFonts w:ascii="Arial" w:cs="Arial" w:hAnsi="Arial"/>
              </w:rPr>
              <w:t>Baseline mortality</w:t>
            </w:r>
            <w:r>
              <w:rPr>
                <w:rFonts w:ascii="Arial" w:cs="Arial" w:hAnsi="Arial"/>
              </w:rPr>
              <w:t xml:space="preserve"> across both arms</w:t>
            </w:r>
            <w:r w:rsidRPr="0064423E">
              <w:rPr>
                <w:rFonts w:ascii="Arial" w:cs="Arial" w:hAnsi="Arial"/>
              </w:rPr>
              <w:t xml:space="preserve"> (%)</w:t>
            </w:r>
          </w:p>
        </w:tc>
        <w:tc>
          <w:tcPr>
            <w:tcW w:type="dxa" w:w="1701"/>
            <w:hideMark/>
          </w:tcPr>
          <w:p ns2:paraId="57FA3520" ns2:textId="77777777" w:rsidP="006548FA" w:rsidR="00240679" w:rsidRDefault="00240679" w:rsidRPr="0064423E">
            <w:pPr>
              <w:spacing w:after="160" w:line="278" w:lineRule="auto"/>
              <w:jc w:val="both"/>
              <w:rPr>
                <w:rFonts w:ascii="Arial" w:cs="Arial" w:hAnsi="Arial"/>
              </w:rPr>
            </w:pPr>
            <w:r>
              <w:rPr>
                <w:rFonts w:ascii="Arial" w:cs="Arial" w:hAnsi="Arial"/>
              </w:rPr>
              <w:t xml:space="preserve">Original </w:t>
            </w:r>
            <w:r w:rsidRPr="0064423E">
              <w:rPr>
                <w:rFonts w:ascii="Arial" w:cs="Arial" w:hAnsi="Arial"/>
              </w:rPr>
              <w:t xml:space="preserve">OR </w:t>
            </w:r>
            <w:r>
              <w:rPr>
                <w:rFonts w:ascii="Arial" w:cs="Arial" w:hAnsi="Arial"/>
              </w:rPr>
              <w:t xml:space="preserve">for 84d mortality </w:t>
            </w:r>
            <w:r w:rsidRPr="0064423E">
              <w:rPr>
                <w:rFonts w:ascii="Arial" w:cs="Arial" w:hAnsi="Arial"/>
              </w:rPr>
              <w:t>(Swets, original)</w:t>
            </w:r>
          </w:p>
        </w:tc>
        <w:tc>
          <w:tcPr>
            <w:tcW w:type="dxa" w:w="2552"/>
            <w:hideMark/>
          </w:tcPr>
          <w:p ns2:paraId="34D4F24E" ns2:textId="77777777" w:rsidP="006548FA" w:rsidR="00240679" w:rsidRDefault="00240679" w:rsidRPr="0064423E">
            <w:pPr>
              <w:spacing w:after="160" w:line="278" w:lineRule="auto"/>
              <w:jc w:val="both"/>
              <w:rPr>
                <w:rFonts w:ascii="Arial" w:cs="Arial" w:hAnsi="Arial"/>
              </w:rPr>
            </w:pPr>
            <w:r>
              <w:rPr>
                <w:rFonts w:ascii="Arial" w:cs="Arial" w:hAnsi="Arial"/>
              </w:rPr>
              <w:t xml:space="preserve">Conservative </w:t>
            </w:r>
            <w:r w:rsidRPr="0064423E">
              <w:rPr>
                <w:rFonts w:ascii="Arial" w:cs="Arial" w:hAnsi="Arial"/>
              </w:rPr>
              <w:t>OR</w:t>
            </w:r>
            <w:r>
              <w:rPr>
                <w:rFonts w:ascii="Arial" w:cs="Arial" w:hAnsi="Arial"/>
              </w:rPr>
              <w:t xml:space="preserve"> for 84d mortality </w:t>
            </w:r>
            <w:r w:rsidRPr="0064423E">
              <w:rPr>
                <w:rFonts w:ascii="Arial" w:cs="Arial" w:hAnsi="Arial"/>
              </w:rPr>
              <w:t>(conservative)</w:t>
            </w:r>
          </w:p>
        </w:tc>
      </w:tr>
      <w:tr ns2:paraId="00B28806" ns2:textId="77777777" w:rsidR="00240679" w:rsidRPr="0064423E" w:rsidTr="007D62EF">
        <w:tc>
          <w:tcPr>
            <w:tcW w:type="auto" w:w="0"/>
            <w:hideMark/>
          </w:tcPr>
          <w:p ns2:paraId="5461B608" ns2:textId="77777777" w:rsidP="006548FA" w:rsidR="00240679" w:rsidRDefault="00240679" w:rsidRPr="0064423E">
            <w:pPr>
              <w:spacing w:after="160" w:line="278" w:lineRule="auto"/>
              <w:rPr>
                <w:rFonts w:ascii="Arial" w:cs="Arial" w:hAnsi="Arial"/>
              </w:rPr>
            </w:pPr>
            <w:r w:rsidRPr="0064423E">
              <w:rPr>
                <w:rFonts w:ascii="Arial" w:cs="Arial" w:hAnsi="Arial"/>
                <w:b/>
                <w:bCs/>
              </w:rPr>
              <w:t>A</w:t>
            </w:r>
          </w:p>
        </w:tc>
        <w:tc>
          <w:tcPr>
            <w:tcW w:type="dxa" w:w="1724"/>
            <w:hideMark/>
          </w:tcPr>
          <w:p ns2:paraId="439133F6" ns2:textId="77777777" w:rsidP="006548FA" w:rsidR="00240679" w:rsidRDefault="00240679" w:rsidRPr="0064423E">
            <w:pPr>
              <w:spacing w:after="160" w:line="278" w:lineRule="auto"/>
              <w:rPr>
                <w:rFonts w:ascii="Arial" w:cs="Arial" w:hAnsi="Arial"/>
              </w:rPr>
            </w:pPr>
            <w:r w:rsidRPr="0064423E">
              <w:rPr>
                <w:rFonts w:ascii="Arial" w:cs="Arial" w:hAnsi="Arial"/>
              </w:rPr>
              <w:t>15.5</w:t>
            </w:r>
          </w:p>
        </w:tc>
        <w:tc>
          <w:tcPr>
            <w:tcW w:type="dxa" w:w="1751"/>
            <w:hideMark/>
          </w:tcPr>
          <w:p ns2:paraId="34834327" ns2:textId="77777777" w:rsidP="006548FA" w:rsidR="00240679" w:rsidRDefault="00240679" w:rsidRPr="0064423E">
            <w:pPr>
              <w:spacing w:after="160" w:line="278" w:lineRule="auto"/>
              <w:rPr>
                <w:rFonts w:ascii="Arial" w:cs="Arial" w:hAnsi="Arial"/>
              </w:rPr>
            </w:pPr>
            <w:r w:rsidRPr="0064423E">
              <w:rPr>
                <w:rFonts w:ascii="Arial" w:cs="Arial" w:hAnsi="Arial"/>
              </w:rPr>
              <w:t>11.7</w:t>
            </w:r>
          </w:p>
        </w:tc>
        <w:tc>
          <w:tcPr>
            <w:tcW w:type="dxa" w:w="1701"/>
            <w:hideMark/>
          </w:tcPr>
          <w:p ns2:paraId="2AB40064" ns2:textId="77777777" w:rsidP="006548FA" w:rsidR="00240679" w:rsidRDefault="00240679" w:rsidRPr="0064423E">
            <w:pPr>
              <w:spacing w:after="160" w:line="278" w:lineRule="auto"/>
              <w:rPr>
                <w:rFonts w:ascii="Arial" w:cs="Arial" w:hAnsi="Arial"/>
              </w:rPr>
            </w:pPr>
            <w:r w:rsidRPr="0064423E">
              <w:rPr>
                <w:rFonts w:ascii="Arial" w:cs="Arial" w:hAnsi="Arial"/>
              </w:rPr>
              <w:t>1.0</w:t>
            </w:r>
          </w:p>
        </w:tc>
        <w:tc>
          <w:tcPr>
            <w:tcW w:type="dxa" w:w="2552"/>
            <w:hideMark/>
          </w:tcPr>
          <w:p ns2:paraId="567FD245" ns2:textId="77777777" w:rsidP="006548FA" w:rsidR="00240679" w:rsidRDefault="00240679" w:rsidRPr="0064423E">
            <w:pPr>
              <w:spacing w:after="160" w:line="278" w:lineRule="auto"/>
              <w:rPr>
                <w:rFonts w:ascii="Arial" w:cs="Arial" w:hAnsi="Arial"/>
              </w:rPr>
            </w:pPr>
            <w:r w:rsidRPr="0064423E">
              <w:rPr>
                <w:rFonts w:ascii="Arial" w:cs="Arial" w:hAnsi="Arial"/>
              </w:rPr>
              <w:t>1.0</w:t>
            </w:r>
          </w:p>
        </w:tc>
      </w:tr>
      <w:tr ns2:paraId="1770D2F5" ns2:textId="77777777" w:rsidR="00240679" w:rsidRPr="0064423E" w:rsidTr="007D62EF">
        <w:tc>
          <w:tcPr>
            <w:tcW w:type="auto" w:w="0"/>
            <w:hideMark/>
          </w:tcPr>
          <w:p ns2:paraId="5C18F152" ns2:textId="77777777" w:rsidP="006548FA" w:rsidR="00240679" w:rsidRDefault="00240679" w:rsidRPr="0064423E">
            <w:pPr>
              <w:spacing w:after="160" w:line="278" w:lineRule="auto"/>
              <w:rPr>
                <w:rFonts w:ascii="Arial" w:cs="Arial" w:hAnsi="Arial"/>
              </w:rPr>
            </w:pPr>
            <w:r w:rsidRPr="0064423E">
              <w:rPr>
                <w:rFonts w:ascii="Arial" w:cs="Arial" w:hAnsi="Arial"/>
                <w:b/>
                <w:bCs/>
              </w:rPr>
              <w:t>B</w:t>
            </w:r>
          </w:p>
        </w:tc>
        <w:tc>
          <w:tcPr>
            <w:tcW w:type="dxa" w:w="1724"/>
            <w:hideMark/>
          </w:tcPr>
          <w:p ns2:paraId="43EEB7E6" ns2:textId="77777777" w:rsidP="006548FA" w:rsidR="00240679" w:rsidRDefault="00240679" w:rsidRPr="0064423E">
            <w:pPr>
              <w:spacing w:after="160" w:line="278" w:lineRule="auto"/>
              <w:rPr>
                <w:rFonts w:ascii="Arial" w:cs="Arial" w:hAnsi="Arial"/>
              </w:rPr>
            </w:pPr>
            <w:r w:rsidRPr="0064423E">
              <w:rPr>
                <w:rFonts w:ascii="Arial" w:cs="Arial" w:hAnsi="Arial"/>
              </w:rPr>
              <w:t>13.4</w:t>
            </w:r>
          </w:p>
        </w:tc>
        <w:tc>
          <w:tcPr>
            <w:tcW w:type="dxa" w:w="1751"/>
            <w:hideMark/>
          </w:tcPr>
          <w:p ns2:paraId="3811C115" ns2:textId="77777777" w:rsidP="006548FA" w:rsidR="00240679" w:rsidRDefault="00240679" w:rsidRPr="0064423E">
            <w:pPr>
              <w:spacing w:after="160" w:line="278" w:lineRule="auto"/>
              <w:rPr>
                <w:rFonts w:ascii="Arial" w:cs="Arial" w:hAnsi="Arial"/>
              </w:rPr>
            </w:pPr>
            <w:r w:rsidRPr="0064423E">
              <w:rPr>
                <w:rFonts w:ascii="Arial" w:cs="Arial" w:hAnsi="Arial"/>
              </w:rPr>
              <w:t>1.0</w:t>
            </w:r>
          </w:p>
        </w:tc>
        <w:tc>
          <w:tcPr>
            <w:tcW w:type="dxa" w:w="1701"/>
            <w:hideMark/>
          </w:tcPr>
          <w:p ns2:paraId="1C2903E5" ns2:textId="77777777" w:rsidP="006548FA" w:rsidR="00240679" w:rsidRDefault="00240679" w:rsidRPr="0064423E">
            <w:pPr>
              <w:spacing w:after="160" w:line="278" w:lineRule="auto"/>
              <w:rPr>
                <w:rFonts w:ascii="Arial" w:cs="Arial" w:hAnsi="Arial"/>
              </w:rPr>
            </w:pPr>
            <w:r w:rsidRPr="0064423E">
              <w:rPr>
                <w:rFonts w:ascii="Arial" w:cs="Arial" w:hAnsi="Arial"/>
              </w:rPr>
              <w:t>18.8</w:t>
            </w:r>
          </w:p>
        </w:tc>
        <w:tc>
          <w:tcPr>
            <w:tcW w:type="dxa" w:w="2552"/>
            <w:hideMark/>
          </w:tcPr>
          <w:p ns2:paraId="6C8723AF" ns2:textId="77777777" w:rsidP="006548FA" w:rsidR="00240679" w:rsidRDefault="00240679" w:rsidRPr="0064423E">
            <w:pPr>
              <w:spacing w:after="160" w:line="278" w:lineRule="auto"/>
              <w:rPr>
                <w:rFonts w:ascii="Arial" w:cs="Arial" w:hAnsi="Arial"/>
              </w:rPr>
            </w:pPr>
            <w:r w:rsidRPr="0064423E">
              <w:rPr>
                <w:rFonts w:ascii="Arial" w:cs="Arial" w:hAnsi="Arial"/>
              </w:rPr>
              <w:t>4.3</w:t>
            </w:r>
          </w:p>
        </w:tc>
      </w:tr>
      <w:tr ns2:paraId="5302C11C" ns2:textId="77777777" w:rsidR="00240679" w:rsidRPr="0064423E" w:rsidTr="007D62EF">
        <w:tc>
          <w:tcPr>
            <w:tcW w:type="auto" w:w="0"/>
            <w:hideMark/>
          </w:tcPr>
          <w:p ns2:paraId="5E59C783" ns2:textId="77777777" w:rsidP="006548FA" w:rsidR="00240679" w:rsidRDefault="00240679" w:rsidRPr="0064423E">
            <w:pPr>
              <w:spacing w:after="160" w:line="278" w:lineRule="auto"/>
              <w:rPr>
                <w:rFonts w:ascii="Arial" w:cs="Arial" w:hAnsi="Arial"/>
              </w:rPr>
            </w:pPr>
            <w:r w:rsidRPr="0064423E">
              <w:rPr>
                <w:rFonts w:ascii="Arial" w:cs="Arial" w:hAnsi="Arial"/>
                <w:b/>
                <w:bCs/>
              </w:rPr>
              <w:t>C</w:t>
            </w:r>
          </w:p>
        </w:tc>
        <w:tc>
          <w:tcPr>
            <w:tcW w:type="dxa" w:w="1724"/>
            <w:hideMark/>
          </w:tcPr>
          <w:p ns2:paraId="3547C382" ns2:textId="77777777" w:rsidP="006548FA" w:rsidR="00240679" w:rsidRDefault="00240679" w:rsidRPr="0064423E">
            <w:pPr>
              <w:spacing w:after="160" w:line="278" w:lineRule="auto"/>
              <w:rPr>
                <w:rFonts w:ascii="Arial" w:cs="Arial" w:hAnsi="Arial"/>
              </w:rPr>
            </w:pPr>
            <w:r w:rsidRPr="0064423E">
              <w:rPr>
                <w:rFonts w:ascii="Arial" w:cs="Arial" w:hAnsi="Arial"/>
              </w:rPr>
              <w:t>35.6</w:t>
            </w:r>
          </w:p>
        </w:tc>
        <w:tc>
          <w:tcPr>
            <w:tcW w:type="dxa" w:w="1751"/>
            <w:hideMark/>
          </w:tcPr>
          <w:p ns2:paraId="1D2420AE" ns2:textId="77777777" w:rsidP="006548FA" w:rsidR="00240679" w:rsidRDefault="00240679" w:rsidRPr="0064423E">
            <w:pPr>
              <w:spacing w:after="160" w:line="278" w:lineRule="auto"/>
              <w:rPr>
                <w:rFonts w:ascii="Arial" w:cs="Arial" w:hAnsi="Arial"/>
              </w:rPr>
            </w:pPr>
            <w:r w:rsidRPr="0064423E">
              <w:rPr>
                <w:rFonts w:ascii="Arial" w:cs="Arial" w:hAnsi="Arial"/>
              </w:rPr>
              <w:t>8.0</w:t>
            </w:r>
          </w:p>
        </w:tc>
        <w:tc>
          <w:tcPr>
            <w:tcW w:type="dxa" w:w="1701"/>
            <w:hideMark/>
          </w:tcPr>
          <w:p ns2:paraId="0E066D82" ns2:textId="77777777" w:rsidP="006548FA" w:rsidR="00240679" w:rsidRDefault="00240679" w:rsidRPr="0064423E">
            <w:pPr>
              <w:spacing w:after="160" w:line="278" w:lineRule="auto"/>
              <w:rPr>
                <w:rFonts w:ascii="Arial" w:cs="Arial" w:hAnsi="Arial"/>
              </w:rPr>
            </w:pPr>
            <w:r w:rsidRPr="0064423E">
              <w:rPr>
                <w:rFonts w:ascii="Arial" w:cs="Arial" w:hAnsi="Arial"/>
              </w:rPr>
              <w:t>0.79</w:t>
            </w:r>
          </w:p>
        </w:tc>
        <w:tc>
          <w:tcPr>
            <w:tcW w:type="dxa" w:w="2552"/>
            <w:hideMark/>
          </w:tcPr>
          <w:p ns2:paraId="27A3D3D8" ns2:textId="77777777" w:rsidP="006548FA" w:rsidR="00240679" w:rsidRDefault="00240679" w:rsidRPr="0064423E">
            <w:pPr>
              <w:spacing w:after="160" w:line="278" w:lineRule="auto"/>
              <w:rPr>
                <w:rFonts w:ascii="Arial" w:cs="Arial" w:hAnsi="Arial"/>
              </w:rPr>
            </w:pPr>
            <w:r w:rsidRPr="0064423E">
              <w:rPr>
                <w:rFonts w:ascii="Arial" w:cs="Arial" w:hAnsi="Arial"/>
              </w:rPr>
              <w:t>0.89</w:t>
            </w:r>
          </w:p>
        </w:tc>
      </w:tr>
      <w:tr ns2:paraId="52EB88B7" ns2:textId="77777777" w:rsidR="00240679" w:rsidRPr="0064423E" w:rsidTr="007D62EF">
        <w:tc>
          <w:tcPr>
            <w:tcW w:type="auto" w:w="0"/>
            <w:hideMark/>
          </w:tcPr>
          <w:p ns2:paraId="2BB73F7E" ns2:textId="77777777" w:rsidP="006548FA" w:rsidR="00240679" w:rsidRDefault="00240679" w:rsidRPr="0064423E">
            <w:pPr>
              <w:spacing w:after="160" w:line="278" w:lineRule="auto"/>
              <w:rPr>
                <w:rFonts w:ascii="Arial" w:cs="Arial" w:hAnsi="Arial"/>
              </w:rPr>
            </w:pPr>
            <w:r w:rsidRPr="0064423E">
              <w:rPr>
                <w:rFonts w:ascii="Arial" w:cs="Arial" w:hAnsi="Arial"/>
                <w:b/>
                <w:bCs/>
              </w:rPr>
              <w:t>D</w:t>
            </w:r>
          </w:p>
        </w:tc>
        <w:tc>
          <w:tcPr>
            <w:tcW w:type="dxa" w:w="1724"/>
            <w:hideMark/>
          </w:tcPr>
          <w:p ns2:paraId="300B82F7" ns2:textId="77777777" w:rsidP="006548FA" w:rsidR="00240679" w:rsidRDefault="00240679" w:rsidRPr="0064423E">
            <w:pPr>
              <w:spacing w:after="160" w:line="278" w:lineRule="auto"/>
              <w:rPr>
                <w:rFonts w:ascii="Arial" w:cs="Arial" w:hAnsi="Arial"/>
              </w:rPr>
            </w:pPr>
            <w:r w:rsidRPr="0064423E">
              <w:rPr>
                <w:rFonts w:ascii="Arial" w:cs="Arial" w:hAnsi="Arial"/>
              </w:rPr>
              <w:t>17.8</w:t>
            </w:r>
          </w:p>
        </w:tc>
        <w:tc>
          <w:tcPr>
            <w:tcW w:type="dxa" w:w="1751"/>
            <w:hideMark/>
          </w:tcPr>
          <w:p ns2:paraId="44AC0E6E" ns2:textId="77777777" w:rsidP="006548FA" w:rsidR="00240679" w:rsidRDefault="00240679" w:rsidRPr="0064423E">
            <w:pPr>
              <w:spacing w:after="160" w:line="278" w:lineRule="auto"/>
              <w:rPr>
                <w:rFonts w:ascii="Arial" w:cs="Arial" w:hAnsi="Arial"/>
              </w:rPr>
            </w:pPr>
            <w:r w:rsidRPr="0064423E">
              <w:rPr>
                <w:rFonts w:ascii="Arial" w:cs="Arial" w:hAnsi="Arial"/>
              </w:rPr>
              <w:t>15.9</w:t>
            </w:r>
          </w:p>
        </w:tc>
        <w:tc>
          <w:tcPr>
            <w:tcW w:type="dxa" w:w="1701"/>
            <w:hideMark/>
          </w:tcPr>
          <w:p ns2:paraId="17B25D7E" ns2:textId="77777777" w:rsidP="006548FA" w:rsidR="00240679" w:rsidRDefault="00240679" w:rsidRPr="0064423E">
            <w:pPr>
              <w:spacing w:after="160" w:line="278" w:lineRule="auto"/>
              <w:rPr>
                <w:rFonts w:ascii="Arial" w:cs="Arial" w:hAnsi="Arial"/>
              </w:rPr>
            </w:pPr>
            <w:r w:rsidRPr="0064423E">
              <w:rPr>
                <w:rFonts w:ascii="Arial" w:cs="Arial" w:hAnsi="Arial"/>
              </w:rPr>
              <w:t>1.40</w:t>
            </w:r>
          </w:p>
        </w:tc>
        <w:tc>
          <w:tcPr>
            <w:tcW w:type="dxa" w:w="2552"/>
            <w:hideMark/>
          </w:tcPr>
          <w:p ns2:paraId="30B961D9" ns2:textId="77777777" w:rsidP="006548FA" w:rsidR="00240679" w:rsidRDefault="00240679" w:rsidRPr="0064423E">
            <w:pPr>
              <w:spacing w:after="160" w:line="278" w:lineRule="auto"/>
              <w:rPr>
                <w:rFonts w:ascii="Arial" w:cs="Arial" w:hAnsi="Arial"/>
              </w:rPr>
            </w:pPr>
            <w:r w:rsidRPr="0064423E">
              <w:rPr>
                <w:rFonts w:ascii="Arial" w:cs="Arial" w:hAnsi="Arial"/>
              </w:rPr>
              <w:t>1.18</w:t>
            </w:r>
          </w:p>
        </w:tc>
      </w:tr>
      <w:tr ns2:paraId="002B150B" ns2:textId="77777777" w:rsidR="00240679" w:rsidRPr="0064423E" w:rsidTr="007D62EF">
        <w:tc>
          <w:tcPr>
            <w:tcW w:type="auto" w:w="0"/>
            <w:hideMark/>
          </w:tcPr>
          <w:p ns2:paraId="30E8A7E0" ns2:textId="77777777" w:rsidP="006548FA" w:rsidR="00240679" w:rsidRDefault="00240679" w:rsidRPr="0064423E">
            <w:pPr>
              <w:spacing w:after="160" w:line="278" w:lineRule="auto"/>
              <w:rPr>
                <w:rFonts w:ascii="Arial" w:cs="Arial" w:hAnsi="Arial"/>
              </w:rPr>
            </w:pPr>
            <w:r w:rsidRPr="0064423E">
              <w:rPr>
                <w:rFonts w:ascii="Arial" w:cs="Arial" w:hAnsi="Arial"/>
                <w:b/>
                <w:bCs/>
              </w:rPr>
              <w:lastRenderedPageBreak/>
              <w:t>E</w:t>
            </w:r>
          </w:p>
        </w:tc>
        <w:tc>
          <w:tcPr>
            <w:tcW w:type="dxa" w:w="1724"/>
            <w:hideMark/>
          </w:tcPr>
          <w:p ns2:paraId="687D1C95" ns2:textId="77777777" w:rsidP="006548FA" w:rsidR="00240679" w:rsidRDefault="00240679" w:rsidRPr="0064423E">
            <w:pPr>
              <w:spacing w:after="160" w:line="278" w:lineRule="auto"/>
              <w:rPr>
                <w:rFonts w:ascii="Arial" w:cs="Arial" w:hAnsi="Arial"/>
              </w:rPr>
            </w:pPr>
            <w:r w:rsidRPr="0064423E">
              <w:rPr>
                <w:rFonts w:ascii="Arial" w:cs="Arial" w:hAnsi="Arial"/>
              </w:rPr>
              <w:t>17.8</w:t>
            </w:r>
          </w:p>
        </w:tc>
        <w:tc>
          <w:tcPr>
            <w:tcW w:type="dxa" w:w="1751"/>
            <w:hideMark/>
          </w:tcPr>
          <w:p ns2:paraId="22BE62A9" ns2:textId="77777777" w:rsidP="006548FA" w:rsidR="00240679" w:rsidRDefault="00240679" w:rsidRPr="0064423E">
            <w:pPr>
              <w:spacing w:after="160" w:line="278" w:lineRule="auto"/>
              <w:rPr>
                <w:rFonts w:ascii="Arial" w:cs="Arial" w:hAnsi="Arial"/>
              </w:rPr>
            </w:pPr>
            <w:r w:rsidRPr="0064423E">
              <w:rPr>
                <w:rFonts w:ascii="Arial" w:cs="Arial" w:hAnsi="Arial"/>
              </w:rPr>
              <w:t>1.4</w:t>
            </w:r>
          </w:p>
        </w:tc>
        <w:tc>
          <w:tcPr>
            <w:tcW w:type="dxa" w:w="1701"/>
            <w:hideMark/>
          </w:tcPr>
          <w:p ns2:paraId="7CDBC1C3" ns2:textId="77777777" w:rsidP="006548FA" w:rsidR="00240679" w:rsidRDefault="00240679" w:rsidRPr="0064423E">
            <w:pPr>
              <w:spacing w:after="160" w:line="278" w:lineRule="auto"/>
              <w:rPr>
                <w:rFonts w:ascii="Arial" w:cs="Arial" w:hAnsi="Arial"/>
              </w:rPr>
            </w:pPr>
            <w:r w:rsidRPr="0064423E">
              <w:rPr>
                <w:rFonts w:ascii="Arial" w:cs="Arial" w:hAnsi="Arial"/>
              </w:rPr>
              <w:t>0.30</w:t>
            </w:r>
          </w:p>
        </w:tc>
        <w:tc>
          <w:tcPr>
            <w:tcW w:type="dxa" w:w="2552"/>
            <w:hideMark/>
          </w:tcPr>
          <w:p ns2:paraId="15A543EA" ns2:textId="77777777" w:rsidP="006548FA" w:rsidR="00240679" w:rsidRDefault="00240679" w:rsidRPr="0064423E">
            <w:pPr>
              <w:spacing w:after="160" w:line="278" w:lineRule="auto"/>
              <w:rPr>
                <w:rFonts w:ascii="Arial" w:cs="Arial" w:hAnsi="Arial"/>
              </w:rPr>
            </w:pPr>
            <w:r w:rsidRPr="0064423E">
              <w:rPr>
                <w:rFonts w:ascii="Arial" w:cs="Arial" w:hAnsi="Arial"/>
              </w:rPr>
              <w:t>0.54</w:t>
            </w:r>
          </w:p>
        </w:tc>
      </w:tr>
    </w:tbl>
    <w:p ns2:paraId="5D2ED010" ns2:textId="77777777" w:rsidP="00146BBD" w:rsidR="00240679" w:rsidRDefault="00240679">
      <w:pPr>
        <w:rPr>
          <w:rFonts w:ascii="Arial" w:cs="Arial" w:hAnsi="Arial"/>
        </w:rPr>
      </w:pPr>
    </w:p>
    <w:p ns2:paraId="5A6092C2" ns2:textId="0A33AFD9" w:rsidP="00146BBD" w:rsidR="00146BBD" w:rsidRDefault="009F08F9">
      <w:pPr>
        <w:rPr>
          <w:rFonts w:ascii="Arial" w:cs="Arial" w:hAnsi="Arial"/>
        </w:rPr>
      </w:pPr>
      <w:r>
        <w:t>The primary outputs of this simulation were type I error (significant effect in a null subgroup), power (significant effect in the correct direction), and bias (difference between estimated and true subgroup log-odds ratio).</w:t>
      </w:r>
    </w:p>
    <w:p ns2:paraId="53BF087C" ns2:textId="77777777" w:rsidP="00146BBD" w:rsidR="00184F2A" w:rsidRDefault="00184F2A">
      <w:pPr>
        <w:rPr>
          <w:rFonts w:ascii="Arial" w:cs="Arial" w:hAnsi="Arial"/>
        </w:rPr>
      </w:pPr>
    </w:p>
    <w:p ns2:paraId="43808884" ns2:textId="47CF2F6B" w:rsidP="00184F2A" w:rsidR="00184F2A" w:rsidRDefault="00184F2A" w:rsidRPr="007D62EF">
      <w:pPr>
        <w:rPr>
          <w:rFonts w:ascii="Arial" w:cs="Arial" w:hAnsi="Arial"/>
          <w:i/>
          <w:iCs/>
        </w:rPr>
      </w:pPr>
      <w:r>
        <w:rPr>
          <w:rFonts w:ascii="Arial" w:cs="Arial" w:hAnsi="Arial"/>
          <w:i/>
          <w:iCs/>
        </w:rPr>
        <w:t xml:space="preserve">Supplementary analysis 1: </w:t>
      </w:r>
      <w:r w:rsidRPr="007D62EF">
        <w:rPr>
          <w:rFonts w:ascii="Arial" w:cs="Arial" w:hAnsi="Arial"/>
          <w:i/>
          <w:iCs/>
        </w:rPr>
        <w:t>Sensitivity to sub-phenotype prevalence and mortality</w:t>
      </w:r>
      <w:r>
        <w:rPr>
          <w:rFonts w:ascii="Arial" w:cs="Arial" w:hAnsi="Arial"/>
          <w:i/>
          <w:iCs/>
        </w:rPr>
        <w:t>:</w:t>
      </w:r>
    </w:p>
    <w:p ns2:paraId="35020AD8" ns2:textId="77777777" w:rsidP="00184F2A" w:rsidR="00184F2A" w:rsidRDefault="00184F2A" w:rsidRPr="0064423E">
      <w:pPr>
        <w:rPr>
          <w:rFonts w:ascii="Arial" w:cs="Arial" w:hAnsi="Arial"/>
        </w:rPr>
      </w:pPr>
      <w:r>
        <w:rPr>
          <w:rFonts w:ascii="Arial" w:cs="Arial" w:hAnsi="Arial"/>
        </w:rPr>
        <w:t xml:space="preserve">Across cohorts where subphenotypes of SAB have been measured, subphenotype prevalence, and mortality within each subphenotype differs greatly. We tested how sensitive our simulations were to these changes in prevalence, while holding the simulated effect size at the same level. </w:t>
      </w:r>
    </w:p>
    <w:p ns2:paraId="540FECDB" ns2:textId="2A66C09C" w:rsidP="00146BBD" w:rsidR="00184F2A" w:rsidRDefault="00184F2A">
      <w:pPr>
        <w:rPr>
          <w:rFonts w:ascii="Arial" w:cs="Arial" w:hAnsi="Arial"/>
        </w:rPr>
      </w:pPr>
    </w:p>
    <w:p ns2:paraId="632EC521" ns2:textId="5AC9702F" w:rsidP="00146BBD" w:rsidR="00146BBD" w:rsidRDefault="00146BBD" w:rsidRPr="007D62EF">
      <w:pPr>
        <w:rPr>
          <w:rFonts w:ascii="Arial" w:cs="Arial" w:hAnsi="Arial"/>
          <w:i/>
          <w:iCs/>
        </w:rPr>
      </w:pPr>
      <w:r w:rsidRPr="007D62EF">
        <w:rPr>
          <w:rFonts w:ascii="Arial" w:cs="Arial" w:hAnsi="Arial"/>
          <w:i/>
          <w:iCs/>
        </w:rPr>
        <w:t>Supplementary analysis</w:t>
      </w:r>
      <w:r w:rsidR="00184F2A">
        <w:rPr>
          <w:rFonts w:ascii="Arial" w:cs="Arial" w:hAnsi="Arial"/>
          <w:i/>
          <w:iCs/>
        </w:rPr>
        <w:t xml:space="preserve"> 2</w:t>
      </w:r>
      <w:r w:rsidR="0074201B">
        <w:rPr>
          <w:rFonts w:ascii="Arial" w:cs="Arial" w:hAnsi="Arial"/>
          <w:i/>
          <w:iCs/>
        </w:rPr>
        <w:t xml:space="preserve">: </w:t>
      </w:r>
      <w:r w:rsidRPr="007D62EF">
        <w:rPr>
          <w:rFonts w:ascii="Arial" w:cs="Arial" w:hAnsi="Arial"/>
          <w:i/>
          <w:iCs/>
        </w:rPr>
        <w:t>enrichment feasibilit</w:t>
      </w:r>
      <w:r w:rsidR="0074201B">
        <w:rPr>
          <w:rFonts w:ascii="Arial" w:cs="Arial" w:hAnsi="Arial"/>
          <w:i/>
          <w:iCs/>
        </w:rPr>
        <w:t>y</w:t>
      </w:r>
      <w:r w:rsidRPr="007D62EF">
        <w:rPr>
          <w:rFonts w:ascii="Arial" w:cs="Arial" w:hAnsi="Arial"/>
          <w:i/>
          <w:iCs/>
        </w:rPr>
        <w:t>:</w:t>
      </w:r>
    </w:p>
    <w:p ns2:paraId="79282914" ns2:textId="7CE4E6D8" w:rsidP="00146BBD" w:rsidR="00146BBD" w:rsidRDefault="00146BBD" w:rsidRPr="00146BBD">
      <w:pPr>
        <w:rPr>
          <w:rFonts w:ascii="Arial" w:cs="Arial" w:hAnsi="Arial"/>
        </w:rPr>
      </w:pPr>
      <w:r w:rsidRPr="00146BBD">
        <w:rPr>
          <w:rFonts w:ascii="Arial" w:cs="Arial" w:hAnsi="Arial"/>
        </w:rPr>
        <w:t xml:space="preserve">We </w:t>
      </w:r>
      <w:r w:rsidR="009F08F9">
        <w:rPr>
          <w:rFonts w:ascii="Arial" w:cs="Arial" w:hAnsi="Arial"/>
        </w:rPr>
        <w:t xml:space="preserve">then </w:t>
      </w:r>
      <w:r w:rsidRPr="00146BBD">
        <w:rPr>
          <w:rFonts w:ascii="Arial" w:cs="Arial" w:hAnsi="Arial"/>
        </w:rPr>
        <w:t>evaluated enrichment designs under varying sensitivity/specificity to quantify effect dilution and screening burden (number needed to randomize and number needed to screen).</w:t>
      </w:r>
      <w:r w:rsidR="00F40627">
        <w:rPr>
          <w:rFonts w:ascii="Arial" w:cs="Arial" w:hAnsi="Arial"/>
        </w:rPr>
        <w:t xml:space="preserve"> This tests a scenario where a classifier could be applied at or just before randomisation, and only those in certain sub-phenotypes are enrolled</w:t>
      </w:r>
      <w:r w:rsidR="0074201B">
        <w:rPr>
          <w:rFonts w:ascii="Arial" w:cs="Arial" w:hAnsi="Arial"/>
        </w:rPr>
        <w:t xml:space="preserve">. </w:t>
      </w:r>
    </w:p>
    <w:p ns2:paraId="14BCD9AE" ns2:textId="5172F3A5" w:rsidP="00146BBD" w:rsidR="00146BBD" w:rsidRDefault="00146BBD">
      <w:pPr>
        <w:rPr>
          <w:rFonts w:ascii="Arial" w:cs="Arial" w:hAnsi="Arial"/>
          <w:i/>
          <w:iCs/>
        </w:rPr>
      </w:pPr>
      <w:r w:rsidRPr="007D62EF">
        <w:rPr>
          <w:rFonts w:ascii="Arial" w:cs="Arial" w:hAnsi="Arial"/>
          <w:i/>
          <w:iCs/>
        </w:rPr>
        <w:t>Supplementary analysis</w:t>
      </w:r>
      <w:r w:rsidR="00184F2A">
        <w:rPr>
          <w:rFonts w:ascii="Arial" w:cs="Arial" w:hAnsi="Arial"/>
          <w:i/>
          <w:iCs/>
        </w:rPr>
        <w:t xml:space="preserve"> 3</w:t>
      </w:r>
      <w:r w:rsidR="0074201B">
        <w:rPr>
          <w:rFonts w:ascii="Arial" w:cs="Arial" w:hAnsi="Arial"/>
          <w:i/>
          <w:iCs/>
        </w:rPr>
        <w:t xml:space="preserve">: </w:t>
      </w:r>
      <w:r w:rsidRPr="007D62EF">
        <w:rPr>
          <w:rFonts w:ascii="Arial" w:cs="Arial" w:hAnsi="Arial"/>
          <w:i/>
          <w:iCs/>
        </w:rPr>
        <w:t>ordinal outcome:</w:t>
      </w:r>
    </w:p>
    <w:p ns2:paraId="2BF7B3F7" ns2:textId="03D9D72D" w:rsidP="00146BBD" w:rsidR="00146BBD" w:rsidRDefault="00406CCD" w:rsidRPr="00146BBD">
      <w:pPr>
        <w:rPr>
          <w:rFonts w:ascii="Arial" w:cs="Arial" w:hAnsi="Arial"/>
        </w:rPr>
      </w:pPr>
      <w:r>
        <w:t>Ordinal outcomes can provide greater precision when they capture clinically meaningful gradations of severity. In this analysis we compared binary versus ordinal endpoints under the same subgroup-effect structure and misclassification settings to assess gains in precision and their relationship to bias. Specifically, we used a 6-point ordinal scale (death, ICU, hospital, complications, discharged, recovered). We evaluated two scenarios: one with a proportional-odds effect across the full ordinal scale, and one with a non-proportional death-only effect in which treatment changes death odds while non-death categories are rescaled proportionally.</w:t>
      </w:r>
    </w:p>
    <w:p ns2:paraId="51E345E3" ns2:textId="77777777" w:rsidP="006C054E" w:rsidR="000D2B96" w:rsidRDefault="000D2B96">
      <w:pPr>
        <w:rPr>
          <w:rFonts w:ascii="Arial" w:cs="Arial" w:hAnsi="Arial"/>
        </w:rPr>
      </w:pPr>
    </w:p>
    <w:p ns2:paraId="7490B3E6" ns2:textId="77777777" w:rsidR="000D2B96" w:rsidRDefault="000D2B96">
      <w:pPr>
        <w:rPr>
          <w:rFonts w:ascii="Arial" w:cs="Arial" w:hAnsi="Arial"/>
        </w:rPr>
      </w:pPr>
      <w:r>
        <w:rPr>
          <w:rFonts w:ascii="Arial" w:cs="Arial" w:hAnsi="Arial"/>
        </w:rPr>
        <w:br w:type="page"/>
      </w:r>
    </w:p>
    <w:p ns2:paraId="5F78BE4C" ns2:textId="6CC99B56" w:rsidR="00EB554F" w:rsidRDefault="00370CFB" w:rsidRPr="0064423E">
      <w:pPr>
        <w:rPr>
          <w:rFonts w:ascii="Arial" w:cs="Arial" w:hAnsi="Arial"/>
        </w:rPr>
      </w:pPr>
      <w:r w:rsidRPr="0064423E">
        <w:rPr>
          <w:rFonts w:ascii="Arial" w:cs="Arial" w:hAnsi="Arial"/>
        </w:rPr>
        <w:lastRenderedPageBreak/>
        <w:t>Results:</w:t>
      </w:r>
    </w:p>
    <w:p ns2:paraId="16240F2F" ns2:textId="4BF31EFE" w:rsidP="00EB554F" w:rsidR="00EB554F" w:rsidRDefault="00EB554F" w:rsidRPr="0064423E">
      <w:pPr>
        <w:rPr>
          <w:rFonts w:ascii="Arial" w:cs="Arial" w:hAnsi="Arial"/>
          <w:b/>
          <w:bCs/>
          <w:i/>
          <w:iCs/>
        </w:rPr>
      </w:pPr>
      <w:r w:rsidRPr="0064423E">
        <w:rPr>
          <w:rFonts w:ascii="Arial" w:cs="Arial" w:hAnsi="Arial"/>
          <w:b/>
          <w:bCs/>
          <w:i/>
          <w:iCs/>
        </w:rPr>
        <w:t>Sample-size requirements for a two-arm RCT</w:t>
      </w:r>
      <w:r w:rsidR="00693710">
        <w:rPr>
          <w:rFonts w:ascii="Arial" w:cs="Arial" w:hAnsi="Arial"/>
          <w:b/>
          <w:bCs/>
          <w:i/>
          <w:iCs/>
        </w:rPr>
        <w:t xml:space="preserve"> of sub-</w:t>
      </w:r>
      <w:r w:rsidR="00674628">
        <w:rPr>
          <w:rFonts w:ascii="Arial" w:cs="Arial" w:hAnsi="Arial"/>
          <w:b/>
          <w:bCs/>
          <w:i/>
          <w:iCs/>
        </w:rPr>
        <w:t>phenotypes</w:t>
      </w:r>
    </w:p>
    <w:p ns2:paraId="00674676" ns2:textId="7DCD5CCF" w:rsidP="00EB554F" w:rsidR="00EB554F" w:rsidRDefault="00EB554F" w:rsidRPr="0064423E">
      <w:pPr>
        <w:rPr>
          <w:rFonts w:ascii="Arial" w:cs="Arial" w:hAnsi="Arial"/>
        </w:rPr>
      </w:pPr>
      <w:r>
        <w:t xml:space="preserve">The statistical power for detecting subphenotype-specific treatment effects in a standard two-arm RCT, assuming perfect classification and the effects seen in the recent SAB analysis, was highly dependent on the subphenotypes prevalence, baseline event rate, and the magnitude of the true odds ratio (OR). The results, summarized in Table 3 and Figure 1, demonstrate that substantial total trial sizes are necessary to achieve 80% power in post-hoc analyses, and that only subphenotype B (with an extremely large effect) was possible at reasonable sample sizes (&lt;5,000). As expected in a traditional two-arm RCT, Type 1 error was well calibrated and bias was minimal. At 100% classification accuracy, power for subgroup B rose from 0.000 (n=500) to 0.695 (n=5,000), 0.967 (n=10,000), and 1.000 (n=20,000); however, at n=20,000 power remained below 50% for C (0.256), D (0.444), and E (0.456). </w:t>
      </w:r>
    </w:p>
    <w:p ns2:paraId="5B7F4518" ns2:textId="5B597197" w:rsidP="00EB554F" w:rsidR="00000733" w:rsidRDefault="00000733" w:rsidRPr="0064423E">
      <w:pPr>
        <w:rPr>
          <w:rFonts w:ascii="Arial" w:cs="Arial" w:hAnsi="Arial"/>
        </w:rPr>
      </w:pPr>
      <w:r>
        <w:t>Table 3: Statistical power to detect a subphenotype specific effect given a sample size n in each subphenotype. Power estimated from 2,000 replicates where simulated.</w:t>
      </w:r>
    </w:p>
    <w:p ns2:paraId="38B4F5CB" ns2:textId="77777777" w:rsidP="00EB554F" w:rsidR="0095287D" w:rsidRDefault="0095287D" w:rsidRPr="0064423E">
      <w:pPr>
        <w:rPr>
          <w:rFonts w:ascii="Arial" w:cs="Arial" w:hAnsi="Arial"/>
        </w:rPr>
      </w:pPr>
    </w:p>
    <w:tbl>
      <w:tblPr>
        <w:tblStyle w:val="TableGridLight"/>
        <w:tblW w:type="dxa" w:w="8666"/>
        <w:tblLook w:firstColumn="1" w:firstRow="1" w:lastColumn="0" w:lastRow="0" w:noHBand="0" w:noVBand="1" w:val="04A0"/>
      </w:tblPr>
      <w:tblGrid>
        <w:gridCol w:w="2741"/>
        <w:gridCol w:w="1169"/>
        <w:gridCol w:w="1169"/>
        <w:gridCol w:w="1209"/>
        <w:gridCol w:w="1209"/>
        <w:gridCol w:w="1169"/>
      </w:tblGrid>
      <w:tr ns2:paraId="5653F89D" ns2:textId="77777777" w:rsidR="0095287D" w:rsidRPr="0064423E" w:rsidTr="0095287D">
        <w:trPr>
          <w:trHeight w:val="470"/>
        </w:trPr>
        <w:tc>
          <w:tcPr>
            <w:tcW w:type="auto" w:w="0"/>
            <w:gridSpan w:val="6"/>
            <w:hideMark/>
          </w:tcPr>
          <w:p ns2:paraId="7EA68BF4" ns2:textId="55D1437E" w:rsidP="0095287D" w:rsidR="0095287D" w:rsidRDefault="0095287D" w:rsidRPr="0064423E">
            <w:pPr>
              <w:spacing w:after="160" w:line="278" w:lineRule="auto"/>
              <w:rPr>
                <w:rFonts w:ascii="Arial" w:cs="Arial" w:hAnsi="Arial"/>
              </w:rPr>
            </w:pPr>
            <w:r w:rsidRPr="0064423E">
              <w:rPr>
                <w:rFonts w:ascii="Arial" w:cs="Arial" w:hAnsi="Arial"/>
              </w:rPr>
              <w:t>Subphenotypes:</w:t>
            </w:r>
          </w:p>
        </w:tc>
      </w:tr>
      <w:tr ns2:paraId="79D27C1D" ns2:textId="77777777" w:rsidR="0095287D" w:rsidRPr="0064423E" w:rsidTr="0095287D">
        <w:trPr>
          <w:trHeight w:val="459"/>
        </w:trPr>
        <w:tc>
          <w:tcPr>
            <w:tcW w:type="auto" w:w="0"/>
            <w:hideMark/>
          </w:tcPr>
          <w:p ns2:paraId="6E758B4E" ns2:textId="77777777" w:rsidP="0095287D" w:rsidR="0095287D" w:rsidRDefault="0095287D" w:rsidRPr="0064423E">
            <w:pPr>
              <w:spacing w:after="160" w:line="278" w:lineRule="auto"/>
              <w:rPr>
                <w:rFonts w:ascii="Arial" w:cs="Arial" w:hAnsi="Arial"/>
              </w:rPr>
            </w:pPr>
          </w:p>
        </w:tc>
        <w:tc>
          <w:tcPr>
            <w:tcW w:type="auto" w:w="0"/>
            <w:hideMark/>
          </w:tcPr>
          <w:p ns2:paraId="2E6E1B3C" ns2:textId="77777777" w:rsidP="0095287D" w:rsidR="0095287D" w:rsidRDefault="0095287D" w:rsidRPr="0064423E">
            <w:pPr>
              <w:spacing w:after="160" w:line="278" w:lineRule="auto"/>
              <w:rPr>
                <w:rFonts w:ascii="Arial" w:cs="Arial" w:hAnsi="Arial"/>
              </w:rPr>
            </w:pPr>
            <w:r w:rsidRPr="0064423E">
              <w:rPr>
                <w:rFonts w:ascii="Arial" w:cs="Arial" w:hAnsi="Arial"/>
              </w:rPr>
              <w:t>A</w:t>
            </w:r>
          </w:p>
        </w:tc>
        <w:tc>
          <w:tcPr>
            <w:tcW w:type="auto" w:w="0"/>
            <w:hideMark/>
          </w:tcPr>
          <w:p ns2:paraId="511795DA" ns2:textId="77777777" w:rsidP="0095287D" w:rsidR="0095287D" w:rsidRDefault="0095287D" w:rsidRPr="0064423E">
            <w:pPr>
              <w:spacing w:after="160" w:line="278" w:lineRule="auto"/>
              <w:rPr>
                <w:rFonts w:ascii="Arial" w:cs="Arial" w:hAnsi="Arial"/>
              </w:rPr>
            </w:pPr>
            <w:r w:rsidRPr="0064423E">
              <w:rPr>
                <w:rFonts w:ascii="Arial" w:cs="Arial" w:hAnsi="Arial"/>
              </w:rPr>
              <w:t>B</w:t>
            </w:r>
          </w:p>
        </w:tc>
        <w:tc>
          <w:tcPr>
            <w:tcW w:type="auto" w:w="0"/>
            <w:hideMark/>
          </w:tcPr>
          <w:p ns2:paraId="10DCA9DC" ns2:textId="77777777" w:rsidP="0095287D" w:rsidR="0095287D" w:rsidRDefault="0095287D" w:rsidRPr="0064423E">
            <w:pPr>
              <w:spacing w:after="160" w:line="278" w:lineRule="auto"/>
              <w:rPr>
                <w:rFonts w:ascii="Arial" w:cs="Arial" w:hAnsi="Arial"/>
              </w:rPr>
            </w:pPr>
            <w:r w:rsidRPr="0064423E">
              <w:rPr>
                <w:rFonts w:ascii="Arial" w:cs="Arial" w:hAnsi="Arial"/>
              </w:rPr>
              <w:t>C</w:t>
            </w:r>
          </w:p>
        </w:tc>
        <w:tc>
          <w:tcPr>
            <w:tcW w:type="auto" w:w="0"/>
            <w:hideMark/>
          </w:tcPr>
          <w:p ns2:paraId="7C6D1258" ns2:textId="77777777" w:rsidP="0095287D" w:rsidR="0095287D" w:rsidRDefault="0095287D" w:rsidRPr="0064423E">
            <w:pPr>
              <w:spacing w:after="160" w:line="278" w:lineRule="auto"/>
              <w:rPr>
                <w:rFonts w:ascii="Arial" w:cs="Arial" w:hAnsi="Arial"/>
              </w:rPr>
            </w:pPr>
            <w:r w:rsidRPr="0064423E">
              <w:rPr>
                <w:rFonts w:ascii="Arial" w:cs="Arial" w:hAnsi="Arial"/>
              </w:rPr>
              <w:t>D</w:t>
            </w:r>
          </w:p>
        </w:tc>
        <w:tc>
          <w:tcPr>
            <w:tcW w:type="auto" w:w="0"/>
            <w:hideMark/>
          </w:tcPr>
          <w:p ns2:paraId="7F65A75C" ns2:textId="77777777" w:rsidP="0095287D" w:rsidR="0095287D" w:rsidRDefault="0095287D" w:rsidRPr="0064423E">
            <w:pPr>
              <w:spacing w:after="160" w:line="278" w:lineRule="auto"/>
              <w:rPr>
                <w:rFonts w:ascii="Arial" w:cs="Arial" w:hAnsi="Arial"/>
              </w:rPr>
            </w:pPr>
            <w:r w:rsidRPr="0064423E">
              <w:rPr>
                <w:rFonts w:ascii="Arial" w:cs="Arial" w:hAnsi="Arial"/>
              </w:rPr>
              <w:t>E</w:t>
            </w:r>
          </w:p>
        </w:tc>
      </w:tr>
      <w:tr ns2:paraId="796CD1CB" ns2:textId="77777777" w:rsidR="0095287D" w:rsidRPr="0064423E" w:rsidTr="007D62EF">
        <w:trPr>
          <w:trHeight w:val="459"/>
        </w:trPr>
        <w:tc>
          <w:tcPr>
            <w:tcW w:type="auto" w:w="0"/>
            <w:hideMark/>
          </w:tcPr>
          <w:p ns2:paraId="57279E1D" ns2:textId="77777777" w:rsidP="0095287D" w:rsidR="0095287D" w:rsidRDefault="0095287D" w:rsidRPr="0064423E">
            <w:pPr>
              <w:spacing w:after="160" w:line="278" w:lineRule="auto"/>
              <w:rPr>
                <w:rFonts w:ascii="Arial" w:cs="Arial" w:hAnsi="Arial"/>
                <w:b/>
                <w:bCs/>
              </w:rPr>
            </w:pPr>
            <w:r w:rsidRPr="0064423E">
              <w:rPr>
                <w:rFonts w:ascii="Arial" w:cs="Arial" w:hAnsi="Arial"/>
                <w:b/>
                <w:bCs/>
              </w:rPr>
              <w:t>500</w:t>
            </w:r>
          </w:p>
        </w:tc>
        <w:tc>
          <w:tcPr>
            <w:tcW w:type="auto" w:w="0"/>
          </w:tcPr>
          <w:p>
            <w:r>
              <w:t>-</w:t>
            </w:r>
          </w:p>
        </w:tc>
        <w:tc>
          <w:tcPr>
            <w:tcW w:type="auto" w:w="0"/>
          </w:tcPr>
          <w:p>
            <w:r>
              <w:t>0.000</w:t>
            </w:r>
          </w:p>
        </w:tc>
        <w:tc>
          <w:tcPr>
            <w:tcW w:type="auto" w:w="0"/>
          </w:tcPr>
          <w:p>
            <w:r>
              <w:t>0.026</w:t>
            </w:r>
          </w:p>
        </w:tc>
        <w:tc>
          <w:tcPr>
            <w:tcW w:type="auto" w:w="0"/>
          </w:tcPr>
          <w:p>
            <w:r>
              <w:t>0.030</w:t>
            </w:r>
          </w:p>
        </w:tc>
        <w:tc>
          <w:tcPr>
            <w:tcW w:type="auto" w:w="0"/>
          </w:tcPr>
          <w:p>
            <w:r>
              <w:t>0.000</w:t>
            </w:r>
          </w:p>
        </w:tc>
      </w:tr>
      <w:tr ns2:paraId="132A6B81" ns2:textId="77777777" w:rsidR="0095287D" w:rsidRPr="0064423E" w:rsidTr="007D62EF">
        <w:trPr>
          <w:trHeight w:val="470"/>
        </w:trPr>
        <w:tc>
          <w:tcPr>
            <w:tcW w:type="auto" w:w="0"/>
            <w:hideMark/>
          </w:tcPr>
          <w:p ns2:paraId="5EB9593F" ns2:textId="77777777" w:rsidP="0095287D" w:rsidR="0095287D" w:rsidRDefault="0095287D" w:rsidRPr="0064423E">
            <w:pPr>
              <w:spacing w:after="160" w:line="278" w:lineRule="auto"/>
              <w:rPr>
                <w:rFonts w:ascii="Arial" w:cs="Arial" w:hAnsi="Arial"/>
                <w:b/>
                <w:bCs/>
              </w:rPr>
            </w:pPr>
            <w:r w:rsidRPr="0064423E">
              <w:rPr>
                <w:rFonts w:ascii="Arial" w:cs="Arial" w:hAnsi="Arial"/>
                <w:b/>
                <w:bCs/>
              </w:rPr>
              <w:t>1000</w:t>
            </w:r>
          </w:p>
        </w:tc>
        <w:tc>
          <w:tcPr>
            <w:tcW w:type="auto" w:w="0"/>
          </w:tcPr>
          <w:p>
            <w:r>
              <w:t>-</w:t>
            </w:r>
          </w:p>
        </w:tc>
        <w:tc>
          <w:tcPr>
            <w:tcW w:type="auto" w:w="0"/>
          </w:tcPr>
          <w:p>
            <w:r>
              <w:t>0.003</w:t>
            </w:r>
          </w:p>
        </w:tc>
        <w:tc>
          <w:tcPr>
            <w:tcW w:type="auto" w:w="0"/>
          </w:tcPr>
          <w:p>
            <w:r>
              <w:t>0.043</w:t>
            </w:r>
          </w:p>
        </w:tc>
        <w:tc>
          <w:tcPr>
            <w:tcW w:type="auto" w:w="0"/>
          </w:tcPr>
          <w:p>
            <w:r>
              <w:t>0.059</w:t>
            </w:r>
          </w:p>
        </w:tc>
        <w:tc>
          <w:tcPr>
            <w:tcW w:type="auto" w:w="0"/>
          </w:tcPr>
          <w:p>
            <w:r>
              <w:t>0.000</w:t>
            </w:r>
          </w:p>
        </w:tc>
      </w:tr>
      <w:tr ns2:paraId="7084B57B" ns2:textId="77777777" w:rsidR="0095287D" w:rsidRPr="0064423E" w:rsidTr="007D62EF">
        <w:trPr>
          <w:trHeight w:val="459"/>
        </w:trPr>
        <w:tc>
          <w:tcPr>
            <w:tcW w:type="auto" w:w="0"/>
            <w:hideMark/>
          </w:tcPr>
          <w:p ns2:paraId="5D6AEA2F" ns2:textId="77777777" w:rsidP="0095287D" w:rsidR="0095287D" w:rsidRDefault="0095287D" w:rsidRPr="0064423E">
            <w:pPr>
              <w:spacing w:after="160" w:line="278" w:lineRule="auto"/>
              <w:rPr>
                <w:rFonts w:ascii="Arial" w:cs="Arial" w:hAnsi="Arial"/>
                <w:b/>
                <w:bCs/>
              </w:rPr>
            </w:pPr>
            <w:r w:rsidRPr="0064423E">
              <w:rPr>
                <w:rFonts w:ascii="Arial" w:cs="Arial" w:hAnsi="Arial"/>
                <w:b/>
                <w:bCs/>
              </w:rPr>
              <w:t>2000</w:t>
            </w:r>
          </w:p>
        </w:tc>
        <w:tc>
          <w:tcPr>
            <w:tcW w:type="auto" w:w="0"/>
          </w:tcPr>
          <w:p>
            <w:r>
              <w:t>-</w:t>
            </w:r>
          </w:p>
        </w:tc>
        <w:tc>
          <w:tcPr>
            <w:tcW w:type="auto" w:w="0"/>
          </w:tcPr>
          <w:p>
            <w:r>
              <w:t>0.085</w:t>
            </w:r>
          </w:p>
        </w:tc>
        <w:tc>
          <w:tcPr>
            <w:tcW w:type="auto" w:w="0"/>
          </w:tcPr>
          <w:p>
            <w:r>
              <w:t>0.069</w:t>
            </w:r>
          </w:p>
        </w:tc>
        <w:tc>
          <w:tcPr>
            <w:tcW w:type="auto" w:w="0"/>
          </w:tcPr>
          <w:p>
            <w:r>
              <w:t>0.080</w:t>
            </w:r>
          </w:p>
        </w:tc>
        <w:tc>
          <w:tcPr>
            <w:tcW w:type="auto" w:w="0"/>
          </w:tcPr>
          <w:p>
            <w:r>
              <w:t>0.002</w:t>
            </w:r>
          </w:p>
        </w:tc>
      </w:tr>
      <w:tr ns2:paraId="04CE9BD8" ns2:textId="77777777" w:rsidR="0095287D" w:rsidRPr="0064423E" w:rsidTr="007D62EF">
        <w:trPr>
          <w:trHeight w:val="470"/>
        </w:trPr>
        <w:tc>
          <w:tcPr>
            <w:tcW w:type="auto" w:w="0"/>
            <w:hideMark/>
          </w:tcPr>
          <w:p ns2:paraId="2E331583" ns2:textId="77777777" w:rsidP="0095287D" w:rsidR="0095287D" w:rsidRDefault="0095287D" w:rsidRPr="0064423E">
            <w:pPr>
              <w:spacing w:after="160" w:line="278" w:lineRule="auto"/>
              <w:rPr>
                <w:rFonts w:ascii="Arial" w:cs="Arial" w:hAnsi="Arial"/>
                <w:b/>
                <w:bCs/>
              </w:rPr>
            </w:pPr>
            <w:r w:rsidRPr="0064423E">
              <w:rPr>
                <w:rFonts w:ascii="Arial" w:cs="Arial" w:hAnsi="Arial"/>
                <w:b/>
                <w:bCs/>
              </w:rPr>
              <w:t>3000</w:t>
            </w:r>
          </w:p>
        </w:tc>
        <w:tc>
          <w:tcPr>
            <w:tcW w:type="auto" w:w="0"/>
          </w:tcPr>
          <w:p>
            <w:r>
              <w:t>-</w:t>
            </w:r>
          </w:p>
        </w:tc>
        <w:tc>
          <w:tcPr>
            <w:tcW w:type="auto" w:w="0"/>
          </w:tcPr>
          <w:p>
            <w:r>
              <w:t>0.307</w:t>
            </w:r>
          </w:p>
        </w:tc>
        <w:tc>
          <w:tcPr>
            <w:tcW w:type="auto" w:w="0"/>
          </w:tcPr>
          <w:p>
            <w:r>
              <w:t>0.070</w:t>
            </w:r>
          </w:p>
        </w:tc>
        <w:tc>
          <w:tcPr>
            <w:tcW w:type="auto" w:w="0"/>
          </w:tcPr>
          <w:p>
            <w:r>
              <w:t>0.102</w:t>
            </w:r>
          </w:p>
        </w:tc>
        <w:tc>
          <w:tcPr>
            <w:tcW w:type="auto" w:w="0"/>
          </w:tcPr>
          <w:p>
            <w:r>
              <w:t>0.011</w:t>
            </w:r>
          </w:p>
        </w:tc>
      </w:tr>
      <w:tr ns2:paraId="04558609" ns2:textId="77777777" w:rsidR="0095287D" w:rsidRPr="0064423E" w:rsidTr="007D62EF">
        <w:trPr>
          <w:trHeight w:val="459"/>
        </w:trPr>
        <w:tc>
          <w:tcPr>
            <w:tcW w:type="auto" w:w="0"/>
            <w:hideMark/>
          </w:tcPr>
          <w:p ns2:paraId="053D7375" ns2:textId="77777777" w:rsidP="0095287D" w:rsidR="0095287D" w:rsidRDefault="0095287D" w:rsidRPr="0064423E">
            <w:pPr>
              <w:spacing w:after="160" w:line="278" w:lineRule="auto"/>
              <w:rPr>
                <w:rFonts w:ascii="Arial" w:cs="Arial" w:hAnsi="Arial"/>
                <w:b/>
                <w:bCs/>
              </w:rPr>
            </w:pPr>
            <w:r w:rsidRPr="0064423E">
              <w:rPr>
                <w:rFonts w:ascii="Arial" w:cs="Arial" w:hAnsi="Arial"/>
                <w:b/>
                <w:bCs/>
              </w:rPr>
              <w:t>5000</w:t>
            </w:r>
          </w:p>
        </w:tc>
        <w:tc>
          <w:tcPr>
            <w:tcW w:type="auto" w:w="0"/>
          </w:tcPr>
          <w:p>
            <w:r>
              <w:t>-</w:t>
            </w:r>
          </w:p>
        </w:tc>
        <w:tc>
          <w:tcPr>
            <w:tcW w:type="auto" w:w="0"/>
          </w:tcPr>
          <w:p>
            <w:r>
              <w:t>0.695</w:t>
            </w:r>
          </w:p>
        </w:tc>
        <w:tc>
          <w:tcPr>
            <w:tcW w:type="auto" w:w="0"/>
          </w:tcPr>
          <w:p>
            <w:r>
              <w:t>0.090</w:t>
            </w:r>
          </w:p>
        </w:tc>
        <w:tc>
          <w:tcPr>
            <w:tcW w:type="auto" w:w="0"/>
          </w:tcPr>
          <w:p>
            <w:r>
              <w:t>0.155</w:t>
            </w:r>
          </w:p>
        </w:tc>
        <w:tc>
          <w:tcPr>
            <w:tcW w:type="auto" w:w="0"/>
          </w:tcPr>
          <w:p>
            <w:r>
              <w:t>0.067</w:t>
            </w:r>
          </w:p>
        </w:tc>
      </w:tr>
      <w:tr ns2:paraId="4C134CBD" ns2:textId="77777777" w:rsidR="0095287D" w:rsidRPr="0064423E" w:rsidTr="007D62EF">
        <w:trPr>
          <w:trHeight w:val="470"/>
        </w:trPr>
        <w:tc>
          <w:tcPr>
            <w:tcW w:type="auto" w:w="0"/>
            <w:hideMark/>
          </w:tcPr>
          <w:p ns2:paraId="6003A743" ns2:textId="77777777" w:rsidP="0095287D" w:rsidR="0095287D" w:rsidRDefault="0095287D" w:rsidRPr="0064423E">
            <w:pPr>
              <w:spacing w:after="160" w:line="278" w:lineRule="auto"/>
              <w:rPr>
                <w:rFonts w:ascii="Arial" w:cs="Arial" w:hAnsi="Arial"/>
                <w:b/>
                <w:bCs/>
              </w:rPr>
            </w:pPr>
            <w:r w:rsidRPr="0064423E">
              <w:rPr>
                <w:rFonts w:ascii="Arial" w:cs="Arial" w:hAnsi="Arial"/>
                <w:b/>
                <w:bCs/>
              </w:rPr>
              <w:t>7500</w:t>
            </w:r>
          </w:p>
        </w:tc>
        <w:tc>
          <w:tcPr>
            <w:tcW w:type="auto" w:w="0"/>
          </w:tcPr>
          <w:p>
            <w:r>
              <w:t>-</w:t>
            </w:r>
          </w:p>
        </w:tc>
        <w:tc>
          <w:tcPr>
            <w:tcW w:type="auto" w:w="0"/>
          </w:tcPr>
          <w:p>
            <w:r>
              <w:t>-</w:t>
            </w:r>
          </w:p>
        </w:tc>
        <w:tc>
          <w:tcPr>
            <w:tcW w:type="auto" w:w="0"/>
          </w:tcPr>
          <w:p>
            <w:r>
              <w:t>-</w:t>
            </w:r>
          </w:p>
        </w:tc>
        <w:tc>
          <w:tcPr>
            <w:tcW w:type="auto" w:w="0"/>
          </w:tcPr>
          <w:p>
            <w:r>
              <w:t>-</w:t>
            </w:r>
          </w:p>
        </w:tc>
        <w:tc>
          <w:tcPr>
            <w:tcW w:type="auto" w:w="0"/>
          </w:tcPr>
          <w:p>
            <w:r>
              <w:t>-</w:t>
            </w:r>
          </w:p>
        </w:tc>
      </w:tr>
      <w:tr ns2:paraId="14FFD63D" ns2:textId="77777777" w:rsidR="0095287D" w:rsidRPr="0064423E" w:rsidTr="007D62EF">
        <w:trPr>
          <w:trHeight w:val="459"/>
        </w:trPr>
        <w:tc>
          <w:tcPr>
            <w:tcW w:type="auto" w:w="0"/>
            <w:hideMark/>
          </w:tcPr>
          <w:p ns2:paraId="1B73D012" ns2:textId="77777777" w:rsidP="0095287D" w:rsidR="0095287D" w:rsidRDefault="0095287D" w:rsidRPr="0064423E">
            <w:pPr>
              <w:spacing w:after="160" w:line="278" w:lineRule="auto"/>
              <w:rPr>
                <w:rFonts w:ascii="Arial" w:cs="Arial" w:hAnsi="Arial"/>
                <w:b/>
                <w:bCs/>
              </w:rPr>
            </w:pPr>
            <w:r w:rsidRPr="0064423E">
              <w:rPr>
                <w:rFonts w:ascii="Arial" w:cs="Arial" w:hAnsi="Arial"/>
                <w:b/>
                <w:bCs/>
              </w:rPr>
              <w:t>10000</w:t>
            </w:r>
          </w:p>
        </w:tc>
        <w:tc>
          <w:tcPr>
            <w:tcW w:type="auto" w:w="0"/>
          </w:tcPr>
          <w:p>
            <w:r>
              <w:t>-</w:t>
            </w:r>
          </w:p>
        </w:tc>
        <w:tc>
          <w:tcPr>
            <w:tcW w:type="auto" w:w="0"/>
          </w:tcPr>
          <w:p>
            <w:r>
              <w:t>0.967</w:t>
            </w:r>
          </w:p>
        </w:tc>
        <w:tc>
          <w:tcPr>
            <w:tcW w:type="auto" w:w="0"/>
          </w:tcPr>
          <w:p>
            <w:r>
              <w:t>0.159</w:t>
            </w:r>
          </w:p>
        </w:tc>
        <w:tc>
          <w:tcPr>
            <w:tcW w:type="auto" w:w="0"/>
          </w:tcPr>
          <w:p>
            <w:r>
              <w:t>0.267</w:t>
            </w:r>
          </w:p>
        </w:tc>
        <w:tc>
          <w:tcPr>
            <w:tcW w:type="auto" w:w="0"/>
          </w:tcPr>
          <w:p>
            <w:r>
              <w:t>0.228</w:t>
            </w:r>
          </w:p>
        </w:tc>
      </w:tr>
      <w:tr ns2:paraId="1A307DCA" ns2:textId="77777777" w:rsidR="0095287D" w:rsidRPr="0064423E" w:rsidTr="007D62EF">
        <w:trPr>
          <w:trHeight w:val="470"/>
        </w:trPr>
        <w:tc>
          <w:tcPr>
            <w:tcW w:type="auto" w:w="0"/>
            <w:hideMark/>
          </w:tcPr>
          <w:p ns2:paraId="35CAA958" ns2:textId="77777777" w:rsidP="0095287D" w:rsidR="0095287D" w:rsidRDefault="0095287D" w:rsidRPr="0064423E">
            <w:pPr>
              <w:spacing w:after="160" w:line="278" w:lineRule="auto"/>
              <w:rPr>
                <w:rFonts w:ascii="Arial" w:cs="Arial" w:hAnsi="Arial"/>
                <w:b/>
                <w:bCs/>
              </w:rPr>
            </w:pPr>
            <w:r w:rsidRPr="0064423E">
              <w:rPr>
                <w:rFonts w:ascii="Arial" w:cs="Arial" w:hAnsi="Arial"/>
                <w:b/>
                <w:bCs/>
              </w:rPr>
              <w:t>15000</w:t>
            </w:r>
          </w:p>
        </w:tc>
        <w:tc>
          <w:tcPr>
            <w:tcW w:type="auto" w:w="0"/>
          </w:tcPr>
          <w:p>
            <w:r>
              <w:t>-</w:t>
            </w:r>
          </w:p>
        </w:tc>
        <w:tc>
          <w:tcPr>
            <w:tcW w:type="auto" w:w="0"/>
          </w:tcPr>
          <w:p>
            <w:r>
              <w:t>-</w:t>
            </w:r>
          </w:p>
        </w:tc>
        <w:tc>
          <w:tcPr>
            <w:tcW w:type="auto" w:w="0"/>
          </w:tcPr>
          <w:p>
            <w:r>
              <w:t>-</w:t>
            </w:r>
          </w:p>
        </w:tc>
        <w:tc>
          <w:tcPr>
            <w:tcW w:type="auto" w:w="0"/>
          </w:tcPr>
          <w:p>
            <w:r>
              <w:t>-</w:t>
            </w:r>
          </w:p>
        </w:tc>
        <w:tc>
          <w:tcPr>
            <w:tcW w:type="auto" w:w="0"/>
          </w:tcPr>
          <w:p>
            <w:r>
              <w:t>-</w:t>
            </w:r>
          </w:p>
        </w:tc>
      </w:tr>
      <w:tr ns2:paraId="0186B2AD" ns2:textId="77777777" w:rsidR="0095287D" w:rsidRPr="0064423E" w:rsidTr="007D62EF">
        <w:trPr>
          <w:trHeight w:val="459"/>
        </w:trPr>
        <w:tc>
          <w:tcPr>
            <w:tcW w:type="auto" w:w="0"/>
            <w:hideMark/>
          </w:tcPr>
          <w:p ns2:paraId="5156678D" ns2:textId="77777777" w:rsidP="0095287D" w:rsidR="0095287D" w:rsidRDefault="0095287D" w:rsidRPr="0064423E">
            <w:pPr>
              <w:spacing w:after="160" w:line="278" w:lineRule="auto"/>
              <w:rPr>
                <w:rFonts w:ascii="Arial" w:cs="Arial" w:hAnsi="Arial"/>
                <w:b/>
                <w:bCs/>
              </w:rPr>
            </w:pPr>
            <w:r w:rsidRPr="0064423E">
              <w:rPr>
                <w:rFonts w:ascii="Arial" w:cs="Arial" w:hAnsi="Arial"/>
                <w:b/>
                <w:bCs/>
              </w:rPr>
              <w:t>20000</w:t>
            </w:r>
          </w:p>
        </w:tc>
        <w:tc>
          <w:tcPr>
            <w:tcW w:type="auto" w:w="0"/>
          </w:tcPr>
          <w:p>
            <w:r>
              <w:t>-</w:t>
            </w:r>
          </w:p>
        </w:tc>
        <w:tc>
          <w:tcPr>
            <w:tcW w:type="auto" w:w="0"/>
          </w:tcPr>
          <w:p>
            <w:r>
              <w:t>1.000</w:t>
            </w:r>
          </w:p>
        </w:tc>
        <w:tc>
          <w:tcPr>
            <w:tcW w:type="auto" w:w="0"/>
          </w:tcPr>
          <w:p>
            <w:r>
              <w:t>0.256</w:t>
            </w:r>
          </w:p>
        </w:tc>
        <w:tc>
          <w:tcPr>
            <w:tcW w:type="auto" w:w="0"/>
          </w:tcPr>
          <w:p>
            <w:r>
              <w:t>0.444</w:t>
            </w:r>
          </w:p>
        </w:tc>
        <w:tc>
          <w:tcPr>
            <w:tcW w:type="auto" w:w="0"/>
          </w:tcPr>
          <w:p>
            <w:r>
              <w:t>0.456</w:t>
            </w:r>
          </w:p>
        </w:tc>
      </w:tr>
    </w:tbl>
    <w:p ns2:paraId="2B9A9775" ns2:textId="77777777" w:rsidP="00EB554F" w:rsidR="00000733" w:rsidRDefault="00000733" w:rsidRPr="0064423E">
      <w:pPr>
        <w:rPr>
          <w:rFonts w:ascii="Arial" w:cs="Arial" w:hAnsi="Arial"/>
        </w:rPr>
      </w:pPr>
    </w:p>
    <w:p ns2:paraId="76154535" ns2:textId="77777777" w:rsidP="00EB554F" w:rsidR="00380CBD" w:rsidRDefault="00380CBD" w:rsidRPr="0064423E">
      <w:pPr>
        <w:rPr>
          <w:rFonts w:ascii="Arial" w:cs="Arial" w:hAnsi="Arial"/>
        </w:rPr>
      </w:pPr>
    </w:p>
    <w:p ns2:paraId="7013A15D" ns2:textId="6891DF06" w:rsidP="00776240" w:rsidR="00776240" w:rsidRDefault="00AA67A3" w:rsidRPr="0064423E">
      <w:pPr>
        <w:rPr>
          <w:rFonts w:ascii="Arial" w:cs="Arial" w:hAnsi="Arial"/>
        </w:rPr>
      </w:pPr>
      <w:r>
        <w:t>We then investigated the impact of imperfect classification accuracy on power, Type 1 error, bias and bias in a hypothetical, fixed, large trial of 20,000 participants. As shown in Figure 1, statistical power to detect true effects diminished substantially as classification accuracy decreased. For null subgroups like A, this led to Type 1 error, while for all subgroups effect estimates were biased. The degree of bias related to the amount of misclassification from other groups (e.g. the accuracy of the test), and on the make-up of other groups for sub-phenotypes with a non-null effect. This "dilution" effect occurs because misclassifying patients mixes individuals from subphenotypes with different true effects, pulling the observed estimate towards the population average. This effect was larger for small subphenotypes with large effects: the powerful harmful effect in subphenotype B (OR=4.3) was severely attenuated with even very small misclassification.</w:t>
      </w:r>
    </w:p>
    <w:p ns2:paraId="5E45FDD3" ns2:textId="3C225CA7" w:rsidP="00AA67A3" w:rsidR="00AA67A3" w:rsidRDefault="00AA67A3" w:rsidRPr="0064423E">
      <w:pPr>
        <w:rPr>
          <w:rFonts w:ascii="Arial" w:cs="Arial" w:hAnsi="Arial"/>
        </w:rPr>
      </w:pPr>
    </w:p>
    <w:p ns2:paraId="18075ED6" ns2:textId="77777777" w:rsidP="00AA67A3" w:rsidR="000C550F" w:rsidRDefault="000C550F" w:rsidRPr="0064423E">
      <w:pPr>
        <w:rPr>
          <w:rFonts w:ascii="Arial" w:cs="Arial" w:hAnsi="Arial"/>
        </w:rPr>
      </w:pPr>
    </w:p>
    <w:p ns2:paraId="49E71932" ns2:textId="60BC1EE3" w:rsidP="00C1009C" w:rsidR="00C1009C" w:rsidRDefault="00C1009C" w:rsidRPr="0064423E">
      <w:pPr>
        <w:rPr>
          <w:rFonts w:ascii="Arial" w:cs="Arial" w:hAnsi="Arial"/>
        </w:rPr>
      </w:pPr>
      <w:r>
        <w:t>Figure 1: Impact of subphenotype misclassification on subgroup-specific effect estimation. A) Power versus classification accuracy. B) Mean bias (estimated logOR minus true logOR) versus accuracy. C) Replicate-level subgroup estimates by accuracy; boxplots show median and IQR, whiskers represent 1.5 x IQR, and black horizontal bars indicate true subgroup logOR (84-day mortality, treatment versus control).</w:t>
      </w:r>
    </w:p>
    <w:p>
      <w:r>
        <w:drawing>
          <ns4:inline>
            <ns4:extent cx="5943600" cy="6483927"/>
            <ns4:docPr id="1" name="Picture 1"/>
            <ns4:cNvGraphicFramePr>
              <ns6:graphicFrameLocks noChangeAspect="1"/>
            </ns4:cNvGraphicFramePr>
            <ns6:graphic>
              <ns6:graphicData uri="http://schemas.openxmlformats.org/drawingml/2006/picture">
                <ns7:pic>
                  <ns7:nvPicPr>
                    <ns7:cNvPr id="0" name="image.png"/>
                    <ns7:cNvPicPr/>
                  </ns7:nvPicPr>
                  <ns7:blipFill>
                    <ns6:blip ns3:embed="rId18"/>
                    <ns6:stretch>
                      <ns6:fillRect/>
                    </ns6:stretch>
                  </ns7:blipFill>
                  <ns7:spPr>
                    <ns6:xfrm>
                      <ns6:off x="0" y="0"/>
                      <ns6:ext cx="5943600" cy="6483927"/>
                    </ns6:xfrm>
                    <ns6:prstGeom prst="rect"/>
                  </ns7:spPr>
                </ns7:pic>
              </ns6:graphicData>
            </ns6:graphic>
          </ns4:inline>
        </w:drawing>
      </w:r>
    </w:p>
    <w:p/>
    <w:p/>
    <w:p ns2:paraId="7795D3B1" ns2:textId="77777777" w:rsidP="00AA67A3" w:rsidR="00C1009C" w:rsidRDefault="00C1009C" w:rsidRPr="0064423E">
      <w:pPr>
        <w:rPr>
          <w:rFonts w:ascii="Arial" w:cs="Arial" w:hAnsi="Arial"/>
        </w:rPr>
      </w:pPr>
    </w:p>
    <w:p ns2:paraId="3EEFEB5F" ns2:textId="6991541D" w:rsidP="00AA67A3" w:rsidR="006A6E8A" w:rsidRDefault="00FE3BE4" w:rsidRPr="0064423E">
      <w:pPr>
        <w:rPr>
          <w:rFonts w:ascii="Arial" w:cs="Arial" w:hAnsi="Arial"/>
        </w:rPr>
      </w:pPr>
    </w:p>
    <w:p ns2:paraId="17F5737F" ns2:textId="77777777" w:rsidP="007A6E25" w:rsidR="007A6E25" w:rsidRDefault="007A6E25" w:rsidRPr="0064423E">
      <w:pPr>
        <w:rPr>
          <w:rFonts w:ascii="Arial" w:cs="Arial" w:hAnsi="Arial"/>
        </w:rPr>
      </w:pPr>
    </w:p>
    <w:p ns2:paraId="78BC41A2" ns2:textId="63F9DF95" w:rsidP="00414F3B" w:rsidR="00414F3B" w:rsidRDefault="00414F3B" w:rsidRPr="007D62EF">
      <w:pPr>
        <w:rPr>
          <w:rFonts w:ascii="Arial" w:cs="Arial" w:hAnsi="Arial"/>
          <w:b/>
          <w:bCs/>
        </w:rPr>
      </w:pPr>
      <w:r w:rsidRPr="007D62EF">
        <w:rPr>
          <w:rFonts w:ascii="Arial" w:cs="Arial" w:hAnsi="Arial"/>
          <w:b/>
          <w:bCs/>
        </w:rPr>
        <w:t xml:space="preserve">Aim </w:t>
      </w:r>
      <w:r>
        <w:rPr>
          <w:rFonts w:ascii="Arial" w:cs="Arial" w:hAnsi="Arial"/>
          <w:b/>
          <w:bCs/>
        </w:rPr>
        <w:t>2</w:t>
      </w:r>
      <w:r w:rsidRPr="007D62EF">
        <w:rPr>
          <w:rFonts w:ascii="Arial" w:cs="Arial" w:hAnsi="Arial"/>
          <w:b/>
          <w:bCs/>
        </w:rPr>
        <w:t>: Results are highly conditional on baseline subphenotype prevalence and mortality</w:t>
      </w:r>
      <w:r>
        <w:rPr>
          <w:rFonts w:ascii="Arial" w:cs="Arial" w:hAnsi="Arial"/>
          <w:b/>
          <w:bCs/>
        </w:rPr>
        <w:t xml:space="preserve"> even with a perfect classifier.</w:t>
      </w:r>
    </w:p>
    <w:p ns2:paraId="692ED9A3" ns2:textId="69BB3016" w:rsidP="00414F3B" w:rsidR="00414F3B" w:rsidRDefault="00414F3B">
      <w:pPr>
        <w:rPr>
          <w:rFonts w:ascii="Arial" w:cs="Arial" w:hAnsi="Arial"/>
        </w:rPr>
      </w:pPr>
      <w:r>
        <w:rPr>
          <w:rFonts w:ascii="Arial" w:cs="Arial" w:hAnsi="Arial"/>
        </w:rPr>
        <w:lastRenderedPageBreak/>
        <w:t>It is important to understand how conditional these estimates are on a specific cohort because sample size calculations are made before the trial starts, and it is not known how much subphenotype prevalence and mortality variation between cohorts might influence outcomes. We therefore reran analyses using recent data from numerous cohorts with differing subphenotype prevalences, but with perfect classification.</w:t>
      </w:r>
    </w:p>
    <w:p ns2:paraId="456030BC" ns2:textId="77777777" w:rsidP="00414F3B" w:rsidR="00414F3B" w:rsidRDefault="00414F3B" w:rsidRPr="0064423E">
      <w:pPr>
        <w:rPr>
          <w:rFonts w:ascii="Arial" w:cs="Arial" w:hAnsi="Arial"/>
        </w:rPr>
      </w:pPr>
      <w:r w:rsidRPr="0064423E">
        <w:rPr>
          <w:rFonts w:ascii="Arial" w:cs="Arial" w:hAnsi="Arial"/>
        </w:rPr>
        <w:t xml:space="preserve">These show that for most subphenotypes, the sample size required varied by setting. </w:t>
      </w:r>
    </w:p>
    <w:p ns2:paraId="163A7311" ns2:textId="77777777" w:rsidP="00414F3B" w:rsidR="00414F3B" w:rsidRDefault="00414F3B" w:rsidRPr="0064423E">
      <w:pPr>
        <w:rPr>
          <w:rFonts w:ascii="Arial" w:cs="Arial" w:hAnsi="Arial"/>
        </w:rPr>
      </w:pPr>
      <w:r>
        <w:t>These findings establish that even without the challenge of misclassification, post-hoc HTE analyses demand very large clinical trials that are likely impractical, and that predicting the required sample size is itself challenging.</w:t>
      </w:r>
    </w:p>
    <w:p ns2:paraId="5B5D13B0" ns2:textId="60896EFC" w:rsidP="00414F3B" w:rsidR="00414F3B" w:rsidRDefault="00414F3B" w:rsidRPr="005C093F">
      <w:pPr>
        <w:rPr>
          <w:rFonts w:ascii="Arial" w:cs="Arial" w:hAnsi="Arial"/>
        </w:rPr>
      </w:pPr>
      <w:r>
        <w:t>Figure 2: Effects of subphenotype prevalence and mortality on sample-size requirements. A) Subphenotype prevalence by cohort (points are cohorts; boxplots show median, IQR, and 1.5 x IQR whiskers). B) Subphenotype-specific mortality by cohort. C) Heatmap of required N in target subgroup for 80% power. D) Heatmap of required total trial N for 80% power. Abbreviations: SABG-PCS, Staphylococcus aureus Bacteremia Group Prospective Cohort Study; IDISA, Improved Diagnostic Strategies in Staphylococcus aureus bacteremia study.</w:t>
      </w:r>
    </w:p>
    <w:p>
      <w:r>
        <w:drawing>
          <ns4:inline>
            <ns4:extent cx="5943600" cy="3566160"/>
            <ns4:docPr id="2" name="Picture 2"/>
            <ns4:cNvGraphicFramePr>
              <ns6:graphicFrameLocks noChangeAspect="1"/>
            </ns4:cNvGraphicFramePr>
            <ns6:graphic>
              <ns6:graphicData uri="http://schemas.openxmlformats.org/drawingml/2006/picture">
                <ns7:pic>
                  <ns7:nvPicPr>
                    <ns7:cNvPr id="0" name="image.png"/>
                    <ns7:cNvPicPr/>
                  </ns7:nvPicPr>
                  <ns7:blipFill>
                    <ns6:blip ns3:embed="rId19"/>
                    <ns6:stretch>
                      <ns6:fillRect/>
                    </ns6:stretch>
                  </ns7:blipFill>
                  <ns7:spPr>
                    <ns6:xfrm>
                      <ns6:off x="0" y="0"/>
                      <ns6:ext cx="5943600" cy="3566160"/>
                    </ns6:xfrm>
                    <ns6:prstGeom prst="rect"/>
                  </ns7:spPr>
                </ns7:pic>
              </ns6:graphicData>
            </ns6:graphic>
          </ns4:inline>
        </w:drawing>
      </w:r>
    </w:p>
    <w:p/>
    <w:p/>
    <w:p ns2:paraId="1CC92FD7" ns2:textId="77777777" w:rsidP="00414F3B" w:rsidR="00414F3B" w:rsidRDefault="00414F3B" w:rsidRPr="0064423E">
      <w:pPr>
        <w:rPr>
          <w:rFonts w:ascii="Arial" w:cs="Arial" w:hAnsi="Arial"/>
        </w:rPr>
      </w:pPr>
    </w:p>
    <w:p ns2:paraId="6D3D09F8" ns2:textId="77777777" w:rsidP="00414F3B" w:rsidR="00414F3B" w:rsidRDefault="00414F3B" w:rsidRPr="0064423E">
      <w:pPr>
        <w:rPr>
          <w:rFonts w:ascii="Arial" w:cs="Arial" w:hAnsi="Arial"/>
        </w:rPr>
      </w:pPr>
      <w:r w:rsidRPr="0064423E">
        <w:rPr>
          <w:rFonts w:ascii="Arial" w:cs="Arial" w:hAnsi="Arial"/>
        </w:rPr>
        <w:t xml:space="preserve">These show that for most subphenotypes, the sample size required varied by setting. In particular, for rarer subphenotypes (E), the required sample size in some settings (SABG-PCS and IDISA) was much lower than elsewhere. This reflects the </w:t>
      </w:r>
      <w:commentRangeStart w:id="4"/>
      <w:r w:rsidRPr="0064423E">
        <w:rPr>
          <w:rFonts w:ascii="Arial" w:cs="Arial" w:hAnsi="Arial"/>
        </w:rPr>
        <w:t>higher mortality in these settings</w:t>
      </w:r>
      <w:commentRangeEnd w:id="4"/>
      <w:r w:rsidRPr="0064423E">
        <w:rPr>
          <w:rStyle w:val="CommentReference"/>
          <w:rFonts w:ascii="Arial" w:cs="Arial" w:hAnsi="Arial"/>
          <w:sz w:val="24"/>
          <w:szCs w:val="24"/>
        </w:rPr>
        <w:commentReference w:id="4"/>
      </w:r>
      <w:r w:rsidRPr="0064423E">
        <w:rPr>
          <w:rFonts w:ascii="Arial" w:cs="Arial" w:hAnsi="Arial"/>
        </w:rPr>
        <w:t xml:space="preserve"> and the higher prevalence of this subphenotype.</w:t>
      </w:r>
    </w:p>
    <w:p ns2:paraId="59B45824" ns2:textId="77777777" w:rsidP="00414F3B" w:rsidR="00414F3B" w:rsidRDefault="00414F3B" w:rsidRPr="0064423E">
      <w:pPr>
        <w:rPr>
          <w:rFonts w:ascii="Arial" w:cs="Arial" w:hAnsi="Arial"/>
        </w:rPr>
      </w:pPr>
    </w:p>
    <w:p ns2:paraId="71399FFC" ns2:textId="77777777" w:rsidR="00CE5817" w:rsidRDefault="00CE5817" w:rsidRPr="0064423E">
      <w:pPr>
        <w:rPr>
          <w:rFonts w:ascii="Arial" w:cs="Arial" w:hAnsi="Arial"/>
          <w:i/>
          <w:iCs/>
        </w:rPr>
      </w:pPr>
    </w:p>
    <w:p ns2:paraId="0857BFF8" ns2:textId="427EC38D" w:rsidP="009C30CD" w:rsidR="009C30CD" w:rsidRDefault="005F44DE" w:rsidRPr="0064423E">
      <w:pPr>
        <w:rPr>
          <w:rFonts w:ascii="Arial" w:cs="Arial" w:hAnsi="Arial"/>
        </w:rPr>
      </w:pPr>
      <w:bookmarkStart w:id="6" w:name="OLE_LINK3"/>
      <w:r w:rsidRPr="0064423E">
        <w:rPr>
          <w:rFonts w:ascii="Arial" w:cs="Arial" w:hAnsi="Arial"/>
          <w:i/>
          <w:iCs/>
        </w:rPr>
        <w:t>Enriching a real trial</w:t>
      </w:r>
      <w:r w:rsidR="009476D1" w:rsidRPr="0064423E">
        <w:rPr>
          <w:rFonts w:ascii="Arial" w:cs="Arial" w:hAnsi="Arial"/>
          <w:i/>
          <w:iCs/>
        </w:rPr>
        <w:t xml:space="preserve"> (Aim 3)</w:t>
      </w:r>
    </w:p>
    <w:bookmarkEnd w:id="6"/>
    <w:p ns2:paraId="52E3578C" ns2:textId="260A0534" w:rsidP="009C30CD" w:rsidR="009C30CD" w:rsidRDefault="00B033DC" w:rsidRPr="0064423E">
      <w:pPr>
        <w:rPr>
          <w:rFonts w:ascii="Arial" w:cs="Arial" w:hAnsi="Arial"/>
        </w:rPr>
      </w:pPr>
      <w:r>
        <w:rPr>
          <w:rFonts w:ascii="Arial" w:cs="Arial" w:hAnsi="Arial"/>
        </w:rPr>
        <w:t xml:space="preserve">Above, we demonstrated </w:t>
      </w:r>
      <w:r w:rsidR="009C30CD" w:rsidRPr="0064423E">
        <w:rPr>
          <w:rFonts w:ascii="Arial" w:cs="Arial" w:hAnsi="Arial"/>
        </w:rPr>
        <w:t>the magnitude of the subphenotype-specific treatment effect, the frequency of the target subphenotype in the population, and the baseline event rate. We took this further in a hypothetical exercise of ‘screening’ patients with</w:t>
      </w:r>
      <w:r w:rsidR="00C22D21" w:rsidRPr="0064423E">
        <w:rPr>
          <w:rFonts w:ascii="Arial" w:cs="Arial" w:hAnsi="Arial"/>
        </w:rPr>
        <w:t xml:space="preserve"> SAB with</w:t>
      </w:r>
      <w:r w:rsidR="009C30CD" w:rsidRPr="0064423E">
        <w:rPr>
          <w:rFonts w:ascii="Arial" w:cs="Arial" w:hAnsi="Arial"/>
        </w:rPr>
        <w:t xml:space="preserve"> an imperfect test to randomise them prospectively, as might be considered for a new trial.</w:t>
      </w:r>
    </w:p>
    <w:p ns2:paraId="3219389B" ns2:textId="41EB02DA" w:rsidP="009C30CD" w:rsidR="00541BA0" w:rsidRDefault="00B033DC">
      <w:pPr>
        <w:rPr>
          <w:rFonts w:ascii="Arial" w:cs="Arial" w:hAnsi="Arial"/>
        </w:rPr>
      </w:pPr>
      <w:r>
        <w:t>We evaluated the impact of five hypothetical diagnostic tests ranging from mediocre to near-perfect accuracy on the number needed to screen (NNS) and number needed to randomize (NNR). For subphenotype B, which has a large treatment effect (OR 4.3) and moderate frequency (13%), enrichment remains feasible even with imperfect tests: NNS ranges from ~7,000 with a near-perfect test (99%/99%) to ~2,800 with a balanced test (80%/80%), with corresponding NNR values of ~140-800 participants (Figure 3 for NNS and NNR). Importantly, and as expected, biased estimates were still present. However, for all other subphenotypes, enrichment is not a feasible strategy even with excellent classifiers.</w:t>
      </w:r>
    </w:p>
    <w:p ns2:paraId="60038FB9" ns2:textId="39D15675" w:rsidP="009C30CD" w:rsidR="00012813" w:rsidRDefault="00012813" w:rsidRPr="0064423E">
      <w:pPr>
        <w:rPr>
          <w:rFonts w:ascii="Arial" w:cs="Arial" w:hAnsi="Arial"/>
        </w:rPr>
      </w:pPr>
      <w:r>
        <w:t>Type I error in the null subgroup (A) remained close to nominal in the main simulation (n=20,000), ranging from 4.7% at 100% accuracy to 5.9% at 70% accuracy.</w:t>
      </w:r>
    </w:p>
    <w:p ns2:paraId="66A4B974" ns2:textId="77777777" w:rsidP="009C30CD" w:rsidR="00F5298B" w:rsidRDefault="00F5298B" w:rsidRPr="0064423E">
      <w:pPr>
        <w:rPr>
          <w:rFonts w:ascii="Arial" w:cs="Arial" w:hAnsi="Arial"/>
        </w:rPr>
      </w:pPr>
    </w:p>
    <w:p ns2:paraId="500AE386" ns2:textId="7CCF4B8E" w:rsidP="009C30CD" w:rsidR="00F5298B" w:rsidRDefault="00F5298B" w:rsidRPr="0064423E">
      <w:pPr>
        <w:rPr>
          <w:rFonts w:ascii="Arial" w:cs="Arial" w:hAnsi="Arial"/>
        </w:rPr>
      </w:pPr>
      <w:r>
        <w:t>Figure 3: Number needed to screen (NNS), number needed to randomize (NNR), and bias across the four non-null subphenotypes. The x-axis shows test-performance scenarios; y-axes show NNS, NNR, or bias. Dashed horizontal reference lines indicate 1,000, 10,000, and 100,000 participants.</w:t>
      </w:r>
    </w:p>
    <w:p>
      <w:r>
        <w:drawing>
          <ns4:inline>
            <ns4:extent cx="5943600" cy="7726680"/>
            <ns4:docPr id="3" name="Picture 3"/>
            <ns4:cNvGraphicFramePr>
              <ns6:graphicFrameLocks noChangeAspect="1"/>
            </ns4:cNvGraphicFramePr>
            <ns6:graphic>
              <ns6:graphicData uri="http://schemas.openxmlformats.org/drawingml/2006/picture">
                <ns7:pic>
                  <ns7:nvPicPr>
                    <ns7:cNvPr id="0" name="image.png"/>
                    <ns7:cNvPicPr/>
                  </ns7:nvPicPr>
                  <ns7:blipFill>
                    <ns6:blip ns3:embed="rId20"/>
                    <ns6:stretch>
                      <ns6:fillRect/>
                    </ns6:stretch>
                  </ns7:blipFill>
                  <ns7:spPr>
                    <ns6:xfrm>
                      <ns6:off x="0" y="0"/>
                      <ns6:ext cx="5943600" cy="7726680"/>
                    </ns6:xfrm>
                    <ns6:prstGeom prst="rect"/>
                  </ns7:spPr>
                </ns7:pic>
              </ns6:graphicData>
            </ns6:graphic>
          </ns4:inline>
        </w:drawing>
      </w:r>
    </w:p>
    <w:p/>
    <w:p/>
    <w:p ns2:paraId="6461C108" ns2:textId="12DD7CAB" w:rsidP="009C30CD" w:rsidR="00F37FC7" w:rsidRDefault="00F52A26" w:rsidRPr="0064423E">
      <w:pPr>
        <w:rPr>
          <w:rFonts w:ascii="Arial" w:cs="Arial" w:hAnsi="Arial"/>
        </w:rPr>
      </w:pPr>
    </w:p>
    <w:p ns2:paraId="19D70E28" ns2:textId="7A5D49EE" w:rsidP="004B784B" w:rsidR="004B784B" w:rsidRDefault="004B784B" w:rsidRPr="0064423E">
      <w:pPr>
        <w:rPr>
          <w:rFonts w:ascii="Arial" w:cs="Arial" w:hAnsi="Arial"/>
        </w:rPr>
      </w:pPr>
      <w:r>
        <w:rPr>
          <w:rFonts w:ascii="Arial" w:cs="Arial" w:hAnsi="Arial"/>
          <w:i/>
          <w:iCs/>
        </w:rPr>
        <w:t xml:space="preserve">Ordinal outcomes rescue some of the power </w:t>
      </w:r>
      <w:r w:rsidR="00ED76F8">
        <w:rPr>
          <w:rFonts w:ascii="Arial" w:cs="Arial" w:hAnsi="Arial"/>
          <w:i/>
          <w:iCs/>
        </w:rPr>
        <w:t>when correctly specified, but are worse when incorrect</w:t>
      </w:r>
    </w:p>
    <w:p ns2:paraId="50E5119B" ns2:textId="3831D138" w:rsidP="00F97C73" w:rsidR="004B784B" w:rsidRDefault="004B784B">
      <w:pPr>
        <w:rPr>
          <w:rFonts w:ascii="Arial" w:cs="Arial" w:hAnsi="Arial"/>
          <w:bCs/>
        </w:rPr>
      </w:pPr>
      <w:r>
        <w:t>Finally, we tested whether ordinal outcomes could rescue power lost by binary analyses in this setting. We simulated a 6-point ordinal outcome using the same subphenotype setup as in ARREST under two scenarios: (1) a proportional-odds shift across the outcome scale, and (2) a non-proportional death-only effect (treatment changes death odds, with non-death categories rescaled proportionally). The corresponding category shifts for a representative subgroup are shown in Figure 4.</w:t>
      </w:r>
    </w:p>
    <w:p ns2:paraId="5B05E74B" ns2:textId="77777777" w:rsidP="00F97C73" w:rsidR="00950EB4" w:rsidRDefault="00CE60AB">
      <w:pPr>
        <w:rPr>
          <w:rFonts w:ascii="Arial" w:cs="Arial" w:hAnsi="Arial"/>
          <w:bCs/>
        </w:rPr>
      </w:pPr>
      <w:r>
        <w:t xml:space="preserve">When the ordinal outcome was appropriate (e.g. proportional odds), power was dramatically increased using an ordinal outcome, while type 1 error control was maintained (Figure 5A,5B). The absolute power increase depended on the subphenotype mortality and prevalence. Importantly, and unexpectedly, it was also (generally) less biased when phenotyping was inaccurate. This reflects the non-collapsibility of odds ratios, which occurs when subgroups with very different event rates are mixed. Further explanation of this is given in a supplement, and it is worth noting that this occurs most for rare subphenotypes and would generally but not always reduce bias.  </w:t>
      </w:r>
    </w:p>
    <w:p ns2:paraId="045E7531" ns2:textId="77777777" w:rsidP="00F97C73" w:rsidR="00360776" w:rsidRDefault="00360776">
      <w:pPr>
        <w:rPr>
          <w:rFonts w:ascii="Arial" w:cs="Arial" w:hAnsi="Arial"/>
          <w:bCs/>
        </w:rPr>
      </w:pPr>
    </w:p>
    <w:p ns2:paraId="4DC3879E" ns2:textId="77777777" w:rsidP="00F97C73" w:rsidR="00360776" w:rsidRDefault="00360776">
      <w:pPr>
        <w:rPr>
          <w:rFonts w:ascii="Arial" w:cs="Arial" w:hAnsi="Arial"/>
          <w:bCs/>
        </w:rPr>
      </w:pPr>
      <w:r>
        <w:t>Figure 4: Ordinal outcome category shifts under proportional-odds (A) and non-proportional (death-only) effects (B) for a representative subgroup. Stacked bars show the control and treatment distributions across the six ordered categories (death, ICU, hospital, complications, discharged, recovered). Dashed connectors link matching categories between arms to show how probability mass moves across the outcome scale.</w:t>
      </w:r>
    </w:p>
    <w:p>
      <w:r>
        <w:drawing>
          <ns4:inline>
            <ns4:extent cx="5943600" cy="2260461"/>
            <ns4:docPr id="4" name="Picture 4"/>
            <ns4:cNvGraphicFramePr>
              <ns6:graphicFrameLocks noChangeAspect="1"/>
            </ns4:cNvGraphicFramePr>
            <ns6:graphic>
              <ns6:graphicData uri="http://schemas.openxmlformats.org/drawingml/2006/picture">
                <ns7:pic>
                  <ns7:nvPicPr>
                    <ns7:cNvPr id="0" name="image.png"/>
                    <ns7:cNvPicPr/>
                  </ns7:nvPicPr>
                  <ns7:blipFill>
                    <ns6:blip ns3:embed="rId22"/>
                    <ns6:stretch>
                      <ns6:fillRect/>
                    </ns6:stretch>
                  </ns7:blipFill>
                  <ns7:spPr>
                    <ns6:xfrm>
                      <ns6:off x="0" y="0"/>
                      <ns6:ext cx="5943600" cy="2260461"/>
                    </ns6:xfrm>
                    <ns6:prstGeom prst="rect"/>
                  </ns7:spPr>
                </ns7:pic>
              </ns6:graphicData>
            </ns6:graphic>
          </ns4:inline>
        </w:drawing>
      </w:r>
    </w:p>
    <w:p/>
    <w:p/>
    <w:p>
      <w:r>
        <w:t>Figure 5: Binary versus ordinal performance under proportional-odds and non-proportional (death-only) ordinal data-generating mechanisms, stratified by classification accuracy. Panels A and C show replicate scaled error at n=20,000; panels B and D show power comparison at n=3,000.</w:t>
      </w:r>
    </w:p>
    <w:p>
      <w:r>
        <w:drawing>
          <ns4:inline>
            <ns4:extent cx="5943600" cy="4457700"/>
            <ns4:docPr id="5" name="Picture 5"/>
            <ns4:cNvGraphicFramePr>
              <ns6:graphicFrameLocks noChangeAspect="1"/>
            </ns4:cNvGraphicFramePr>
            <ns6:graphic>
              <ns6:graphicData uri="http://schemas.openxmlformats.org/drawingml/2006/picture">
                <ns7:pic>
                  <ns7:nvPicPr>
                    <ns7:cNvPr id="0" name="image.png"/>
                    <ns7:cNvPicPr/>
                  </ns7:nvPicPr>
                  <ns7:blipFill>
                    <ns6:blip ns3:embed="rId21"/>
                    <ns6:stretch>
                      <ns6:fillRect/>
                    </ns6:stretch>
                  </ns7:blipFill>
                  <ns7:spPr>
                    <ns6:xfrm>
                      <ns6:off x="0" y="0"/>
                      <ns6:ext cx="5943600" cy="4457700"/>
                    </ns6:xfrm>
                    <ns6:prstGeom prst="rect"/>
                  </ns7:spPr>
                </ns7:pic>
              </ns6:graphicData>
            </ns6:graphic>
          </ns4:inline>
        </w:drawing>
      </w:r>
    </w:p>
    <w:p/>
    <w:p>
      <w:r>
        <w:t>Table 2: Ordinal PO vs non-PO performance at N=3,000, showing power, Type S, Type M, proportional bias, and RMSE for binary (death) and ordinal models under 70% and 100% accuracy.</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sample_size</w:t>
            </w:r>
          </w:p>
        </w:tc>
        <w:tc>
          <w:tcPr>
            <w:tcW w:type="dxa" w:w="903"/>
          </w:tcPr>
          <w:p>
            <w:r>
              <w:t>accuracy</w:t>
            </w:r>
          </w:p>
        </w:tc>
        <w:tc>
          <w:tcPr>
            <w:tcW w:type="dxa" w:w="903"/>
          </w:tcPr>
          <w:p>
            <w:r>
              <w:t>dgm</w:t>
            </w:r>
          </w:p>
        </w:tc>
        <w:tc>
          <w:tcPr>
            <w:tcW w:type="dxa" w:w="903"/>
          </w:tcPr>
          <w:p>
            <w:r>
              <w:t>group</w:t>
            </w:r>
          </w:p>
        </w:tc>
        <w:tc>
          <w:tcPr>
            <w:tcW w:type="dxa" w:w="903"/>
          </w:tcPr>
          <w:p>
            <w:r>
              <w:t>model_type</w:t>
            </w:r>
          </w:p>
        </w:tc>
        <w:tc>
          <w:tcPr>
            <w:tcW w:type="dxa" w:w="903"/>
          </w:tcPr>
          <w:p>
            <w:r>
              <w:t>power</w:t>
            </w:r>
          </w:p>
        </w:tc>
        <w:tc>
          <w:tcPr>
            <w:tcW w:type="dxa" w:w="903"/>
          </w:tcPr>
          <w:p>
            <w:r>
              <w:t>type_s</w:t>
            </w:r>
          </w:p>
        </w:tc>
        <w:tc>
          <w:tcPr>
            <w:tcW w:type="dxa" w:w="903"/>
          </w:tcPr>
          <w:p>
            <w:r>
              <w:t>type_m</w:t>
            </w:r>
          </w:p>
        </w:tc>
        <w:tc>
          <w:tcPr>
            <w:tcW w:type="dxa" w:w="903"/>
          </w:tcPr>
          <w:p>
            <w:r>
              <w:t>mean_prop_bias</w:t>
            </w:r>
          </w:p>
        </w:tc>
        <w:tc>
          <w:tcPr>
            <w:tcW w:type="dxa" w:w="903"/>
          </w:tcPr>
          <w:p>
            <w:r>
              <w:t>rmse_log</w:t>
            </w:r>
          </w:p>
        </w:tc>
      </w:tr>
      <w:tr>
        <w:tc>
          <w:tcPr>
            <w:tcW w:type="dxa" w:w="903"/>
          </w:tcPr>
          <w:p>
            <w:r>
              <w:t>3000</w:t>
            </w:r>
          </w:p>
        </w:tc>
        <w:tc>
          <w:tcPr>
            <w:tcW w:type="dxa" w:w="903"/>
          </w:tcPr>
          <w:p>
            <w:r>
              <w:t>0.7</w:t>
            </w:r>
          </w:p>
        </w:tc>
        <w:tc>
          <w:tcPr>
            <w:tcW w:type="dxa" w:w="903"/>
          </w:tcPr>
          <w:p>
            <w:r>
              <w:t>PO</w:t>
            </w:r>
          </w:p>
        </w:tc>
        <w:tc>
          <w:tcPr>
            <w:tcW w:type="dxa" w:w="903"/>
          </w:tcPr>
          <w:p>
            <w:r>
              <w:t>B</w:t>
            </w:r>
          </w:p>
        </w:tc>
        <w:tc>
          <w:tcPr>
            <w:tcW w:type="dxa" w:w="903"/>
          </w:tcPr>
          <w:p>
            <w:r>
              <w:t>Binary (death)</w:t>
            </w:r>
          </w:p>
        </w:tc>
        <w:tc>
          <w:tcPr>
            <w:tcW w:type="dxa" w:w="903"/>
          </w:tcPr>
          <w:p>
            <w:r>
              <w:t>0.147</w:t>
            </w:r>
          </w:p>
        </w:tc>
        <w:tc>
          <w:tcPr>
            <w:tcW w:type="dxa" w:w="903"/>
          </w:tcPr>
          <w:p>
            <w:r>
              <w:t>0</w:t>
            </w:r>
          </w:p>
        </w:tc>
        <w:tc>
          <w:tcPr>
            <w:tcW w:type="dxa" w:w="903"/>
          </w:tcPr>
          <w:p>
            <w:r>
              <w:t>0.903846634561446</w:t>
            </w:r>
          </w:p>
        </w:tc>
        <w:tc>
          <w:tcPr>
            <w:tcW w:type="dxa" w:w="903"/>
          </w:tcPr>
          <w:p>
            <w:r>
              <w:t>-0.6398688098758996</w:t>
            </w:r>
          </w:p>
        </w:tc>
        <w:tc>
          <w:tcPr>
            <w:tcW w:type="dxa" w:w="903"/>
          </w:tcPr>
          <w:p>
            <w:r>
              <w:t>1.0617177652400571</w:t>
            </w:r>
          </w:p>
        </w:tc>
      </w:tr>
      <w:tr>
        <w:tc>
          <w:tcPr>
            <w:tcW w:type="dxa" w:w="903"/>
          </w:tcPr>
          <w:p>
            <w:r>
              <w:t>3000</w:t>
            </w:r>
          </w:p>
        </w:tc>
        <w:tc>
          <w:tcPr>
            <w:tcW w:type="dxa" w:w="903"/>
          </w:tcPr>
          <w:p>
            <w:r>
              <w:t>0.7</w:t>
            </w:r>
          </w:p>
        </w:tc>
        <w:tc>
          <w:tcPr>
            <w:tcW w:type="dxa" w:w="903"/>
          </w:tcPr>
          <w:p>
            <w:r>
              <w:t>PO</w:t>
            </w:r>
          </w:p>
        </w:tc>
        <w:tc>
          <w:tcPr>
            <w:tcW w:type="dxa" w:w="903"/>
          </w:tcPr>
          <w:p>
            <w:r>
              <w:t>B</w:t>
            </w:r>
          </w:p>
        </w:tc>
        <w:tc>
          <w:tcPr>
            <w:tcW w:type="dxa" w:w="903"/>
          </w:tcPr>
          <w:p>
            <w:r>
              <w:t>Ordinal (polr)</w:t>
            </w:r>
          </w:p>
        </w:tc>
        <w:tc>
          <w:tcPr>
            <w:tcW w:type="dxa" w:w="903"/>
          </w:tcPr>
          <w:p>
            <w:r>
              <w:t>0.999</w:t>
            </w:r>
          </w:p>
        </w:tc>
        <w:tc>
          <w:tcPr>
            <w:tcW w:type="dxa" w:w="903"/>
          </w:tcPr>
          <w:p>
            <w:r>
              <w:t>0</w:t>
            </w:r>
          </w:p>
        </w:tc>
        <w:tc>
          <w:tcPr>
            <w:tcW w:type="dxa" w:w="903"/>
          </w:tcPr>
          <w:p>
            <w:r>
              <w:t>0.5979974631558277</w:t>
            </w:r>
          </w:p>
        </w:tc>
        <w:tc>
          <w:tcPr>
            <w:tcW w:type="dxa" w:w="903"/>
          </w:tcPr>
          <w:p>
            <w:r>
              <w:t>-0.4023999027951572</w:t>
            </w:r>
          </w:p>
        </w:tc>
        <w:tc>
          <w:tcPr>
            <w:tcW w:type="dxa" w:w="903"/>
          </w:tcPr>
          <w:p>
            <w:r>
              <w:t>0.6120959982924546</w:t>
            </w:r>
          </w:p>
        </w:tc>
      </w:tr>
      <w:tr>
        <w:tc>
          <w:tcPr>
            <w:tcW w:type="dxa" w:w="903"/>
          </w:tcPr>
          <w:p>
            <w:r>
              <w:t>3000</w:t>
            </w:r>
          </w:p>
        </w:tc>
        <w:tc>
          <w:tcPr>
            <w:tcW w:type="dxa" w:w="903"/>
          </w:tcPr>
          <w:p>
            <w:r>
              <w:t>0.7</w:t>
            </w:r>
          </w:p>
        </w:tc>
        <w:tc>
          <w:tcPr>
            <w:tcW w:type="dxa" w:w="903"/>
          </w:tcPr>
          <w:p>
            <w:r>
              <w:t>PO</w:t>
            </w:r>
          </w:p>
        </w:tc>
        <w:tc>
          <w:tcPr>
            <w:tcW w:type="dxa" w:w="903"/>
          </w:tcPr>
          <w:p>
            <w:r>
              <w:t>C</w:t>
            </w:r>
          </w:p>
        </w:tc>
        <w:tc>
          <w:tcPr>
            <w:tcW w:type="dxa" w:w="903"/>
          </w:tcPr>
          <w:p>
            <w:r>
              <w:t>Binary (death)</w:t>
            </w:r>
          </w:p>
        </w:tc>
        <w:tc>
          <w:tcPr>
            <w:tcW w:type="dxa" w:w="903"/>
          </w:tcPr>
          <w:p>
            <w:r>
              <w:t>0.023</w:t>
            </w:r>
          </w:p>
        </w:tc>
        <w:tc>
          <w:tcPr>
            <w:tcW w:type="dxa" w:w="903"/>
          </w:tcPr>
          <w:p>
            <w:r>
              <w:t>0.019</w:t>
            </w:r>
          </w:p>
        </w:tc>
        <w:tc>
          <w:tcPr>
            <w:tcW w:type="dxa" w:w="903"/>
          </w:tcPr>
          <w:p>
            <w:r>
              <w:t>5.008374459918276</w:t>
            </w:r>
          </w:p>
        </w:tc>
        <w:tc>
          <w:tcPr>
            <w:tcW w:type="dxa" w:w="903"/>
          </w:tcPr>
          <w:p>
            <w:r>
              <w:t>0.6383271903904959</w:t>
            </w:r>
          </w:p>
        </w:tc>
        <w:tc>
          <w:tcPr>
            <w:tcW w:type="dxa" w:w="903"/>
          </w:tcPr>
          <w:p>
            <w:r>
              <w:t>0.2499255642553304</w:t>
            </w:r>
          </w:p>
        </w:tc>
      </w:tr>
      <w:tr>
        <w:tc>
          <w:tcPr>
            <w:tcW w:type="dxa" w:w="903"/>
          </w:tcPr>
          <w:p>
            <w:r>
              <w:t>3000</w:t>
            </w:r>
          </w:p>
        </w:tc>
        <w:tc>
          <w:tcPr>
            <w:tcW w:type="dxa" w:w="903"/>
          </w:tcPr>
          <w:p>
            <w:r>
              <w:t>0.7</w:t>
            </w:r>
          </w:p>
        </w:tc>
        <w:tc>
          <w:tcPr>
            <w:tcW w:type="dxa" w:w="903"/>
          </w:tcPr>
          <w:p>
            <w:r>
              <w:t>PO</w:t>
            </w:r>
          </w:p>
        </w:tc>
        <w:tc>
          <w:tcPr>
            <w:tcW w:type="dxa" w:w="903"/>
          </w:tcPr>
          <w:p>
            <w:r>
              <w:t>C</w:t>
            </w:r>
          </w:p>
        </w:tc>
        <w:tc>
          <w:tcPr>
            <w:tcW w:type="dxa" w:w="903"/>
          </w:tcPr>
          <w:p>
            <w:r>
              <w:t>Ordinal (polr)</w:t>
            </w:r>
          </w:p>
        </w:tc>
        <w:tc>
          <w:tcPr>
            <w:tcW w:type="dxa" w:w="903"/>
          </w:tcPr>
          <w:p>
            <w:r>
              <w:t>0.048</w:t>
            </w:r>
          </w:p>
        </w:tc>
        <w:tc>
          <w:tcPr>
            <w:tcW w:type="dxa" w:w="903"/>
          </w:tcPr>
          <w:p>
            <w:r>
              <w:t>0.004</w:t>
            </w:r>
          </w:p>
        </w:tc>
        <w:tc>
          <w:tcPr>
            <w:tcW w:type="dxa" w:w="903"/>
          </w:tcPr>
          <w:p>
            <w:r>
              <w:t>2.319479315436094</w:t>
            </w:r>
          </w:p>
        </w:tc>
        <w:tc>
          <w:tcPr>
            <w:tcW w:type="dxa" w:w="903"/>
          </w:tcPr>
          <w:p>
            <w:r>
              <w:t>0.596417539450433</w:t>
            </w:r>
          </w:p>
        </w:tc>
        <w:tc>
          <w:tcPr>
            <w:tcW w:type="dxa" w:w="903"/>
          </w:tcPr>
          <w:p>
            <w:r>
              <w:t>0.12813158832710625</w:t>
            </w:r>
          </w:p>
        </w:tc>
      </w:tr>
      <w:tr>
        <w:tc>
          <w:tcPr>
            <w:tcW w:type="dxa" w:w="903"/>
          </w:tcPr>
          <w:p>
            <w:r>
              <w:t>3000</w:t>
            </w:r>
          </w:p>
        </w:tc>
        <w:tc>
          <w:tcPr>
            <w:tcW w:type="dxa" w:w="903"/>
          </w:tcPr>
          <w:p>
            <w:r>
              <w:t>0.7</w:t>
            </w:r>
          </w:p>
        </w:tc>
        <w:tc>
          <w:tcPr>
            <w:tcW w:type="dxa" w:w="903"/>
          </w:tcPr>
          <w:p>
            <w:r>
              <w:t>PO</w:t>
            </w:r>
          </w:p>
        </w:tc>
        <w:tc>
          <w:tcPr>
            <w:tcW w:type="dxa" w:w="903"/>
          </w:tcPr>
          <w:p>
            <w:r>
              <w:t>D</w:t>
            </w:r>
          </w:p>
        </w:tc>
        <w:tc>
          <w:tcPr>
            <w:tcW w:type="dxa" w:w="903"/>
          </w:tcPr>
          <w:p>
            <w:r>
              <w:t>Binary (death)</w:t>
            </w:r>
          </w:p>
        </w:tc>
        <w:tc>
          <w:tcPr>
            <w:tcW w:type="dxa" w:w="903"/>
          </w:tcPr>
          <w:p>
            <w:r>
              <w:t>0.066</w:t>
            </w:r>
          </w:p>
        </w:tc>
        <w:tc>
          <w:tcPr>
            <w:tcW w:type="dxa" w:w="903"/>
          </w:tcPr>
          <w:p>
            <w:r>
              <w:t>0.007</w:t>
            </w:r>
          </w:p>
        </w:tc>
        <w:tc>
          <w:tcPr>
            <w:tcW w:type="dxa" w:w="903"/>
          </w:tcPr>
          <w:p>
            <w:r>
              <w:t>3.6612928446426296</w:t>
            </w:r>
          </w:p>
        </w:tc>
        <w:tc>
          <w:tcPr>
            <w:tcW w:type="dxa" w:w="903"/>
          </w:tcPr>
          <w:p>
            <w:r>
              <w:t>-0.265844866576047</w:t>
            </w:r>
          </w:p>
        </w:tc>
        <w:tc>
          <w:tcPr>
            <w:tcW w:type="dxa" w:w="903"/>
          </w:tcPr>
          <w:p>
            <w:r>
              <w:t>0.2567802196661905</w:t>
            </w:r>
          </w:p>
        </w:tc>
      </w:tr>
      <w:tr>
        <w:tc>
          <w:tcPr>
            <w:tcW w:type="dxa" w:w="903"/>
          </w:tcPr>
          <w:p>
            <w:r>
              <w:t>3000</w:t>
            </w:r>
          </w:p>
        </w:tc>
        <w:tc>
          <w:tcPr>
            <w:tcW w:type="dxa" w:w="903"/>
          </w:tcPr>
          <w:p>
            <w:r>
              <w:t>0.7</w:t>
            </w:r>
          </w:p>
        </w:tc>
        <w:tc>
          <w:tcPr>
            <w:tcW w:type="dxa" w:w="903"/>
          </w:tcPr>
          <w:p>
            <w:r>
              <w:t>PO</w:t>
            </w:r>
          </w:p>
        </w:tc>
        <w:tc>
          <w:tcPr>
            <w:tcW w:type="dxa" w:w="903"/>
          </w:tcPr>
          <w:p>
            <w:r>
              <w:t>D</w:t>
            </w:r>
          </w:p>
        </w:tc>
        <w:tc>
          <w:tcPr>
            <w:tcW w:type="dxa" w:w="903"/>
          </w:tcPr>
          <w:p>
            <w:r>
              <w:t>Ordinal (polr)</w:t>
            </w:r>
          </w:p>
        </w:tc>
        <w:tc>
          <w:tcPr>
            <w:tcW w:type="dxa" w:w="903"/>
          </w:tcPr>
          <w:p>
            <w:r>
              <w:t>0.111</w:t>
            </w:r>
          </w:p>
        </w:tc>
        <w:tc>
          <w:tcPr>
            <w:tcW w:type="dxa" w:w="903"/>
          </w:tcPr>
          <w:p>
            <w:r>
              <w:t>0.003</w:t>
            </w:r>
          </w:p>
        </w:tc>
        <w:tc>
          <w:tcPr>
            <w:tcW w:type="dxa" w:w="903"/>
          </w:tcPr>
          <w:p>
            <w:r>
              <w:t>2.195056707773716</w:t>
            </w:r>
          </w:p>
        </w:tc>
        <w:tc>
          <w:tcPr>
            <w:tcW w:type="dxa" w:w="903"/>
          </w:tcPr>
          <w:p>
            <w:r>
              <w:t>-0.29464419885040716</w:t>
            </w:r>
          </w:p>
        </w:tc>
        <w:tc>
          <w:tcPr>
            <w:tcW w:type="dxa" w:w="903"/>
          </w:tcPr>
          <w:p>
            <w:r>
              <w:t>0.1521793144782724</w:t>
            </w:r>
          </w:p>
        </w:tc>
      </w:tr>
      <w:tr>
        <w:tc>
          <w:tcPr>
            <w:tcW w:type="dxa" w:w="903"/>
          </w:tcPr>
          <w:p>
            <w:r>
              <w:t>3000</w:t>
            </w:r>
          </w:p>
        </w:tc>
        <w:tc>
          <w:tcPr>
            <w:tcW w:type="dxa" w:w="903"/>
          </w:tcPr>
          <w:p>
            <w:r>
              <w:t>0.7</w:t>
            </w:r>
          </w:p>
        </w:tc>
        <w:tc>
          <w:tcPr>
            <w:tcW w:type="dxa" w:w="903"/>
          </w:tcPr>
          <w:p>
            <w:r>
              <w:t>PO</w:t>
            </w:r>
          </w:p>
        </w:tc>
        <w:tc>
          <w:tcPr>
            <w:tcW w:type="dxa" w:w="903"/>
          </w:tcPr>
          <w:p>
            <w:r>
              <w:t>E</w:t>
            </w:r>
          </w:p>
        </w:tc>
        <w:tc>
          <w:tcPr>
            <w:tcW w:type="dxa" w:w="903"/>
          </w:tcPr>
          <w:p>
            <w:r>
              <w:t>Binary (death)</w:t>
            </w:r>
          </w:p>
        </w:tc>
        <w:tc>
          <w:tcPr>
            <w:tcW w:type="dxa" w:w="903"/>
          </w:tcPr>
          <w:p>
            <w:r>
              <w:t>0.024</w:t>
            </w:r>
          </w:p>
        </w:tc>
        <w:tc>
          <w:tcPr>
            <w:tcW w:type="dxa" w:w="903"/>
          </w:tcPr>
          <w:p>
            <w:r>
              <w:t>0.011</w:t>
            </w:r>
          </w:p>
        </w:tc>
        <w:tc>
          <w:tcPr>
            <w:tcW w:type="dxa" w:w="903"/>
          </w:tcPr>
          <w:p>
            <w:r>
              <w:t>1.93368160026442</w:t>
            </w:r>
          </w:p>
        </w:tc>
        <w:tc>
          <w:tcPr>
            <w:tcW w:type="dxa" w:w="903"/>
          </w:tcPr>
          <w:p>
            <w:r>
              <w:t>0.8579063769329787</w:t>
            </w:r>
          </w:p>
        </w:tc>
        <w:tc>
          <w:tcPr>
            <w:tcW w:type="dxa" w:w="903"/>
          </w:tcPr>
          <w:p>
            <w:r>
              <w:t>0.9084469955598032</w:t>
            </w:r>
          </w:p>
        </w:tc>
      </w:tr>
      <w:tr>
        <w:tc>
          <w:tcPr>
            <w:tcW w:type="dxa" w:w="903"/>
          </w:tcPr>
          <w:p>
            <w:r>
              <w:t>3000</w:t>
            </w:r>
          </w:p>
        </w:tc>
        <w:tc>
          <w:tcPr>
            <w:tcW w:type="dxa" w:w="903"/>
          </w:tcPr>
          <w:p>
            <w:r>
              <w:t>0.7</w:t>
            </w:r>
          </w:p>
        </w:tc>
        <w:tc>
          <w:tcPr>
            <w:tcW w:type="dxa" w:w="903"/>
          </w:tcPr>
          <w:p>
            <w:r>
              <w:t>PO</w:t>
            </w:r>
          </w:p>
        </w:tc>
        <w:tc>
          <w:tcPr>
            <w:tcW w:type="dxa" w:w="903"/>
          </w:tcPr>
          <w:p>
            <w:r>
              <w:t>E</w:t>
            </w:r>
          </w:p>
        </w:tc>
        <w:tc>
          <w:tcPr>
            <w:tcW w:type="dxa" w:w="903"/>
          </w:tcPr>
          <w:p>
            <w:r>
              <w:t>Ordinal (polr)</w:t>
            </w:r>
          </w:p>
        </w:tc>
        <w:tc>
          <w:tcPr>
            <w:tcW w:type="dxa" w:w="903"/>
          </w:tcPr>
          <w:p>
            <w:r>
              <w:t>0.588</w:t>
            </w:r>
          </w:p>
        </w:tc>
        <w:tc>
          <w:tcPr>
            <w:tcW w:type="dxa" w:w="903"/>
          </w:tcPr>
          <w:p>
            <w:r>
              <w:t>0</w:t>
            </w:r>
          </w:p>
        </w:tc>
        <w:tc>
          <w:tcPr>
            <w:tcW w:type="dxa" w:w="903"/>
          </w:tcPr>
          <w:p>
            <w:r>
              <w:t>0.7158145058913341</w:t>
            </w:r>
          </w:p>
        </w:tc>
        <w:tc>
          <w:tcPr>
            <w:tcW w:type="dxa" w:w="903"/>
          </w:tcPr>
          <w:p>
            <w:r>
              <w:t>0.4533567714743797</w:t>
            </w:r>
          </w:p>
        </w:tc>
        <w:tc>
          <w:tcPr>
            <w:tcW w:type="dxa" w:w="903"/>
          </w:tcPr>
          <w:p>
            <w:r>
              <w:t>0.321761203579917</w:t>
            </w:r>
          </w:p>
        </w:tc>
      </w:tr>
      <w:tr>
        <w:tc>
          <w:tcPr>
            <w:tcW w:type="dxa" w:w="903"/>
          </w:tcPr>
          <w:p>
            <w:r>
              <w:t>3000</w:t>
            </w:r>
          </w:p>
        </w:tc>
        <w:tc>
          <w:tcPr>
            <w:tcW w:type="dxa" w:w="903"/>
          </w:tcPr>
          <w:p>
            <w:r>
              <w:t>1</w:t>
            </w:r>
          </w:p>
        </w:tc>
        <w:tc>
          <w:tcPr>
            <w:tcW w:type="dxa" w:w="903"/>
          </w:tcPr>
          <w:p>
            <w:r>
              <w:t>PO</w:t>
            </w:r>
          </w:p>
        </w:tc>
        <w:tc>
          <w:tcPr>
            <w:tcW w:type="dxa" w:w="903"/>
          </w:tcPr>
          <w:p>
            <w:r>
              <w:t>B</w:t>
            </w:r>
          </w:p>
        </w:tc>
        <w:tc>
          <w:tcPr>
            <w:tcW w:type="dxa" w:w="903"/>
          </w:tcPr>
          <w:p>
            <w:r>
              <w:t>Binary (death)</w:t>
            </w:r>
          </w:p>
        </w:tc>
        <w:tc>
          <w:tcPr>
            <w:tcW w:type="dxa" w:w="903"/>
          </w:tcPr>
          <w:p>
            <w:r>
              <w:t>0.322</w:t>
            </w:r>
          </w:p>
        </w:tc>
        <w:tc>
          <w:tcPr>
            <w:tcW w:type="dxa" w:w="903"/>
          </w:tcPr>
          <w:p>
            <w:r>
              <w:t>0</w:t>
            </w:r>
          </w:p>
        </w:tc>
        <w:tc>
          <w:tcPr>
            <w:tcW w:type="dxa" w:w="903"/>
          </w:tcPr>
          <w:p>
            <w:r>
              <w:t>1.3960092604134438</w:t>
            </w:r>
          </w:p>
        </w:tc>
        <w:tc>
          <w:tcPr>
            <w:tcW w:type="dxa" w:w="903"/>
          </w:tcPr>
          <w:p>
            <w:r>
              <w:t>1.489671469884607</w:t>
            </w:r>
          </w:p>
        </w:tc>
        <w:tc>
          <w:tcPr>
            <w:tcW w:type="dxa" w:w="903"/>
          </w:tcPr>
          <w:p>
            <w:r>
              <w:t>6.085475986363641</w:t>
            </w:r>
          </w:p>
        </w:tc>
      </w:tr>
      <w:tr>
        <w:tc>
          <w:tcPr>
            <w:tcW w:type="dxa" w:w="903"/>
          </w:tcPr>
          <w:p>
            <w:r>
              <w:t>3000</w:t>
            </w:r>
          </w:p>
        </w:tc>
        <w:tc>
          <w:tcPr>
            <w:tcW w:type="dxa" w:w="903"/>
          </w:tcPr>
          <w:p>
            <w:r>
              <w:t>1</w:t>
            </w:r>
          </w:p>
        </w:tc>
        <w:tc>
          <w:tcPr>
            <w:tcW w:type="dxa" w:w="903"/>
          </w:tcPr>
          <w:p>
            <w:r>
              <w:t>PO</w:t>
            </w:r>
          </w:p>
        </w:tc>
        <w:tc>
          <w:tcPr>
            <w:tcW w:type="dxa" w:w="903"/>
          </w:tcPr>
          <w:p>
            <w:r>
              <w:t>B</w:t>
            </w:r>
          </w:p>
        </w:tc>
        <w:tc>
          <w:tcPr>
            <w:tcW w:type="dxa" w:w="903"/>
          </w:tcPr>
          <w:p>
            <w:r>
              <w:t>Ordinal (polr)</w:t>
            </w:r>
          </w:p>
        </w:tc>
        <w:tc>
          <w:tcPr>
            <w:tcW w:type="dxa" w:w="903"/>
          </w:tcPr>
          <w:p>
            <w:r>
              <w:t>1</w:t>
            </w:r>
          </w:p>
        </w:tc>
        <w:tc>
          <w:tcPr>
            <w:tcW w:type="dxa" w:w="903"/>
          </w:tcPr>
          <w:p>
            <w:r>
              <w:t>0</w:t>
            </w:r>
          </w:p>
        </w:tc>
        <w:tc>
          <w:tcPr>
            <w:tcW w:type="dxa" w:w="903"/>
          </w:tcPr>
          <w:p>
            <w:r>
              <w:t>1.0021823210511056</w:t>
            </w:r>
          </w:p>
        </w:tc>
        <w:tc>
          <w:tcPr>
            <w:tcW w:type="dxa" w:w="903"/>
          </w:tcPr>
          <w:p>
            <w:r>
              <w:t>0.00218232105110552</w:t>
            </w:r>
          </w:p>
        </w:tc>
        <w:tc>
          <w:tcPr>
            <w:tcW w:type="dxa" w:w="903"/>
          </w:tcPr>
          <w:p>
            <w:r>
              <w:t>0.19122389204525592</w:t>
            </w:r>
          </w:p>
        </w:tc>
      </w:tr>
      <w:tr>
        <w:tc>
          <w:tcPr>
            <w:tcW w:type="dxa" w:w="903"/>
          </w:tcPr>
          <w:p>
            <w:r>
              <w:t>3000</w:t>
            </w:r>
          </w:p>
        </w:tc>
        <w:tc>
          <w:tcPr>
            <w:tcW w:type="dxa" w:w="903"/>
          </w:tcPr>
          <w:p>
            <w:r>
              <w:t>1</w:t>
            </w:r>
          </w:p>
        </w:tc>
        <w:tc>
          <w:tcPr>
            <w:tcW w:type="dxa" w:w="903"/>
          </w:tcPr>
          <w:p>
            <w:r>
              <w:t>PO</w:t>
            </w:r>
          </w:p>
        </w:tc>
        <w:tc>
          <w:tcPr>
            <w:tcW w:type="dxa" w:w="903"/>
          </w:tcPr>
          <w:p>
            <w:r>
              <w:t>C</w:t>
            </w:r>
          </w:p>
        </w:tc>
        <w:tc>
          <w:tcPr>
            <w:tcW w:type="dxa" w:w="903"/>
          </w:tcPr>
          <w:p>
            <w:r>
              <w:t>Binary (death)</w:t>
            </w:r>
          </w:p>
        </w:tc>
        <w:tc>
          <w:tcPr>
            <w:tcW w:type="dxa" w:w="903"/>
          </w:tcPr>
          <w:p>
            <w:r>
              <w:t>0.066</w:t>
            </w:r>
          </w:p>
        </w:tc>
        <w:tc>
          <w:tcPr>
            <w:tcW w:type="dxa" w:w="903"/>
          </w:tcPr>
          <w:p>
            <w:r>
              <w:t>0.01</w:t>
            </w:r>
          </w:p>
        </w:tc>
        <w:tc>
          <w:tcPr>
            <w:tcW w:type="dxa" w:w="903"/>
          </w:tcPr>
          <w:p>
            <w:r>
              <w:t>4.6397334155755585</w:t>
            </w:r>
          </w:p>
        </w:tc>
        <w:tc>
          <w:tcPr>
            <w:tcW w:type="dxa" w:w="903"/>
          </w:tcPr>
          <w:p>
            <w:r>
              <w:t>0.01890564258938777</w:t>
            </w:r>
          </w:p>
        </w:tc>
        <w:tc>
          <w:tcPr>
            <w:tcW w:type="dxa" w:w="903"/>
          </w:tcPr>
          <w:p>
            <w:r>
              <w:t>0.23727794443930025</w:t>
            </w:r>
          </w:p>
        </w:tc>
      </w:tr>
      <w:tr>
        <w:tc>
          <w:tcPr>
            <w:tcW w:type="dxa" w:w="903"/>
          </w:tcPr>
          <w:p>
            <w:r>
              <w:t>3000</w:t>
            </w:r>
          </w:p>
        </w:tc>
        <w:tc>
          <w:tcPr>
            <w:tcW w:type="dxa" w:w="903"/>
          </w:tcPr>
          <w:p>
            <w:r>
              <w:t>1</w:t>
            </w:r>
          </w:p>
        </w:tc>
        <w:tc>
          <w:tcPr>
            <w:tcW w:type="dxa" w:w="903"/>
          </w:tcPr>
          <w:p>
            <w:r>
              <w:t>PO</w:t>
            </w:r>
          </w:p>
        </w:tc>
        <w:tc>
          <w:tcPr>
            <w:tcW w:type="dxa" w:w="903"/>
          </w:tcPr>
          <w:p>
            <w:r>
              <w:t>C</w:t>
            </w:r>
          </w:p>
        </w:tc>
        <w:tc>
          <w:tcPr>
            <w:tcW w:type="dxa" w:w="903"/>
          </w:tcPr>
          <w:p>
            <w:r>
              <w:t>Ordinal (polr)</w:t>
            </w:r>
          </w:p>
        </w:tc>
        <w:tc>
          <w:tcPr>
            <w:tcW w:type="dxa" w:w="903"/>
          </w:tcPr>
          <w:p>
            <w:r>
              <w:t>0.178</w:t>
            </w:r>
          </w:p>
        </w:tc>
        <w:tc>
          <w:tcPr>
            <w:tcW w:type="dxa" w:w="903"/>
          </w:tcPr>
          <w:p>
            <w:r>
              <w:t>0.001</w:t>
            </w:r>
          </w:p>
        </w:tc>
        <w:tc>
          <w:tcPr>
            <w:tcW w:type="dxa" w:w="903"/>
          </w:tcPr>
          <w:p>
            <w:r>
              <w:t>2.382221610185244</w:t>
            </w:r>
          </w:p>
        </w:tc>
        <w:tc>
          <w:tcPr>
            <w:tcW w:type="dxa" w:w="903"/>
          </w:tcPr>
          <w:p>
            <w:r>
              <w:t>0.01540446084430831</w:t>
            </w:r>
          </w:p>
        </w:tc>
        <w:tc>
          <w:tcPr>
            <w:tcW w:type="dxa" w:w="903"/>
          </w:tcPr>
          <w:p>
            <w:r>
              <w:t>0.11117333661014644</w:t>
            </w:r>
          </w:p>
        </w:tc>
      </w:tr>
      <w:tr>
        <w:tc>
          <w:tcPr>
            <w:tcW w:type="dxa" w:w="903"/>
          </w:tcPr>
          <w:p>
            <w:r>
              <w:t>3000</w:t>
            </w:r>
          </w:p>
        </w:tc>
        <w:tc>
          <w:tcPr>
            <w:tcW w:type="dxa" w:w="903"/>
          </w:tcPr>
          <w:p>
            <w:r>
              <w:t>1</w:t>
            </w:r>
          </w:p>
        </w:tc>
        <w:tc>
          <w:tcPr>
            <w:tcW w:type="dxa" w:w="903"/>
          </w:tcPr>
          <w:p>
            <w:r>
              <w:t>PO</w:t>
            </w:r>
          </w:p>
        </w:tc>
        <w:tc>
          <w:tcPr>
            <w:tcW w:type="dxa" w:w="903"/>
          </w:tcPr>
          <w:p>
            <w:r>
              <w:t>D</w:t>
            </w:r>
          </w:p>
        </w:tc>
        <w:tc>
          <w:tcPr>
            <w:tcW w:type="dxa" w:w="903"/>
          </w:tcPr>
          <w:p>
            <w:r>
              <w:t>Binary (death)</w:t>
            </w:r>
          </w:p>
        </w:tc>
        <w:tc>
          <w:tcPr>
            <w:tcW w:type="dxa" w:w="903"/>
          </w:tcPr>
          <w:p>
            <w:r>
              <w:t>0.099</w:t>
            </w:r>
          </w:p>
        </w:tc>
        <w:tc>
          <w:tcPr>
            <w:tcW w:type="dxa" w:w="903"/>
          </w:tcPr>
          <w:p>
            <w:r>
              <w:t>0.004</w:t>
            </w:r>
          </w:p>
        </w:tc>
        <w:tc>
          <w:tcPr>
            <w:tcW w:type="dxa" w:w="903"/>
          </w:tcPr>
          <w:p>
            <w:r>
              <w:t>3.468860934852608</w:t>
            </w:r>
          </w:p>
        </w:tc>
        <w:tc>
          <w:tcPr>
            <w:tcW w:type="dxa" w:w="903"/>
          </w:tcPr>
          <w:p>
            <w:r>
              <w:t>-0.04734200662175368</w:t>
            </w:r>
          </w:p>
        </w:tc>
        <w:tc>
          <w:tcPr>
            <w:tcW w:type="dxa" w:w="903"/>
          </w:tcPr>
          <w:p>
            <w:r>
              <w:t>0.23723311558047824</w:t>
            </w:r>
          </w:p>
        </w:tc>
      </w:tr>
      <w:tr>
        <w:tc>
          <w:tcPr>
            <w:tcW w:type="dxa" w:w="903"/>
          </w:tcPr>
          <w:p>
            <w:r>
              <w:t>3000</w:t>
            </w:r>
          </w:p>
        </w:tc>
        <w:tc>
          <w:tcPr>
            <w:tcW w:type="dxa" w:w="903"/>
          </w:tcPr>
          <w:p>
            <w:r>
              <w:t>1</w:t>
            </w:r>
          </w:p>
        </w:tc>
        <w:tc>
          <w:tcPr>
            <w:tcW w:type="dxa" w:w="903"/>
          </w:tcPr>
          <w:p>
            <w:r>
              <w:t>PO</w:t>
            </w:r>
          </w:p>
        </w:tc>
        <w:tc>
          <w:tcPr>
            <w:tcW w:type="dxa" w:w="903"/>
          </w:tcPr>
          <w:p>
            <w:r>
              <w:t>D</w:t>
            </w:r>
          </w:p>
        </w:tc>
        <w:tc>
          <w:tcPr>
            <w:tcW w:type="dxa" w:w="903"/>
          </w:tcPr>
          <w:p>
            <w:r>
              <w:t>Ordinal (polr)</w:t>
            </w:r>
          </w:p>
        </w:tc>
        <w:tc>
          <w:tcPr>
            <w:tcW w:type="dxa" w:w="903"/>
          </w:tcPr>
          <w:p>
            <w:r>
              <w:t>0.184</w:t>
            </w:r>
          </w:p>
        </w:tc>
        <w:tc>
          <w:tcPr>
            <w:tcW w:type="dxa" w:w="903"/>
          </w:tcPr>
          <w:p>
            <w:r>
              <w:t>0</w:t>
            </w:r>
          </w:p>
        </w:tc>
        <w:tc>
          <w:tcPr>
            <w:tcW w:type="dxa" w:w="903"/>
          </w:tcPr>
          <w:p>
            <w:r>
              <w:t>2.296980057124814</w:t>
            </w:r>
          </w:p>
        </w:tc>
        <w:tc>
          <w:tcPr>
            <w:tcW w:type="dxa" w:w="903"/>
          </w:tcPr>
          <w:p>
            <w:r>
              <w:t>0.01415656849173659</w:t>
            </w:r>
          </w:p>
        </w:tc>
        <w:tc>
          <w:tcPr>
            <w:tcW w:type="dxa" w:w="903"/>
          </w:tcPr>
          <w:p>
            <w:r>
              <w:t>0.14999773432430988</w:t>
            </w:r>
          </w:p>
        </w:tc>
      </w:tr>
      <w:tr>
        <w:tc>
          <w:tcPr>
            <w:tcW w:type="dxa" w:w="903"/>
          </w:tcPr>
          <w:p>
            <w:r>
              <w:t>3000</w:t>
            </w:r>
          </w:p>
        </w:tc>
        <w:tc>
          <w:tcPr>
            <w:tcW w:type="dxa" w:w="903"/>
          </w:tcPr>
          <w:p>
            <w:r>
              <w:t>1</w:t>
            </w:r>
          </w:p>
        </w:tc>
        <w:tc>
          <w:tcPr>
            <w:tcW w:type="dxa" w:w="903"/>
          </w:tcPr>
          <w:p>
            <w:r>
              <w:t>PO</w:t>
            </w:r>
          </w:p>
        </w:tc>
        <w:tc>
          <w:tcPr>
            <w:tcW w:type="dxa" w:w="903"/>
          </w:tcPr>
          <w:p>
            <w:r>
              <w:t>E</w:t>
            </w:r>
          </w:p>
        </w:tc>
        <w:tc>
          <w:tcPr>
            <w:tcW w:type="dxa" w:w="903"/>
          </w:tcPr>
          <w:p>
            <w:r>
              <w:t>Binary (death)</w:t>
            </w:r>
          </w:p>
        </w:tc>
        <w:tc>
          <w:tcPr>
            <w:tcW w:type="dxa" w:w="903"/>
          </w:tcPr>
          <w:p>
            <w:r>
              <w:t>0.008</w:t>
            </w:r>
          </w:p>
        </w:tc>
        <w:tc>
          <w:tcPr>
            <w:tcW w:type="dxa" w:w="903"/>
          </w:tcPr>
          <w:p>
            <w:r>
              <w:t>0</w:t>
            </w:r>
          </w:p>
        </w:tc>
        <w:tc>
          <w:tcPr>
            <w:tcW w:type="dxa" w:w="903"/>
          </w:tcPr>
          <w:p>
            <w:r>
              <w:t>3.3652191612845836</w:t>
            </w:r>
          </w:p>
        </w:tc>
        <w:tc>
          <w:tcPr>
            <w:tcW w:type="dxa" w:w="903"/>
          </w:tcPr>
          <w:p>
            <w:r>
              <w:t>-3.038243674147692</w:t>
            </w:r>
          </w:p>
        </w:tc>
        <w:tc>
          <w:tcPr>
            <w:tcW w:type="dxa" w:w="903"/>
          </w:tcPr>
          <w:p>
            <w:r>
              <w:t>6.785248276800712</w:t>
            </w:r>
          </w:p>
        </w:tc>
      </w:tr>
      <w:tr>
        <w:tc>
          <w:tcPr>
            <w:tcW w:type="dxa" w:w="903"/>
          </w:tcPr>
          <w:p>
            <w:r>
              <w:t>3000</w:t>
            </w:r>
          </w:p>
        </w:tc>
        <w:tc>
          <w:tcPr>
            <w:tcW w:type="dxa" w:w="903"/>
          </w:tcPr>
          <w:p>
            <w:r>
              <w:t>1</w:t>
            </w:r>
          </w:p>
        </w:tc>
        <w:tc>
          <w:tcPr>
            <w:tcW w:type="dxa" w:w="903"/>
          </w:tcPr>
          <w:p>
            <w:r>
              <w:t>PO</w:t>
            </w:r>
          </w:p>
        </w:tc>
        <w:tc>
          <w:tcPr>
            <w:tcW w:type="dxa" w:w="903"/>
          </w:tcPr>
          <w:p>
            <w:r>
              <w:t>E</w:t>
            </w:r>
          </w:p>
        </w:tc>
        <w:tc>
          <w:tcPr>
            <w:tcW w:type="dxa" w:w="903"/>
          </w:tcPr>
          <w:p>
            <w:r>
              <w:t>Ordinal (polr)</w:t>
            </w:r>
          </w:p>
        </w:tc>
        <w:tc>
          <w:tcPr>
            <w:tcW w:type="dxa" w:w="903"/>
          </w:tcPr>
          <w:p>
            <w:r>
              <w:t>0.96</w:t>
            </w:r>
          </w:p>
        </w:tc>
        <w:tc>
          <w:tcPr>
            <w:tcW w:type="dxa" w:w="903"/>
          </w:tcPr>
          <w:p>
            <w:r>
              <w:t>0</w:t>
            </w:r>
          </w:p>
        </w:tc>
        <w:tc>
          <w:tcPr>
            <w:tcW w:type="dxa" w:w="903"/>
          </w:tcPr>
          <w:p>
            <w:r>
              <w:t>1.0192927437115018</w:t>
            </w:r>
          </w:p>
        </w:tc>
        <w:tc>
          <w:tcPr>
            <w:tcW w:type="dxa" w:w="903"/>
          </w:tcPr>
          <w:p>
            <w:r>
              <w:t>0.00562000537938734</w:t>
            </w:r>
          </w:p>
        </w:tc>
        <w:tc>
          <w:tcPr>
            <w:tcW w:type="dxa" w:w="903"/>
          </w:tcPr>
          <w:p>
            <w:r>
              <w:t>0.16450265762613592</w:t>
            </w:r>
          </w:p>
        </w:tc>
      </w:tr>
      <w:tr>
        <w:tc>
          <w:tcPr>
            <w:tcW w:type="dxa" w:w="903"/>
          </w:tcPr>
          <w:p>
            <w:r>
              <w:t>3000</w:t>
            </w:r>
          </w:p>
        </w:tc>
        <w:tc>
          <w:tcPr>
            <w:tcW w:type="dxa" w:w="903"/>
          </w:tcPr>
          <w:p>
            <w:r>
              <w:t>0.7</w:t>
            </w:r>
          </w:p>
        </w:tc>
        <w:tc>
          <w:tcPr>
            <w:tcW w:type="dxa" w:w="903"/>
          </w:tcPr>
          <w:p>
            <w:r>
              <w:t>nonPO</w:t>
            </w:r>
          </w:p>
        </w:tc>
        <w:tc>
          <w:tcPr>
            <w:tcW w:type="dxa" w:w="903"/>
          </w:tcPr>
          <w:p>
            <w:r>
              <w:t>B</w:t>
            </w:r>
          </w:p>
        </w:tc>
        <w:tc>
          <w:tcPr>
            <w:tcW w:type="dxa" w:w="903"/>
          </w:tcPr>
          <w:p>
            <w:r>
              <w:t>Binary (death)</w:t>
            </w:r>
          </w:p>
        </w:tc>
        <w:tc>
          <w:tcPr>
            <w:tcW w:type="dxa" w:w="903"/>
          </w:tcPr>
          <w:p>
            <w:r>
              <w:t>0.158</w:t>
            </w:r>
          </w:p>
        </w:tc>
        <w:tc>
          <w:tcPr>
            <w:tcW w:type="dxa" w:w="903"/>
          </w:tcPr>
          <w:p>
            <w:r>
              <w:t>0</w:t>
            </w:r>
          </w:p>
        </w:tc>
        <w:tc>
          <w:tcPr>
            <w:tcW w:type="dxa" w:w="903"/>
          </w:tcPr>
          <w:p>
            <w:r>
              <w:t>0.8942634392890094</w:t>
            </w:r>
          </w:p>
        </w:tc>
        <w:tc>
          <w:tcPr>
            <w:tcW w:type="dxa" w:w="903"/>
          </w:tcPr>
          <w:p>
            <w:r>
              <w:t>-0.6507957952967871</w:t>
            </w:r>
          </w:p>
        </w:tc>
        <w:tc>
          <w:tcPr>
            <w:tcW w:type="dxa" w:w="903"/>
          </w:tcPr>
          <w:p>
            <w:r>
              <w:t>1.081586262405008</w:t>
            </w:r>
          </w:p>
        </w:tc>
      </w:tr>
      <w:tr>
        <w:tc>
          <w:tcPr>
            <w:tcW w:type="dxa" w:w="903"/>
          </w:tcPr>
          <w:p>
            <w:r>
              <w:t>3000</w:t>
            </w:r>
          </w:p>
        </w:tc>
        <w:tc>
          <w:tcPr>
            <w:tcW w:type="dxa" w:w="903"/>
          </w:tcPr>
          <w:p>
            <w:r>
              <w:t>0.7</w:t>
            </w:r>
          </w:p>
        </w:tc>
        <w:tc>
          <w:tcPr>
            <w:tcW w:type="dxa" w:w="903"/>
          </w:tcPr>
          <w:p>
            <w:r>
              <w:t>nonPO</w:t>
            </w:r>
          </w:p>
        </w:tc>
        <w:tc>
          <w:tcPr>
            <w:tcW w:type="dxa" w:w="903"/>
          </w:tcPr>
          <w:p>
            <w:r>
              <w:t>B</w:t>
            </w:r>
          </w:p>
        </w:tc>
        <w:tc>
          <w:tcPr>
            <w:tcW w:type="dxa" w:w="903"/>
          </w:tcPr>
          <w:p>
            <w:r>
              <w:t>Ordinal (polr)</w:t>
            </w:r>
          </w:p>
        </w:tc>
        <w:tc>
          <w:tcPr>
            <w:tcW w:type="dxa" w:w="903"/>
          </w:tcPr>
          <w:p>
            <w:r>
              <w:t>0.062</w:t>
            </w:r>
          </w:p>
        </w:tc>
        <w:tc>
          <w:tcPr>
            <w:tcW w:type="dxa" w:w="903"/>
          </w:tcPr>
          <w:p>
            <w:r>
              <w:t>0.003</w:t>
            </w:r>
          </w:p>
        </w:tc>
        <w:tc>
          <w:tcPr>
            <w:tcW w:type="dxa" w:w="903"/>
          </w:tcPr>
          <w:p>
            <w:r>
              <w:t>4.093669030322937</w:t>
            </w:r>
          </w:p>
        </w:tc>
        <w:tc>
          <w:tcPr>
            <w:tcW w:type="dxa" w:w="903"/>
          </w:tcPr>
          <w:p>
            <w:r>
              <w:t>-0.2449902949494266</w:t>
            </w:r>
          </w:p>
        </w:tc>
        <w:tc>
          <w:tcPr>
            <w:tcW w:type="dxa" w:w="903"/>
          </w:tcPr>
          <w:p>
            <w:r>
              <w:t>0.1726925244449372</w:t>
            </w:r>
          </w:p>
        </w:tc>
      </w:tr>
      <w:tr>
        <w:tc>
          <w:tcPr>
            <w:tcW w:type="dxa" w:w="903"/>
          </w:tcPr>
          <w:p>
            <w:r>
              <w:t>3000</w:t>
            </w:r>
          </w:p>
        </w:tc>
        <w:tc>
          <w:tcPr>
            <w:tcW w:type="dxa" w:w="903"/>
          </w:tcPr>
          <w:p>
            <w:r>
              <w:t>0.7</w:t>
            </w:r>
          </w:p>
        </w:tc>
        <w:tc>
          <w:tcPr>
            <w:tcW w:type="dxa" w:w="903"/>
          </w:tcPr>
          <w:p>
            <w:r>
              <w:t>nonPO</w:t>
            </w:r>
          </w:p>
        </w:tc>
        <w:tc>
          <w:tcPr>
            <w:tcW w:type="dxa" w:w="903"/>
          </w:tcPr>
          <w:p>
            <w:r>
              <w:t>C</w:t>
            </w:r>
          </w:p>
        </w:tc>
        <w:tc>
          <w:tcPr>
            <w:tcW w:type="dxa" w:w="903"/>
          </w:tcPr>
          <w:p>
            <w:r>
              <w:t>Binary (death)</w:t>
            </w:r>
          </w:p>
        </w:tc>
        <w:tc>
          <w:tcPr>
            <w:tcW w:type="dxa" w:w="903"/>
          </w:tcPr>
          <w:p>
            <w:r>
              <w:t>0.028</w:t>
            </w:r>
          </w:p>
        </w:tc>
        <w:tc>
          <w:tcPr>
            <w:tcW w:type="dxa" w:w="903"/>
          </w:tcPr>
          <w:p>
            <w:r>
              <w:t>0.013</w:t>
            </w:r>
          </w:p>
        </w:tc>
        <w:tc>
          <w:tcPr>
            <w:tcW w:type="dxa" w:w="903"/>
          </w:tcPr>
          <w:p>
            <w:r>
              <w:t>4.713839134698402</w:t>
            </w:r>
          </w:p>
        </w:tc>
        <w:tc>
          <w:tcPr>
            <w:tcW w:type="dxa" w:w="903"/>
          </w:tcPr>
          <w:p>
            <w:r>
              <w:t>0.6922677630039611</w:t>
            </w:r>
          </w:p>
        </w:tc>
        <w:tc>
          <w:tcPr>
            <w:tcW w:type="dxa" w:w="903"/>
          </w:tcPr>
          <w:p>
            <w:r>
              <w:t>0.24281028309250768</w:t>
            </w:r>
          </w:p>
        </w:tc>
      </w:tr>
      <w:tr>
        <w:tc>
          <w:tcPr>
            <w:tcW w:type="dxa" w:w="903"/>
          </w:tcPr>
          <w:p>
            <w:r>
              <w:t>3000</w:t>
            </w:r>
          </w:p>
        </w:tc>
        <w:tc>
          <w:tcPr>
            <w:tcW w:type="dxa" w:w="903"/>
          </w:tcPr>
          <w:p>
            <w:r>
              <w:t>0.7</w:t>
            </w:r>
          </w:p>
        </w:tc>
        <w:tc>
          <w:tcPr>
            <w:tcW w:type="dxa" w:w="903"/>
          </w:tcPr>
          <w:p>
            <w:r>
              <w:t>nonPO</w:t>
            </w:r>
          </w:p>
        </w:tc>
        <w:tc>
          <w:tcPr>
            <w:tcW w:type="dxa" w:w="903"/>
          </w:tcPr>
          <w:p>
            <w:r>
              <w:t>C</w:t>
            </w:r>
          </w:p>
        </w:tc>
        <w:tc>
          <w:tcPr>
            <w:tcW w:type="dxa" w:w="903"/>
          </w:tcPr>
          <w:p>
            <w:r>
              <w:t>Ordinal (polr)</w:t>
            </w:r>
          </w:p>
        </w:tc>
        <w:tc>
          <w:tcPr>
            <w:tcW w:type="dxa" w:w="903"/>
          </w:tcPr>
          <w:p>
            <w:r>
              <w:t>0.025</w:t>
            </w:r>
          </w:p>
        </w:tc>
        <w:tc>
          <w:tcPr>
            <w:tcW w:type="dxa" w:w="903"/>
          </w:tcPr>
          <w:p>
            <w:r>
              <w:t>0.016</w:t>
            </w:r>
          </w:p>
        </w:tc>
        <w:tc>
          <w:tcPr>
            <w:tcW w:type="dxa" w:w="903"/>
          </w:tcPr>
          <w:p>
            <w:r>
              <w:t>9.918608353406286</w:t>
            </w:r>
          </w:p>
        </w:tc>
        <w:tc>
          <w:tcPr>
            <w:tcW w:type="dxa" w:w="903"/>
          </w:tcPr>
          <w:p>
            <w:r>
              <w:t>0.6031069606744646</w:t>
            </w:r>
          </w:p>
        </w:tc>
        <w:tc>
          <w:tcPr>
            <w:tcW w:type="dxa" w:w="903"/>
          </w:tcPr>
          <w:p>
            <w:r>
              <w:t>0.1097595993866028</w:t>
            </w:r>
          </w:p>
        </w:tc>
      </w:tr>
      <w:tr>
        <w:tc>
          <w:tcPr>
            <w:tcW w:type="dxa" w:w="903"/>
          </w:tcPr>
          <w:p>
            <w:r>
              <w:t>3000</w:t>
            </w:r>
          </w:p>
        </w:tc>
        <w:tc>
          <w:tcPr>
            <w:tcW w:type="dxa" w:w="903"/>
          </w:tcPr>
          <w:p>
            <w:r>
              <w:t>0.7</w:t>
            </w:r>
          </w:p>
        </w:tc>
        <w:tc>
          <w:tcPr>
            <w:tcW w:type="dxa" w:w="903"/>
          </w:tcPr>
          <w:p>
            <w:r>
              <w:t>nonPO</w:t>
            </w:r>
          </w:p>
        </w:tc>
        <w:tc>
          <w:tcPr>
            <w:tcW w:type="dxa" w:w="903"/>
          </w:tcPr>
          <w:p>
            <w:r>
              <w:t>D</w:t>
            </w:r>
          </w:p>
        </w:tc>
        <w:tc>
          <w:tcPr>
            <w:tcW w:type="dxa" w:w="903"/>
          </w:tcPr>
          <w:p>
            <w:r>
              <w:t>Binary (death)</w:t>
            </w:r>
          </w:p>
        </w:tc>
        <w:tc>
          <w:tcPr>
            <w:tcW w:type="dxa" w:w="903"/>
          </w:tcPr>
          <w:p>
            <w:r>
              <w:t>0.068</w:t>
            </w:r>
          </w:p>
        </w:tc>
        <w:tc>
          <w:tcPr>
            <w:tcW w:type="dxa" w:w="903"/>
          </w:tcPr>
          <w:p>
            <w:r>
              <w:t>0.008</w:t>
            </w:r>
          </w:p>
        </w:tc>
        <w:tc>
          <w:tcPr>
            <w:tcW w:type="dxa" w:w="903"/>
          </w:tcPr>
          <w:p>
            <w:r>
              <w:t>3.6693213981992314</w:t>
            </w:r>
          </w:p>
        </w:tc>
        <w:tc>
          <w:tcPr>
            <w:tcW w:type="dxa" w:w="903"/>
          </w:tcPr>
          <w:p>
            <w:r>
              <w:t>-0.2769309969602604</w:t>
            </w:r>
          </w:p>
        </w:tc>
        <w:tc>
          <w:tcPr>
            <w:tcW w:type="dxa" w:w="903"/>
          </w:tcPr>
          <w:p>
            <w:r>
              <w:t>0.2628564358398401</w:t>
            </w:r>
          </w:p>
        </w:tc>
      </w:tr>
      <w:tr>
        <w:tc>
          <w:tcPr>
            <w:tcW w:type="dxa" w:w="903"/>
          </w:tcPr>
          <w:p>
            <w:r>
              <w:t>3000</w:t>
            </w:r>
          </w:p>
        </w:tc>
        <w:tc>
          <w:tcPr>
            <w:tcW w:type="dxa" w:w="903"/>
          </w:tcPr>
          <w:p>
            <w:r>
              <w:t>0.7</w:t>
            </w:r>
          </w:p>
        </w:tc>
        <w:tc>
          <w:tcPr>
            <w:tcW w:type="dxa" w:w="903"/>
          </w:tcPr>
          <w:p>
            <w:r>
              <w:t>nonPO</w:t>
            </w:r>
          </w:p>
        </w:tc>
        <w:tc>
          <w:tcPr>
            <w:tcW w:type="dxa" w:w="903"/>
          </w:tcPr>
          <w:p>
            <w:r>
              <w:t>D</w:t>
            </w:r>
          </w:p>
        </w:tc>
        <w:tc>
          <w:tcPr>
            <w:tcW w:type="dxa" w:w="903"/>
          </w:tcPr>
          <w:p>
            <w:r>
              <w:t>Ordinal (polr)</w:t>
            </w:r>
          </w:p>
        </w:tc>
        <w:tc>
          <w:tcPr>
            <w:tcW w:type="dxa" w:w="903"/>
          </w:tcPr>
          <w:p>
            <w:r>
              <w:t>0.049</w:t>
            </w:r>
          </w:p>
        </w:tc>
        <w:tc>
          <w:tcPr>
            <w:tcW w:type="dxa" w:w="903"/>
          </w:tcPr>
          <w:p>
            <w:r>
              <w:t>0.006</w:t>
            </w:r>
          </w:p>
        </w:tc>
        <w:tc>
          <w:tcPr>
            <w:tcW w:type="dxa" w:w="903"/>
          </w:tcPr>
          <w:p>
            <w:r>
              <w:t>4.6211636853569376</w:t>
            </w:r>
          </w:p>
        </w:tc>
        <w:tc>
          <w:tcPr>
            <w:tcW w:type="dxa" w:w="903"/>
          </w:tcPr>
          <w:p>
            <w:r>
              <w:t>-0.37379168447904265</w:t>
            </w:r>
          </w:p>
        </w:tc>
        <w:tc>
          <w:tcPr>
            <w:tcW w:type="dxa" w:w="903"/>
          </w:tcPr>
          <w:p>
            <w:r>
              <w:t>0.14508961056559383</w:t>
            </w:r>
          </w:p>
        </w:tc>
      </w:tr>
      <w:tr>
        <w:tc>
          <w:tcPr>
            <w:tcW w:type="dxa" w:w="903"/>
          </w:tcPr>
          <w:p>
            <w:r>
              <w:t>3000</w:t>
            </w:r>
          </w:p>
        </w:tc>
        <w:tc>
          <w:tcPr>
            <w:tcW w:type="dxa" w:w="903"/>
          </w:tcPr>
          <w:p>
            <w:r>
              <w:t>0.7</w:t>
            </w:r>
          </w:p>
        </w:tc>
        <w:tc>
          <w:tcPr>
            <w:tcW w:type="dxa" w:w="903"/>
          </w:tcPr>
          <w:p>
            <w:r>
              <w:t>nonPO</w:t>
            </w:r>
          </w:p>
        </w:tc>
        <w:tc>
          <w:tcPr>
            <w:tcW w:type="dxa" w:w="903"/>
          </w:tcPr>
          <w:p>
            <w:r>
              <w:t>E</w:t>
            </w:r>
          </w:p>
        </w:tc>
        <w:tc>
          <w:tcPr>
            <w:tcW w:type="dxa" w:w="903"/>
          </w:tcPr>
          <w:p>
            <w:r>
              <w:t>Binary (death)</w:t>
            </w:r>
          </w:p>
        </w:tc>
        <w:tc>
          <w:tcPr>
            <w:tcW w:type="dxa" w:w="903"/>
          </w:tcPr>
          <w:p>
            <w:r>
              <w:t>0.036</w:t>
            </w:r>
          </w:p>
        </w:tc>
        <w:tc>
          <w:tcPr>
            <w:tcW w:type="dxa" w:w="903"/>
          </w:tcPr>
          <w:p>
            <w:r>
              <w:t>0.013</w:t>
            </w:r>
          </w:p>
        </w:tc>
        <w:tc>
          <w:tcPr>
            <w:tcW w:type="dxa" w:w="903"/>
          </w:tcPr>
          <w:p>
            <w:r>
              <w:t>2.0409301383331706</w:t>
            </w:r>
          </w:p>
        </w:tc>
        <w:tc>
          <w:tcPr>
            <w:tcW w:type="dxa" w:w="903"/>
          </w:tcPr>
          <w:p>
            <w:r>
              <w:t>0.8804073914241131</w:t>
            </w:r>
          </w:p>
        </w:tc>
        <w:tc>
          <w:tcPr>
            <w:tcW w:type="dxa" w:w="903"/>
          </w:tcPr>
          <w:p>
            <w:r>
              <w:t>0.7438815526938363</w:t>
            </w:r>
          </w:p>
        </w:tc>
      </w:tr>
      <w:tr>
        <w:tc>
          <w:tcPr>
            <w:tcW w:type="dxa" w:w="903"/>
          </w:tcPr>
          <w:p>
            <w:r>
              <w:t>3000</w:t>
            </w:r>
          </w:p>
        </w:tc>
        <w:tc>
          <w:tcPr>
            <w:tcW w:type="dxa" w:w="903"/>
          </w:tcPr>
          <w:p>
            <w:r>
              <w:t>0.7</w:t>
            </w:r>
          </w:p>
        </w:tc>
        <w:tc>
          <w:tcPr>
            <w:tcW w:type="dxa" w:w="903"/>
          </w:tcPr>
          <w:p>
            <w:r>
              <w:t>nonPO</w:t>
            </w:r>
          </w:p>
        </w:tc>
        <w:tc>
          <w:tcPr>
            <w:tcW w:type="dxa" w:w="903"/>
          </w:tcPr>
          <w:p>
            <w:r>
              <w:t>E</w:t>
            </w:r>
          </w:p>
        </w:tc>
        <w:tc>
          <w:tcPr>
            <w:tcW w:type="dxa" w:w="903"/>
          </w:tcPr>
          <w:p>
            <w:r>
              <w:t>Ordinal (polr)</w:t>
            </w:r>
          </w:p>
        </w:tc>
        <w:tc>
          <w:tcPr>
            <w:tcW w:type="dxa" w:w="903"/>
          </w:tcPr>
          <w:p>
            <w:r>
              <w:t>0.035</w:t>
            </w:r>
          </w:p>
        </w:tc>
        <w:tc>
          <w:tcPr>
            <w:tcW w:type="dxa" w:w="903"/>
          </w:tcPr>
          <w:p>
            <w:r>
              <w:t>0.036</w:t>
            </w:r>
          </w:p>
        </w:tc>
        <w:tc>
          <w:tcPr>
            <w:tcW w:type="dxa" w:w="903"/>
          </w:tcPr>
          <w:p>
            <w:r>
              <w:t>16.725417826150128</w:t>
            </w:r>
          </w:p>
        </w:tc>
        <w:tc>
          <w:tcPr>
            <w:tcW w:type="dxa" w:w="903"/>
          </w:tcPr>
          <w:p>
            <w:r>
              <w:t>1.0073792704154458</w:t>
            </w:r>
          </w:p>
        </w:tc>
        <w:tc>
          <w:tcPr>
            <w:tcW w:type="dxa" w:w="903"/>
          </w:tcPr>
          <w:p>
            <w:r>
              <w:t>0.1575277911613204</w:t>
            </w:r>
          </w:p>
        </w:tc>
      </w:tr>
      <w:tr>
        <w:tc>
          <w:tcPr>
            <w:tcW w:type="dxa" w:w="903"/>
          </w:tcPr>
          <w:p>
            <w:r>
              <w:t>3000</w:t>
            </w:r>
          </w:p>
        </w:tc>
        <w:tc>
          <w:tcPr>
            <w:tcW w:type="dxa" w:w="903"/>
          </w:tcPr>
          <w:p>
            <w:r>
              <w:t>1</w:t>
            </w:r>
          </w:p>
        </w:tc>
        <w:tc>
          <w:tcPr>
            <w:tcW w:type="dxa" w:w="903"/>
          </w:tcPr>
          <w:p>
            <w:r>
              <w:t>nonPO</w:t>
            </w:r>
          </w:p>
        </w:tc>
        <w:tc>
          <w:tcPr>
            <w:tcW w:type="dxa" w:w="903"/>
          </w:tcPr>
          <w:p>
            <w:r>
              <w:t>B</w:t>
            </w:r>
          </w:p>
        </w:tc>
        <w:tc>
          <w:tcPr>
            <w:tcW w:type="dxa" w:w="903"/>
          </w:tcPr>
          <w:p>
            <w:r>
              <w:t>Binary (death)</w:t>
            </w:r>
          </w:p>
        </w:tc>
        <w:tc>
          <w:tcPr>
            <w:tcW w:type="dxa" w:w="903"/>
          </w:tcPr>
          <w:p>
            <w:r>
              <w:t>0.322</w:t>
            </w:r>
          </w:p>
        </w:tc>
        <w:tc>
          <w:tcPr>
            <w:tcW w:type="dxa" w:w="903"/>
          </w:tcPr>
          <w:p>
            <w:r>
              <w:t>0</w:t>
            </w:r>
          </w:p>
        </w:tc>
        <w:tc>
          <w:tcPr>
            <w:tcW w:type="dxa" w:w="903"/>
          </w:tcPr>
          <w:p>
            <w:r>
              <w:t>1.3960092604134438</w:t>
            </w:r>
          </w:p>
        </w:tc>
        <w:tc>
          <w:tcPr>
            <w:tcW w:type="dxa" w:w="903"/>
          </w:tcPr>
          <w:p>
            <w:r>
              <w:t>1.489671469884607</w:t>
            </w:r>
          </w:p>
        </w:tc>
        <w:tc>
          <w:tcPr>
            <w:tcW w:type="dxa" w:w="903"/>
          </w:tcPr>
          <w:p>
            <w:r>
              <w:t>6.085475986363641</w:t>
            </w:r>
          </w:p>
        </w:tc>
      </w:tr>
      <w:tr>
        <w:tc>
          <w:tcPr>
            <w:tcW w:type="dxa" w:w="903"/>
          </w:tcPr>
          <w:p>
            <w:r>
              <w:t>3000</w:t>
            </w:r>
          </w:p>
        </w:tc>
        <w:tc>
          <w:tcPr>
            <w:tcW w:type="dxa" w:w="903"/>
          </w:tcPr>
          <w:p>
            <w:r>
              <w:t>1</w:t>
            </w:r>
          </w:p>
        </w:tc>
        <w:tc>
          <w:tcPr>
            <w:tcW w:type="dxa" w:w="903"/>
          </w:tcPr>
          <w:p>
            <w:r>
              <w:t>nonPO</w:t>
            </w:r>
          </w:p>
        </w:tc>
        <w:tc>
          <w:tcPr>
            <w:tcW w:type="dxa" w:w="903"/>
          </w:tcPr>
          <w:p>
            <w:r>
              <w:t>B</w:t>
            </w:r>
          </w:p>
        </w:tc>
        <w:tc>
          <w:tcPr>
            <w:tcW w:type="dxa" w:w="903"/>
          </w:tcPr>
          <w:p>
            <w:r>
              <w:t>Ordinal (polr)</w:t>
            </w:r>
          </w:p>
        </w:tc>
        <w:tc>
          <w:tcPr>
            <w:tcW w:type="dxa" w:w="903"/>
          </w:tcPr>
          <w:p>
            <w:r>
              <w:t>0.082</w:t>
            </w:r>
          </w:p>
        </w:tc>
        <w:tc>
          <w:tcPr>
            <w:tcW w:type="dxa" w:w="903"/>
          </w:tcPr>
          <w:p>
            <w:r>
              <w:t>0.002</w:t>
            </w:r>
          </w:p>
        </w:tc>
        <w:tc>
          <w:tcPr>
            <w:tcW w:type="dxa" w:w="903"/>
          </w:tcPr>
          <w:p>
            <w:r>
              <w:t>4.369281627553885</w:t>
            </w:r>
          </w:p>
        </w:tc>
        <w:tc>
          <w:tcPr>
            <w:tcW w:type="dxa" w:w="903"/>
          </w:tcPr>
          <w:p>
            <w:r>
              <w:t>0.04333431552626295</w:t>
            </w:r>
          </w:p>
        </w:tc>
        <w:tc>
          <w:tcPr>
            <w:tcW w:type="dxa" w:w="903"/>
          </w:tcPr>
          <w:p>
            <w:r>
              <w:t>0.18077207272835463</w:t>
            </w:r>
          </w:p>
        </w:tc>
      </w:tr>
      <w:tr>
        <w:tc>
          <w:tcPr>
            <w:tcW w:type="dxa" w:w="903"/>
          </w:tcPr>
          <w:p>
            <w:r>
              <w:t>3000</w:t>
            </w:r>
          </w:p>
        </w:tc>
        <w:tc>
          <w:tcPr>
            <w:tcW w:type="dxa" w:w="903"/>
          </w:tcPr>
          <w:p>
            <w:r>
              <w:t>1</w:t>
            </w:r>
          </w:p>
        </w:tc>
        <w:tc>
          <w:tcPr>
            <w:tcW w:type="dxa" w:w="903"/>
          </w:tcPr>
          <w:p>
            <w:r>
              <w:t>nonPO</w:t>
            </w:r>
          </w:p>
        </w:tc>
        <w:tc>
          <w:tcPr>
            <w:tcW w:type="dxa" w:w="903"/>
          </w:tcPr>
          <w:p>
            <w:r>
              <w:t>C</w:t>
            </w:r>
          </w:p>
        </w:tc>
        <w:tc>
          <w:tcPr>
            <w:tcW w:type="dxa" w:w="903"/>
          </w:tcPr>
          <w:p>
            <w:r>
              <w:t>Binary (death)</w:t>
            </w:r>
          </w:p>
        </w:tc>
        <w:tc>
          <w:tcPr>
            <w:tcW w:type="dxa" w:w="903"/>
          </w:tcPr>
          <w:p>
            <w:r>
              <w:t>0.054</w:t>
            </w:r>
          </w:p>
        </w:tc>
        <w:tc>
          <w:tcPr>
            <w:tcW w:type="dxa" w:w="903"/>
          </w:tcPr>
          <w:p>
            <w:r>
              <w:t>0.005</w:t>
            </w:r>
          </w:p>
        </w:tc>
        <w:tc>
          <w:tcPr>
            <w:tcW w:type="dxa" w:w="903"/>
          </w:tcPr>
          <w:p>
            <w:r>
              <w:t>4.834079175237212</w:t>
            </w:r>
          </w:p>
        </w:tc>
        <w:tc>
          <w:tcPr>
            <w:tcW w:type="dxa" w:w="903"/>
          </w:tcPr>
          <w:p>
            <w:r>
              <w:t>0.01504508692458758</w:t>
            </w:r>
          </w:p>
        </w:tc>
        <w:tc>
          <w:tcPr>
            <w:tcW w:type="dxa" w:w="903"/>
          </w:tcPr>
          <w:p>
            <w:r>
              <w:t>0.2229481390253598</w:t>
            </w:r>
          </w:p>
        </w:tc>
      </w:tr>
      <w:tr>
        <w:tc>
          <w:tcPr>
            <w:tcW w:type="dxa" w:w="903"/>
          </w:tcPr>
          <w:p>
            <w:r>
              <w:t>3000</w:t>
            </w:r>
          </w:p>
        </w:tc>
        <w:tc>
          <w:tcPr>
            <w:tcW w:type="dxa" w:w="903"/>
          </w:tcPr>
          <w:p>
            <w:r>
              <w:t>1</w:t>
            </w:r>
          </w:p>
        </w:tc>
        <w:tc>
          <w:tcPr>
            <w:tcW w:type="dxa" w:w="903"/>
          </w:tcPr>
          <w:p>
            <w:r>
              <w:t>nonPO</w:t>
            </w:r>
          </w:p>
        </w:tc>
        <w:tc>
          <w:tcPr>
            <w:tcW w:type="dxa" w:w="903"/>
          </w:tcPr>
          <w:p>
            <w:r>
              <w:t>C</w:t>
            </w:r>
          </w:p>
        </w:tc>
        <w:tc>
          <w:tcPr>
            <w:tcW w:type="dxa" w:w="903"/>
          </w:tcPr>
          <w:p>
            <w:r>
              <w:t>Ordinal (polr)</w:t>
            </w:r>
          </w:p>
        </w:tc>
        <w:tc>
          <w:tcPr>
            <w:tcW w:type="dxa" w:w="903"/>
          </w:tcPr>
          <w:p>
            <w:r>
              <w:t>0.048</w:t>
            </w:r>
          </w:p>
        </w:tc>
        <w:tc>
          <w:tcPr>
            <w:tcW w:type="dxa" w:w="903"/>
          </w:tcPr>
          <w:p>
            <w:r>
              <w:t>0.016</w:t>
            </w:r>
          </w:p>
        </w:tc>
        <w:tc>
          <w:tcPr>
            <w:tcW w:type="dxa" w:w="903"/>
          </w:tcPr>
          <w:p>
            <w:r>
              <w:t>10.090131776586114</w:t>
            </w:r>
          </w:p>
        </w:tc>
        <w:tc>
          <w:tcPr>
            <w:tcW w:type="dxa" w:w="903"/>
          </w:tcPr>
          <w:p>
            <w:r>
              <w:t>0.04758095038053696</w:t>
            </w:r>
          </w:p>
        </w:tc>
        <w:tc>
          <w:tcPr>
            <w:tcW w:type="dxa" w:w="903"/>
          </w:tcPr>
          <w:p>
            <w:r>
              <w:t>0.11101544824460906</w:t>
            </w:r>
          </w:p>
        </w:tc>
      </w:tr>
      <w:tr>
        <w:tc>
          <w:tcPr>
            <w:tcW w:type="dxa" w:w="903"/>
          </w:tcPr>
          <w:p>
            <w:r>
              <w:t>3000</w:t>
            </w:r>
          </w:p>
        </w:tc>
        <w:tc>
          <w:tcPr>
            <w:tcW w:type="dxa" w:w="903"/>
          </w:tcPr>
          <w:p>
            <w:r>
              <w:t>1</w:t>
            </w:r>
          </w:p>
        </w:tc>
        <w:tc>
          <w:tcPr>
            <w:tcW w:type="dxa" w:w="903"/>
          </w:tcPr>
          <w:p>
            <w:r>
              <w:t>nonPO</w:t>
            </w:r>
          </w:p>
        </w:tc>
        <w:tc>
          <w:tcPr>
            <w:tcW w:type="dxa" w:w="903"/>
          </w:tcPr>
          <w:p>
            <w:r>
              <w:t>D</w:t>
            </w:r>
          </w:p>
        </w:tc>
        <w:tc>
          <w:tcPr>
            <w:tcW w:type="dxa" w:w="903"/>
          </w:tcPr>
          <w:p>
            <w:r>
              <w:t>Binary (death)</w:t>
            </w:r>
          </w:p>
        </w:tc>
        <w:tc>
          <w:tcPr>
            <w:tcW w:type="dxa" w:w="903"/>
          </w:tcPr>
          <w:p>
            <w:r>
              <w:t>0.095</w:t>
            </w:r>
          </w:p>
        </w:tc>
        <w:tc>
          <w:tcPr>
            <w:tcW w:type="dxa" w:w="903"/>
          </w:tcPr>
          <w:p>
            <w:r>
              <w:t>0.006</w:t>
            </w:r>
          </w:p>
        </w:tc>
        <w:tc>
          <w:tcPr>
            <w:tcW w:type="dxa" w:w="903"/>
          </w:tcPr>
          <w:p>
            <w:r>
              <w:t>3.4355635698201072</w:t>
            </w:r>
          </w:p>
        </w:tc>
        <w:tc>
          <w:tcPr>
            <w:tcW w:type="dxa" w:w="903"/>
          </w:tcPr>
          <w:p>
            <w:r>
              <w:t>-0.0632744423503653</w:t>
            </w:r>
          </w:p>
        </w:tc>
        <w:tc>
          <w:tcPr>
            <w:tcW w:type="dxa" w:w="903"/>
          </w:tcPr>
          <w:p>
            <w:r>
              <w:t>0.2400474135796427</w:t>
            </w:r>
          </w:p>
        </w:tc>
      </w:tr>
      <w:tr>
        <w:tc>
          <w:tcPr>
            <w:tcW w:type="dxa" w:w="903"/>
          </w:tcPr>
          <w:p>
            <w:r>
              <w:t>3000</w:t>
            </w:r>
          </w:p>
        </w:tc>
        <w:tc>
          <w:tcPr>
            <w:tcW w:type="dxa" w:w="903"/>
          </w:tcPr>
          <w:p>
            <w:r>
              <w:t>1</w:t>
            </w:r>
          </w:p>
        </w:tc>
        <w:tc>
          <w:tcPr>
            <w:tcW w:type="dxa" w:w="903"/>
          </w:tcPr>
          <w:p>
            <w:r>
              <w:t>nonPO</w:t>
            </w:r>
          </w:p>
        </w:tc>
        <w:tc>
          <w:tcPr>
            <w:tcW w:type="dxa" w:w="903"/>
          </w:tcPr>
          <w:p>
            <w:r>
              <w:t>D</w:t>
            </w:r>
          </w:p>
        </w:tc>
        <w:tc>
          <w:tcPr>
            <w:tcW w:type="dxa" w:w="903"/>
          </w:tcPr>
          <w:p>
            <w:r>
              <w:t>Ordinal (polr)</w:t>
            </w:r>
          </w:p>
        </w:tc>
        <w:tc>
          <w:tcPr>
            <w:tcW w:type="dxa" w:w="903"/>
          </w:tcPr>
          <w:p>
            <w:r>
              <w:t>0.059</w:t>
            </w:r>
          </w:p>
        </w:tc>
        <w:tc>
          <w:tcPr>
            <w:tcW w:type="dxa" w:w="903"/>
          </w:tcPr>
          <w:p>
            <w:r>
              <w:t>0.006</w:t>
            </w:r>
          </w:p>
        </w:tc>
        <w:tc>
          <w:tcPr>
            <w:tcW w:type="dxa" w:w="903"/>
          </w:tcPr>
          <w:p>
            <w:r>
              <w:t>5.033971450974749</w:t>
            </w:r>
          </w:p>
        </w:tc>
        <w:tc>
          <w:tcPr>
            <w:tcW w:type="dxa" w:w="903"/>
          </w:tcPr>
          <w:p>
            <w:r>
              <w:t>0.02784530565640569</w:t>
            </w:r>
          </w:p>
        </w:tc>
        <w:tc>
          <w:tcPr>
            <w:tcW w:type="dxa" w:w="903"/>
          </w:tcPr>
          <w:p>
            <w:r>
              <w:t>0.15226960524647148</w:t>
            </w:r>
          </w:p>
        </w:tc>
      </w:tr>
      <w:tr>
        <w:tc>
          <w:tcPr>
            <w:tcW w:type="dxa" w:w="903"/>
          </w:tcPr>
          <w:p>
            <w:r>
              <w:t>3000</w:t>
            </w:r>
          </w:p>
        </w:tc>
        <w:tc>
          <w:tcPr>
            <w:tcW w:type="dxa" w:w="903"/>
          </w:tcPr>
          <w:p>
            <w:r>
              <w:t>1</w:t>
            </w:r>
          </w:p>
        </w:tc>
        <w:tc>
          <w:tcPr>
            <w:tcW w:type="dxa" w:w="903"/>
          </w:tcPr>
          <w:p>
            <w:r>
              <w:t>nonPO</w:t>
            </w:r>
          </w:p>
        </w:tc>
        <w:tc>
          <w:tcPr>
            <w:tcW w:type="dxa" w:w="903"/>
          </w:tcPr>
          <w:p>
            <w:r>
              <w:t>E</w:t>
            </w:r>
          </w:p>
        </w:tc>
        <w:tc>
          <w:tcPr>
            <w:tcW w:type="dxa" w:w="903"/>
          </w:tcPr>
          <w:p>
            <w:r>
              <w:t>Binary (death)</w:t>
            </w:r>
          </w:p>
        </w:tc>
        <w:tc>
          <w:tcPr>
            <w:tcW w:type="dxa" w:w="903"/>
          </w:tcPr>
          <w:p>
            <w:r>
              <w:t>0.008</w:t>
            </w:r>
          </w:p>
        </w:tc>
        <w:tc>
          <w:tcPr>
            <w:tcW w:type="dxa" w:w="903"/>
          </w:tcPr>
          <w:p>
            <w:r>
              <w:t>0</w:t>
            </w:r>
          </w:p>
        </w:tc>
        <w:tc>
          <w:tcPr>
            <w:tcW w:type="dxa" w:w="903"/>
          </w:tcPr>
          <w:p>
            <w:r>
              <w:t>3.3652191612845836</w:t>
            </w:r>
          </w:p>
        </w:tc>
        <w:tc>
          <w:tcPr>
            <w:tcW w:type="dxa" w:w="903"/>
          </w:tcPr>
          <w:p>
            <w:r>
              <w:t>-3.038243674147692</w:t>
            </w:r>
          </w:p>
        </w:tc>
        <w:tc>
          <w:tcPr>
            <w:tcW w:type="dxa" w:w="903"/>
          </w:tcPr>
          <w:p>
            <w:r>
              <w:t>6.785248276800712</w:t>
            </w:r>
          </w:p>
        </w:tc>
      </w:tr>
      <w:tr>
        <w:tc>
          <w:tcPr>
            <w:tcW w:type="dxa" w:w="903"/>
          </w:tcPr>
          <w:p>
            <w:r>
              <w:t>3000</w:t>
            </w:r>
          </w:p>
        </w:tc>
        <w:tc>
          <w:tcPr>
            <w:tcW w:type="dxa" w:w="903"/>
          </w:tcPr>
          <w:p>
            <w:r>
              <w:t>1</w:t>
            </w:r>
          </w:p>
        </w:tc>
        <w:tc>
          <w:tcPr>
            <w:tcW w:type="dxa" w:w="903"/>
          </w:tcPr>
          <w:p>
            <w:r>
              <w:t>nonPO</w:t>
            </w:r>
          </w:p>
        </w:tc>
        <w:tc>
          <w:tcPr>
            <w:tcW w:type="dxa" w:w="903"/>
          </w:tcPr>
          <w:p>
            <w:r>
              <w:t>E</w:t>
            </w:r>
          </w:p>
        </w:tc>
        <w:tc>
          <w:tcPr>
            <w:tcW w:type="dxa" w:w="903"/>
          </w:tcPr>
          <w:p>
            <w:r>
              <w:t>Ordinal (polr)</w:t>
            </w:r>
          </w:p>
        </w:tc>
        <w:tc>
          <w:tcPr>
            <w:tcW w:type="dxa" w:w="903"/>
          </w:tcPr>
          <w:p>
            <w:r>
              <w:t>0.034</w:t>
            </w:r>
          </w:p>
        </w:tc>
        <w:tc>
          <w:tcPr>
            <w:tcW w:type="dxa" w:w="903"/>
          </w:tcPr>
          <w:p>
            <w:r>
              <w:t>0.024</w:t>
            </w:r>
          </w:p>
        </w:tc>
        <w:tc>
          <w:tcPr>
            <w:tcW w:type="dxa" w:w="903"/>
          </w:tcPr>
          <w:p>
            <w:r>
              <w:t>17.653398729073235</w:t>
            </w:r>
          </w:p>
        </w:tc>
        <w:tc>
          <w:tcPr>
            <w:tcW w:type="dxa" w:w="903"/>
          </w:tcPr>
          <w:p>
            <w:r>
              <w:t>0.3164851041856291</w:t>
            </w:r>
          </w:p>
        </w:tc>
        <w:tc>
          <w:tcPr>
            <w:tcW w:type="dxa" w:w="903"/>
          </w:tcPr>
          <w:p>
            <w:r>
              <w:t>0.15870545818382695</w:t>
            </w:r>
          </w:p>
        </w:tc>
      </w:tr>
    </w:tbl>
    <w:p ns2:paraId="6C378028" ns2:textId="74FA9F70" w:rsidP="00F97C73" w:rsidR="00100C0D" w:rsidRDefault="00DD646B">
      <w:r>
        <w:rPr>
          <w:rFonts w:ascii="Arial" w:cs="Arial" w:hAnsi="Arial"/>
          <w:bCs/>
        </w:rPr>
        <w:lastRenderedPageBreak/>
        <w:br/>
      </w:r>
      <w:r>
        <w:rPr>
          <w:rFonts w:ascii="Arial" w:cs="Arial" w:hAnsi="Arial"/>
          <w:bCs/>
        </w:rPr>
        <w:br/>
      </w:r>
      <w:r>
        <w:fldChar w:fldCharType="begin"/>
      </w:r>
      <w:r>
        <w:instrText xml:space="preserve"> INCLUDEPICTURE "https://chatgpt.com/backend-api/estuary/content?id=file_000000001cac724688b59123826b87b1&amp;ts=492566&amp;p=fs&amp;cid=1&amp;sig=c2b09d6fa9c1accc614de0aa4a1359d488705efb9dcd0f110b84373ab03d49c7&amp;v=0" \* MERGEFORMATINET </w:instrText>
      </w:r>
      <w:r>
        <w:fldChar w:fldCharType="separate"/>
      </w:r>
      <w:r>
        <w:fldChar w:fldCharType="end"/>
      </w:r>
    </w:p>
    <w:p ns2:paraId="43AA53FB" ns2:textId="0F8ABFD7" w:rsidP="00F97C73" w:rsidR="00950EB4" w:rsidRDefault="00950EB4">
      <w:pPr>
        <w:rPr>
          <w:rFonts w:ascii="Arial" w:cs="Arial" w:hAnsi="Arial"/>
          <w:bCs/>
        </w:rPr>
      </w:pPr>
      <w:r>
        <w:t>At n=3,000 and 100% accuracy, under proportional odds the ordinal model was more powerful than binary in all non-null subgroups: B (1.000 vs 0.322), C (0.178 vs 0.066), D (0.184 vs 0.099), and E (0.960 vs 0.008). Under non-proportional death-only effects, binary death analysis was more powerful for B (0.322 vs 0.082), C (0.054 vs 0.048), and D (0.095 vs 0.059), whereas ordinal was only slightly higher in E (0.034 vs 0.008).</w:t>
      </w:r>
    </w:p>
    <w:p ns2:paraId="7E97F046" ns2:textId="429B5640" w:rsidP="00F97C73" w:rsidR="0085412B" w:rsidRDefault="00907940">
      <w:pPr>
        <w:rPr>
          <w:rFonts w:ascii="Arial" w:cs="Arial" w:hAnsi="Arial"/>
          <w:bCs/>
        </w:rPr>
      </w:pPr>
      <w:r>
        <w:rPr>
          <w:rFonts w:ascii="Arial" w:cs="Arial" w:hAnsi="Arial"/>
          <w:bCs/>
        </w:rPr>
        <w:t xml:space="preserve">However, when the ordinal outcome was inappropriate (e.g </w:t>
      </w:r>
      <w:r w:rsidR="00C02403">
        <w:rPr>
          <w:rFonts w:ascii="Arial" w:cs="Arial" w:hAnsi="Arial"/>
          <w:bCs/>
        </w:rPr>
        <w:t xml:space="preserve">the treatment only affects death but has no effect on other levels), </w:t>
      </w:r>
      <w:r w:rsidR="00454789">
        <w:rPr>
          <w:rFonts w:ascii="Arial" w:cs="Arial" w:hAnsi="Arial"/>
          <w:bCs/>
        </w:rPr>
        <w:t xml:space="preserve">power was </w:t>
      </w:r>
      <w:r w:rsidR="00231A98">
        <w:rPr>
          <w:rFonts w:ascii="Arial" w:cs="Arial" w:hAnsi="Arial"/>
          <w:bCs/>
        </w:rPr>
        <w:t xml:space="preserve">much </w:t>
      </w:r>
      <w:r w:rsidR="00454789">
        <w:rPr>
          <w:rFonts w:ascii="Arial" w:cs="Arial" w:hAnsi="Arial"/>
          <w:bCs/>
        </w:rPr>
        <w:t>lower with an ordinal outcome</w:t>
      </w:r>
      <w:r w:rsidR="00BC5E6F">
        <w:rPr>
          <w:rFonts w:ascii="Arial" w:cs="Arial" w:hAnsi="Arial"/>
          <w:bCs/>
        </w:rPr>
        <w:t xml:space="preserve"> compared to a binary outcome</w:t>
      </w:r>
      <w:r w:rsidR="00454789">
        <w:rPr>
          <w:rFonts w:ascii="Arial" w:cs="Arial" w:hAnsi="Arial"/>
          <w:bCs/>
        </w:rPr>
        <w:t xml:space="preserve">. </w:t>
      </w:r>
      <w:r w:rsidR="008E7152">
        <w:rPr>
          <w:rFonts w:ascii="Arial" w:cs="Arial" w:hAnsi="Arial"/>
          <w:bCs/>
        </w:rPr>
        <w:t xml:space="preserve">This reflects the binary comparison actually reflecting the treatment effect, while the ordinal </w:t>
      </w:r>
      <w:r w:rsidR="009E1AC2">
        <w:rPr>
          <w:rFonts w:ascii="Arial" w:cs="Arial" w:hAnsi="Arial"/>
          <w:bCs/>
        </w:rPr>
        <w:t xml:space="preserve">measure largely reflects noise. </w:t>
      </w:r>
      <w:r w:rsidR="00A07648">
        <w:rPr>
          <w:rFonts w:ascii="Arial" w:cs="Arial" w:hAnsi="Arial"/>
          <w:bCs/>
        </w:rPr>
        <w:t xml:space="preserve">Type 1 error was </w:t>
      </w:r>
      <w:r w:rsidR="005C6B77">
        <w:rPr>
          <w:rFonts w:ascii="Arial" w:cs="Arial" w:hAnsi="Arial"/>
          <w:bCs/>
        </w:rPr>
        <w:t>again well controlled</w:t>
      </w:r>
      <w:r w:rsidR="00A21FA3">
        <w:rPr>
          <w:rFonts w:ascii="Arial" w:cs="Arial" w:hAnsi="Arial"/>
          <w:bCs/>
        </w:rPr>
        <w:t xml:space="preserve">. The use of a non-parametric test (rank-sum) did not substantially differ here, suggesting this simply reflects the outcome </w:t>
      </w:r>
      <w:r w:rsidR="0085412B">
        <w:rPr>
          <w:rFonts w:ascii="Arial" w:cs="Arial" w:hAnsi="Arial"/>
          <w:bCs/>
        </w:rPr>
        <w:t xml:space="preserve">containing a lot of noise. </w:t>
      </w:r>
    </w:p>
    <w:p ns2:paraId="53654A70" ns2:textId="065E3F1D" w:rsidP="00F97C73" w:rsidR="00C652D8" w:rsidRDefault="00C652D8">
      <w:pPr>
        <w:rPr>
          <w:rFonts w:ascii="Arial" w:cs="Arial" w:hAnsi="Arial"/>
          <w:bCs/>
        </w:rPr>
      </w:pPr>
      <w:r>
        <w:rPr>
          <w:rFonts w:ascii="Arial" w:cs="Arial" w:hAnsi="Arial"/>
          <w:bCs/>
        </w:rPr>
        <w:t xml:space="preserve">These results clearly show the strengths and weaknesses of ordinal outcomes: when they correctly reflect the treatment effect, they are dramatically more powerful; and </w:t>
      </w:r>
      <w:r w:rsidR="00FB4EB3">
        <w:rPr>
          <w:rFonts w:ascii="Arial" w:cs="Arial" w:hAnsi="Arial"/>
          <w:bCs/>
        </w:rPr>
        <w:t xml:space="preserve">surprisingly, less biased. </w:t>
      </w:r>
      <w:r w:rsidR="00694933">
        <w:rPr>
          <w:rFonts w:ascii="Arial" w:cs="Arial" w:hAnsi="Arial"/>
          <w:bCs/>
        </w:rPr>
        <w:t>However, if mis-specified, they make the situation much worse.</w:t>
      </w:r>
    </w:p>
    <w:p ns2:paraId="6BEB1FA3" ns2:textId="77777777" w:rsidP="00F97C73" w:rsidR="004B784B" w:rsidRDefault="004B784B">
      <w:pPr>
        <w:rPr>
          <w:rFonts w:ascii="Arial" w:cs="Arial" w:hAnsi="Arial"/>
          <w:b/>
          <w:bCs/>
        </w:rPr>
      </w:pPr>
    </w:p>
    <w:p ns2:paraId="1AA2957E" ns2:textId="77777777" w:rsidR="00694933" w:rsidRDefault="00694933">
      <w:pPr>
        <w:rPr>
          <w:rFonts w:ascii="Arial" w:cs="Arial" w:hAnsi="Arial"/>
          <w:b/>
          <w:bCs/>
        </w:rPr>
      </w:pPr>
      <w:r>
        <w:rPr>
          <w:rFonts w:ascii="Arial" w:cs="Arial" w:hAnsi="Arial"/>
          <w:b/>
          <w:bCs/>
        </w:rPr>
        <w:br w:type="page"/>
      </w:r>
    </w:p>
    <w:p ns2:paraId="7BB1C180" ns2:textId="69631ED4" w:rsidP="00F97C73" w:rsidR="003C3EED" w:rsidRDefault="003C3EED" w:rsidRPr="0064423E">
      <w:pPr>
        <w:rPr>
          <w:rFonts w:ascii="Arial" w:cs="Arial" w:hAnsi="Arial"/>
          <w:b/>
          <w:bCs/>
        </w:rPr>
      </w:pPr>
      <w:r w:rsidRPr="0064423E">
        <w:rPr>
          <w:rFonts w:ascii="Arial" w:cs="Arial" w:hAnsi="Arial"/>
          <w:b/>
          <w:bCs/>
        </w:rPr>
        <w:lastRenderedPageBreak/>
        <w:t>Discussion</w:t>
      </w:r>
    </w:p>
    <w:p ns2:paraId="7A8B4517" ns2:textId="5BA313BC" w:rsidP="00052872" w:rsidR="00BC536A" w:rsidRDefault="00052872" w:rsidRPr="0064423E">
      <w:pPr>
        <w:rPr>
          <w:rFonts w:ascii="Arial" w:cs="Arial" w:hAnsi="Arial"/>
        </w:rPr>
      </w:pPr>
      <w:r w:rsidRPr="0064423E">
        <w:rPr>
          <w:rFonts w:ascii="Arial" w:cs="Arial" w:hAnsi="Arial"/>
        </w:rPr>
        <w:t xml:space="preserve">This </w:t>
      </w:r>
      <w:r w:rsidR="00BA0BC7">
        <w:rPr>
          <w:rFonts w:ascii="Arial" w:cs="Arial" w:hAnsi="Arial"/>
        </w:rPr>
        <w:t>modelling</w:t>
      </w:r>
      <w:r w:rsidRPr="0064423E">
        <w:rPr>
          <w:rFonts w:ascii="Arial" w:cs="Arial" w:hAnsi="Arial"/>
        </w:rPr>
        <w:t xml:space="preserve"> study demonstrates that the feasibility of detecting HTE in SAB </w:t>
      </w:r>
      <w:r w:rsidR="00BA0BC7">
        <w:rPr>
          <w:rFonts w:ascii="Arial" w:cs="Arial" w:hAnsi="Arial"/>
        </w:rPr>
        <w:t>will be</w:t>
      </w:r>
      <w:r w:rsidR="00BA0BC7" w:rsidRPr="0064423E">
        <w:rPr>
          <w:rFonts w:ascii="Arial" w:cs="Arial" w:hAnsi="Arial"/>
        </w:rPr>
        <w:t xml:space="preserve"> </w:t>
      </w:r>
      <w:r w:rsidRPr="0064423E">
        <w:rPr>
          <w:rFonts w:ascii="Arial" w:cs="Arial" w:hAnsi="Arial"/>
        </w:rPr>
        <w:t xml:space="preserve">dictated not just by the magnitude of a </w:t>
      </w:r>
      <w:r w:rsidR="00BA0BC7">
        <w:rPr>
          <w:rFonts w:ascii="Arial" w:cs="Arial" w:hAnsi="Arial"/>
        </w:rPr>
        <w:t>putative</w:t>
      </w:r>
      <w:r w:rsidRPr="0064423E">
        <w:rPr>
          <w:rFonts w:ascii="Arial" w:cs="Arial" w:hAnsi="Arial"/>
        </w:rPr>
        <w:t xml:space="preserve"> treatment effect, but by the interplay of subphenotype prevalence, baseline event rate, and the accuracy of </w:t>
      </w:r>
      <w:r w:rsidR="0069152E">
        <w:rPr>
          <w:rFonts w:ascii="Arial" w:cs="Arial" w:hAnsi="Arial"/>
        </w:rPr>
        <w:t>patient classification into subphenotypes</w:t>
      </w:r>
      <w:r w:rsidRPr="0064423E">
        <w:rPr>
          <w:rFonts w:ascii="Arial" w:cs="Arial" w:hAnsi="Arial"/>
        </w:rPr>
        <w:t xml:space="preserve">. </w:t>
      </w:r>
    </w:p>
    <w:p ns2:paraId="503CD36D" ns2:textId="780776A6" w:rsidP="00F97C73" w:rsidR="00DF7DCD" w:rsidRDefault="008E0C8A" w:rsidRPr="0064423E">
      <w:pPr>
        <w:rPr>
          <w:rFonts w:ascii="Arial" w:cs="Arial" w:hAnsi="Arial"/>
        </w:rPr>
      </w:pPr>
      <w:r w:rsidRPr="0064423E">
        <w:rPr>
          <w:rFonts w:ascii="Arial" w:cs="Arial" w:hAnsi="Arial"/>
        </w:rPr>
        <w:t>First</w:t>
      </w:r>
      <w:r w:rsidR="00872176">
        <w:rPr>
          <w:rFonts w:ascii="Arial" w:cs="Arial" w:hAnsi="Arial"/>
        </w:rPr>
        <w:t>,</w:t>
      </w:r>
      <w:r w:rsidR="00BC536A" w:rsidRPr="0064423E">
        <w:rPr>
          <w:rFonts w:ascii="Arial" w:cs="Arial" w:hAnsi="Arial"/>
        </w:rPr>
        <w:t xml:space="preserve"> we show</w:t>
      </w:r>
      <w:r w:rsidR="005F44DE" w:rsidRPr="0064423E">
        <w:rPr>
          <w:rFonts w:ascii="Arial" w:cs="Arial" w:hAnsi="Arial"/>
        </w:rPr>
        <w:t xml:space="preserve"> the </w:t>
      </w:r>
      <w:r w:rsidR="00964411" w:rsidRPr="0064423E">
        <w:rPr>
          <w:rFonts w:ascii="Arial" w:cs="Arial" w:hAnsi="Arial"/>
        </w:rPr>
        <w:t>required sample size to</w:t>
      </w:r>
      <w:r w:rsidR="00DF7DCD">
        <w:rPr>
          <w:rFonts w:ascii="Arial" w:cs="Arial" w:hAnsi="Arial"/>
        </w:rPr>
        <w:t xml:space="preserve"> robustly</w:t>
      </w:r>
      <w:r w:rsidR="00964411" w:rsidRPr="0064423E">
        <w:rPr>
          <w:rFonts w:ascii="Arial" w:cs="Arial" w:hAnsi="Arial"/>
        </w:rPr>
        <w:t xml:space="preserve"> identify differential treatment effects in subphenotypes of SAB is</w:t>
      </w:r>
      <w:r w:rsidR="00E64F1E" w:rsidRPr="0064423E">
        <w:rPr>
          <w:rFonts w:ascii="Arial" w:cs="Arial" w:hAnsi="Arial"/>
        </w:rPr>
        <w:t xml:space="preserve"> dependent on </w:t>
      </w:r>
      <w:r w:rsidR="00BC536A" w:rsidRPr="0064423E">
        <w:rPr>
          <w:rFonts w:ascii="Arial" w:cs="Arial" w:hAnsi="Arial"/>
        </w:rPr>
        <w:t xml:space="preserve">three factors i) </w:t>
      </w:r>
      <w:r w:rsidR="00E64F1E" w:rsidRPr="0064423E">
        <w:rPr>
          <w:rFonts w:ascii="Arial" w:cs="Arial" w:hAnsi="Arial"/>
        </w:rPr>
        <w:t>the estimated effect size</w:t>
      </w:r>
      <w:r w:rsidR="00AD2FFA" w:rsidRPr="0064423E">
        <w:rPr>
          <w:rFonts w:ascii="Arial" w:cs="Arial" w:hAnsi="Arial"/>
        </w:rPr>
        <w:t xml:space="preserve">, </w:t>
      </w:r>
      <w:r w:rsidR="00BC536A" w:rsidRPr="0064423E">
        <w:rPr>
          <w:rFonts w:ascii="Arial" w:cs="Arial" w:hAnsi="Arial"/>
        </w:rPr>
        <w:t xml:space="preserve">ii) </w:t>
      </w:r>
      <w:r w:rsidR="00AE2889">
        <w:rPr>
          <w:rFonts w:ascii="Arial" w:cs="Arial" w:hAnsi="Arial"/>
        </w:rPr>
        <w:t xml:space="preserve">the </w:t>
      </w:r>
      <w:r w:rsidR="00BC536A" w:rsidRPr="0064423E">
        <w:rPr>
          <w:rFonts w:ascii="Arial" w:cs="Arial" w:hAnsi="Arial"/>
        </w:rPr>
        <w:t>prevalence</w:t>
      </w:r>
      <w:r w:rsidR="00AD2FFA" w:rsidRPr="0064423E">
        <w:rPr>
          <w:rFonts w:ascii="Arial" w:cs="Arial" w:hAnsi="Arial"/>
        </w:rPr>
        <w:t xml:space="preserve"> of the </w:t>
      </w:r>
      <w:r w:rsidR="005F44DE" w:rsidRPr="0064423E">
        <w:rPr>
          <w:rFonts w:ascii="Arial" w:cs="Arial" w:hAnsi="Arial"/>
        </w:rPr>
        <w:t>s</w:t>
      </w:r>
      <w:r w:rsidR="007A6E25" w:rsidRPr="0064423E">
        <w:rPr>
          <w:rFonts w:ascii="Arial" w:cs="Arial" w:hAnsi="Arial"/>
        </w:rPr>
        <w:t>ubphenotype</w:t>
      </w:r>
      <w:r w:rsidR="00AD2FFA" w:rsidRPr="0064423E">
        <w:rPr>
          <w:rFonts w:ascii="Arial" w:cs="Arial" w:hAnsi="Arial"/>
        </w:rPr>
        <w:t xml:space="preserve">, and </w:t>
      </w:r>
      <w:r w:rsidR="00BC536A" w:rsidRPr="0064423E">
        <w:rPr>
          <w:rFonts w:ascii="Arial" w:cs="Arial" w:hAnsi="Arial"/>
        </w:rPr>
        <w:t xml:space="preserve">iii) </w:t>
      </w:r>
      <w:r w:rsidR="00AD2FFA" w:rsidRPr="0064423E">
        <w:rPr>
          <w:rFonts w:ascii="Arial" w:cs="Arial" w:hAnsi="Arial"/>
        </w:rPr>
        <w:t xml:space="preserve">the event rate in that </w:t>
      </w:r>
      <w:r w:rsidR="005F44DE" w:rsidRPr="0064423E">
        <w:rPr>
          <w:rFonts w:ascii="Arial" w:cs="Arial" w:hAnsi="Arial"/>
        </w:rPr>
        <w:t>s</w:t>
      </w:r>
      <w:r w:rsidR="007A6E25" w:rsidRPr="0064423E">
        <w:rPr>
          <w:rFonts w:ascii="Arial" w:cs="Arial" w:hAnsi="Arial"/>
        </w:rPr>
        <w:t>ubphenotype</w:t>
      </w:r>
      <w:r w:rsidR="00AD2FFA" w:rsidRPr="0064423E">
        <w:rPr>
          <w:rFonts w:ascii="Arial" w:cs="Arial" w:hAnsi="Arial"/>
        </w:rPr>
        <w:t xml:space="preserve">. The required sample sizes </w:t>
      </w:r>
      <w:r w:rsidR="005F44DE" w:rsidRPr="0064423E">
        <w:rPr>
          <w:rFonts w:ascii="Arial" w:cs="Arial" w:hAnsi="Arial"/>
        </w:rPr>
        <w:t xml:space="preserve">we identified </w:t>
      </w:r>
      <w:r w:rsidR="000A6FBF" w:rsidRPr="0064423E">
        <w:rPr>
          <w:rFonts w:ascii="Arial" w:cs="Arial" w:hAnsi="Arial"/>
        </w:rPr>
        <w:t>were larger than many observational cohorts, and certainly larger than any ongoing SAB RCTs</w:t>
      </w:r>
      <w:r w:rsidR="0013664C">
        <w:rPr>
          <w:rFonts w:ascii="Arial" w:cs="Arial" w:hAnsi="Arial"/>
        </w:rPr>
        <w:t xml:space="preserve">. </w:t>
      </w:r>
      <w:r w:rsidRPr="0064423E">
        <w:rPr>
          <w:rFonts w:ascii="Arial" w:cs="Arial" w:hAnsi="Arial"/>
        </w:rPr>
        <w:t xml:space="preserve"> </w:t>
      </w:r>
      <w:r w:rsidR="00DF7DCD">
        <w:rPr>
          <w:rFonts w:ascii="Arial" w:cs="Arial" w:hAnsi="Arial"/>
        </w:rPr>
        <w:t xml:space="preserve">Importantly, subphenotype prevalence and mortality varies greatly across </w:t>
      </w:r>
      <w:r w:rsidR="005E0253">
        <w:rPr>
          <w:rFonts w:ascii="Arial" w:cs="Arial" w:hAnsi="Arial"/>
        </w:rPr>
        <w:t xml:space="preserve">settings, leading to </w:t>
      </w:r>
      <w:r w:rsidR="00242BA4">
        <w:rPr>
          <w:rFonts w:ascii="Arial" w:cs="Arial" w:hAnsi="Arial"/>
        </w:rPr>
        <w:t xml:space="preserve">&gt;10 fold variation in the required sample size in different settings. This makes </w:t>
      </w:r>
      <w:r w:rsidR="00242BA4" w:rsidRPr="00242BA4">
        <w:rPr>
          <w:rFonts w:ascii="Arial" w:cs="Arial" w:hAnsi="Arial"/>
          <w:i/>
          <w:iCs/>
        </w:rPr>
        <w:t>a priori</w:t>
      </w:r>
      <w:r w:rsidR="00242BA4">
        <w:rPr>
          <w:rFonts w:ascii="Arial" w:cs="Arial" w:hAnsi="Arial"/>
        </w:rPr>
        <w:t xml:space="preserve"> </w:t>
      </w:r>
      <w:r w:rsidR="006F25D9">
        <w:rPr>
          <w:rFonts w:ascii="Arial" w:cs="Arial" w:hAnsi="Arial"/>
        </w:rPr>
        <w:t>reliable</w:t>
      </w:r>
      <w:r w:rsidR="00242BA4">
        <w:rPr>
          <w:rFonts w:ascii="Arial" w:cs="Arial" w:hAnsi="Arial"/>
        </w:rPr>
        <w:t xml:space="preserve"> sample size estimation almost impossible</w:t>
      </w:r>
      <w:r w:rsidR="006F25D9">
        <w:rPr>
          <w:rFonts w:ascii="Arial" w:cs="Arial" w:hAnsi="Arial"/>
        </w:rPr>
        <w:t xml:space="preserve">. </w:t>
      </w:r>
    </w:p>
    <w:p ns2:paraId="1CF702CA" ns2:textId="421E546E" w:rsidP="00F97C73" w:rsidR="00601D43" w:rsidRDefault="008E0C8A">
      <w:pPr>
        <w:rPr>
          <w:rFonts w:ascii="Arial" w:cs="Arial" w:hAnsi="Arial"/>
        </w:rPr>
      </w:pPr>
      <w:r w:rsidRPr="0064423E">
        <w:rPr>
          <w:rFonts w:ascii="Arial" w:cs="Arial" w:hAnsi="Arial"/>
        </w:rPr>
        <w:t>We then</w:t>
      </w:r>
      <w:r w:rsidR="00BC536A" w:rsidRPr="0064423E">
        <w:rPr>
          <w:rFonts w:ascii="Arial" w:cs="Arial" w:hAnsi="Arial"/>
        </w:rPr>
        <w:t xml:space="preserve"> showed t</w:t>
      </w:r>
      <w:r w:rsidR="00950D7D" w:rsidRPr="0064423E">
        <w:rPr>
          <w:rFonts w:ascii="Arial" w:cs="Arial" w:hAnsi="Arial"/>
        </w:rPr>
        <w:t xml:space="preserve">his </w:t>
      </w:r>
      <w:r w:rsidR="000A6FBF" w:rsidRPr="0064423E">
        <w:rPr>
          <w:rFonts w:ascii="Arial" w:cs="Arial" w:hAnsi="Arial"/>
        </w:rPr>
        <w:t>challenge</w:t>
      </w:r>
      <w:r w:rsidR="00950D7D" w:rsidRPr="0064423E">
        <w:rPr>
          <w:rFonts w:ascii="Arial" w:cs="Arial" w:hAnsi="Arial"/>
        </w:rPr>
        <w:t xml:space="preserve"> is compounded by inaccurate classification: when the accuracy of identifying a </w:t>
      </w:r>
      <w:r w:rsidR="000A6FBF" w:rsidRPr="0064423E">
        <w:rPr>
          <w:rFonts w:ascii="Arial" w:cs="Arial" w:hAnsi="Arial"/>
        </w:rPr>
        <w:t>s</w:t>
      </w:r>
      <w:r w:rsidR="007A6E25" w:rsidRPr="0064423E">
        <w:rPr>
          <w:rFonts w:ascii="Arial" w:cs="Arial" w:hAnsi="Arial"/>
        </w:rPr>
        <w:t>ubphenotype</w:t>
      </w:r>
      <w:r w:rsidR="00950D7D" w:rsidRPr="0064423E">
        <w:rPr>
          <w:rFonts w:ascii="Arial" w:cs="Arial" w:hAnsi="Arial"/>
        </w:rPr>
        <w:t xml:space="preserve"> </w:t>
      </w:r>
      <w:r w:rsidR="002D0F53" w:rsidRPr="0064423E">
        <w:rPr>
          <w:rFonts w:ascii="Arial" w:cs="Arial" w:hAnsi="Arial"/>
        </w:rPr>
        <w:t>reduces, the sample size generally increases by orders of magnitude, making trials infeasible for all those except extremely large, common, and high event rate subphenotypes</w:t>
      </w:r>
      <w:r w:rsidR="00DF7DCD">
        <w:rPr>
          <w:rFonts w:ascii="Arial" w:cs="Arial" w:hAnsi="Arial"/>
        </w:rPr>
        <w:t xml:space="preserve">. </w:t>
      </w:r>
      <w:r w:rsidR="00037A52" w:rsidRPr="0064423E">
        <w:rPr>
          <w:rFonts w:ascii="Arial" w:cs="Arial" w:hAnsi="Arial"/>
        </w:rPr>
        <w:t>Importantly, this effect</w:t>
      </w:r>
      <w:r w:rsidR="00E75905" w:rsidRPr="0064423E">
        <w:rPr>
          <w:rFonts w:ascii="Arial" w:cs="Arial" w:hAnsi="Arial"/>
        </w:rPr>
        <w:t xml:space="preserve"> can lead to biased estimates that can even be in the wrong direction for rarer subphenotypes.</w:t>
      </w:r>
      <w:r w:rsidR="00F208A2" w:rsidRPr="0064423E">
        <w:rPr>
          <w:rFonts w:ascii="Arial" w:cs="Arial" w:hAnsi="Arial"/>
        </w:rPr>
        <w:t xml:space="preserve"> This bias is critical and arguably more important than the</w:t>
      </w:r>
      <w:r w:rsidR="00715871" w:rsidRPr="0064423E">
        <w:rPr>
          <w:rFonts w:ascii="Arial" w:cs="Arial" w:hAnsi="Arial"/>
        </w:rPr>
        <w:t xml:space="preserve"> power issue: in the best-case scenario it biases towards the null, but depending on </w:t>
      </w:r>
      <w:r w:rsidR="00DE624D" w:rsidRPr="0064423E">
        <w:rPr>
          <w:rFonts w:ascii="Arial" w:cs="Arial" w:hAnsi="Arial"/>
        </w:rPr>
        <w:t>how classification occurs, it could bias towards a larger effect</w:t>
      </w:r>
      <w:r w:rsidR="00601D43">
        <w:rPr>
          <w:rFonts w:ascii="Arial" w:cs="Arial" w:hAnsi="Arial"/>
        </w:rPr>
        <w:t>. This cannot be rescued by screening approaches, which although reducing the number randomised, do not resolve bias.</w:t>
      </w:r>
    </w:p>
    <w:p ns2:paraId="4A23012B" ns2:textId="08B6EB19" w:rsidP="00F97C73" w:rsidR="00423724" w:rsidRDefault="00601D43">
      <w:pPr>
        <w:rPr>
          <w:rFonts w:ascii="Arial" w:cs="Arial" w:hAnsi="Arial"/>
        </w:rPr>
      </w:pPr>
      <w:r>
        <w:t>Finally, we tested ordinal outcomes. For the same effect, when correctly specified, we observed dramatic increases in power, no inflation of type I error, and reduced bias. However, when incorrectly specified (i.e., treatment does not affect all levels), they performed much worse than binary measures and were severely underpowered.</w:t>
      </w:r>
    </w:p>
    <w:p ns2:paraId="6817A48D" ns2:textId="77777777" w:rsidP="00F97C73" w:rsidR="00C15A1C" w:rsidRDefault="00C15A1C">
      <w:pPr>
        <w:rPr>
          <w:rFonts w:ascii="Arial" w:cs="Arial" w:hAnsi="Arial"/>
        </w:rPr>
      </w:pPr>
    </w:p>
    <w:p ns2:paraId="4D4BFFD0" ns2:textId="295E0308" w:rsidP="00F97C73" w:rsidR="002C1796" w:rsidRDefault="002C1796" w:rsidRPr="0064423E">
      <w:pPr>
        <w:rPr>
          <w:rFonts w:ascii="Arial" w:cs="Arial" w:hAnsi="Arial"/>
        </w:rPr>
      </w:pPr>
      <w:r>
        <w:rPr>
          <w:rFonts w:ascii="Arial" w:cs="Arial" w:hAnsi="Arial"/>
        </w:rPr>
        <w:t xml:space="preserve">This leads to a number of implications for future trials. </w:t>
      </w:r>
    </w:p>
    <w:p ns2:paraId="5356E83F" ns2:textId="63FE1CED" w:rsidP="00F97C73" w:rsidR="00423724" w:rsidRDefault="002C1796" w:rsidRPr="0064423E">
      <w:pPr>
        <w:rPr>
          <w:rFonts w:ascii="Arial" w:cs="Arial" w:hAnsi="Arial"/>
        </w:rPr>
      </w:pPr>
      <w:r>
        <w:rPr>
          <w:rFonts w:ascii="Arial" w:cs="Arial" w:hAnsi="Arial"/>
        </w:rPr>
        <w:t>Firstly, t</w:t>
      </w:r>
      <w:r w:rsidR="00A50210" w:rsidRPr="0064423E">
        <w:rPr>
          <w:rFonts w:ascii="Arial" w:cs="Arial" w:hAnsi="Arial"/>
        </w:rPr>
        <w:t xml:space="preserve">he conditions for a </w:t>
      </w:r>
      <w:r w:rsidR="000F621A" w:rsidRPr="0064423E">
        <w:rPr>
          <w:rFonts w:ascii="Arial" w:cs="Arial" w:hAnsi="Arial"/>
        </w:rPr>
        <w:t xml:space="preserve">therapy for a specific </w:t>
      </w:r>
      <w:r w:rsidR="00A50210" w:rsidRPr="0064423E">
        <w:rPr>
          <w:rFonts w:ascii="Arial" w:cs="Arial" w:hAnsi="Arial"/>
        </w:rPr>
        <w:t>subphenotype being taken forward into a trial are that</w:t>
      </w:r>
      <w:r w:rsidR="00423724" w:rsidRPr="0064423E">
        <w:rPr>
          <w:rFonts w:ascii="Arial" w:cs="Arial" w:hAnsi="Arial"/>
        </w:rPr>
        <w:t>:</w:t>
      </w:r>
    </w:p>
    <w:p ns2:paraId="792E9D25" ns2:textId="340A7662" w:rsidP="00423724" w:rsidR="00423724" w:rsidRDefault="00423724" w:rsidRPr="0064423E">
      <w:pPr>
        <w:pStyle w:val="ListParagraph"/>
        <w:numPr>
          <w:ilvl w:val="1"/>
          <w:numId w:val="7"/>
        </w:numPr>
        <w:rPr>
          <w:rFonts w:ascii="Arial" w:cs="Arial" w:hAnsi="Arial"/>
        </w:rPr>
      </w:pPr>
      <w:r w:rsidRPr="0064423E">
        <w:rPr>
          <w:rFonts w:ascii="Arial" w:cs="Arial" w:hAnsi="Arial"/>
        </w:rPr>
        <w:t xml:space="preserve">There is a </w:t>
      </w:r>
      <w:r w:rsidR="00A50210" w:rsidRPr="0064423E">
        <w:rPr>
          <w:rFonts w:ascii="Arial" w:cs="Arial" w:hAnsi="Arial"/>
        </w:rPr>
        <w:t>high event rate (likely &gt;10%, ideally &gt;15%)</w:t>
      </w:r>
    </w:p>
    <w:p ns2:paraId="0CD391DF" ns2:textId="3D6ED98C" w:rsidP="00F97C73" w:rsidR="00423724" w:rsidRDefault="00423724" w:rsidRPr="0064423E">
      <w:pPr>
        <w:pStyle w:val="ListParagraph"/>
        <w:numPr>
          <w:ilvl w:val="1"/>
          <w:numId w:val="7"/>
        </w:numPr>
        <w:rPr>
          <w:rFonts w:ascii="Arial" w:cs="Arial" w:hAnsi="Arial"/>
        </w:rPr>
      </w:pPr>
      <w:r w:rsidRPr="0064423E">
        <w:rPr>
          <w:rFonts w:ascii="Arial" w:cs="Arial" w:hAnsi="Arial"/>
        </w:rPr>
        <w:t xml:space="preserve">The phenotype </w:t>
      </w:r>
      <w:r w:rsidR="00A50210" w:rsidRPr="0064423E">
        <w:rPr>
          <w:rFonts w:ascii="Arial" w:cs="Arial" w:hAnsi="Arial"/>
        </w:rPr>
        <w:t>represent</w:t>
      </w:r>
      <w:r w:rsidRPr="0064423E">
        <w:rPr>
          <w:rFonts w:ascii="Arial" w:cs="Arial" w:hAnsi="Arial"/>
        </w:rPr>
        <w:t>s</w:t>
      </w:r>
      <w:r w:rsidR="00A50210" w:rsidRPr="0064423E">
        <w:rPr>
          <w:rFonts w:ascii="Arial" w:cs="Arial" w:hAnsi="Arial"/>
        </w:rPr>
        <w:t xml:space="preserve"> a reasonable proportion of the trial population (likely &gt;15%)</w:t>
      </w:r>
    </w:p>
    <w:p ns2:paraId="0516C91C" ns2:textId="22BF896B" w:rsidP="00F97C73" w:rsidR="00423724" w:rsidRDefault="00A50210" w:rsidRPr="0064423E">
      <w:pPr>
        <w:pStyle w:val="ListParagraph"/>
        <w:numPr>
          <w:ilvl w:val="1"/>
          <w:numId w:val="7"/>
        </w:numPr>
        <w:rPr>
          <w:rFonts w:ascii="Arial" w:cs="Arial" w:hAnsi="Arial"/>
        </w:rPr>
      </w:pPr>
      <w:r w:rsidRPr="0064423E">
        <w:rPr>
          <w:rFonts w:ascii="Arial" w:cs="Arial" w:hAnsi="Arial"/>
        </w:rPr>
        <w:t xml:space="preserve"> </w:t>
      </w:r>
      <w:r w:rsidR="000F621A" w:rsidRPr="0064423E">
        <w:rPr>
          <w:rFonts w:ascii="Arial" w:cs="Arial" w:hAnsi="Arial"/>
        </w:rPr>
        <w:t xml:space="preserve">the treatment should </w:t>
      </w:r>
      <w:r w:rsidR="00423724" w:rsidRPr="0064423E">
        <w:rPr>
          <w:rFonts w:ascii="Arial" w:cs="Arial" w:hAnsi="Arial"/>
        </w:rPr>
        <w:t xml:space="preserve">plausibly </w:t>
      </w:r>
      <w:r w:rsidR="000F621A" w:rsidRPr="0064423E">
        <w:rPr>
          <w:rFonts w:ascii="Arial" w:cs="Arial" w:hAnsi="Arial"/>
        </w:rPr>
        <w:t>have a large effect (likely OR &gt;1.5)</w:t>
      </w:r>
      <w:r w:rsidR="00972B70" w:rsidRPr="0064423E">
        <w:rPr>
          <w:rFonts w:ascii="Arial" w:cs="Arial" w:hAnsi="Arial"/>
        </w:rPr>
        <w:t xml:space="preserve">. </w:t>
      </w:r>
    </w:p>
    <w:p ns2:paraId="15DAE857" ns2:textId="77777777" w:rsidP="00F97C73" w:rsidR="00423724" w:rsidRDefault="00423724" w:rsidRPr="0064423E">
      <w:pPr>
        <w:rPr>
          <w:rFonts w:ascii="Arial" w:cs="Arial" w:hAnsi="Arial"/>
        </w:rPr>
      </w:pPr>
    </w:p>
    <w:p ns2:paraId="3E67C82B" ns2:textId="2CECDCAF" w:rsidP="00F97C73" w:rsidR="00931F08" w:rsidRDefault="00972B70" w:rsidRPr="0064423E">
      <w:pPr>
        <w:rPr>
          <w:rFonts w:ascii="Arial" w:cs="Arial" w:hAnsi="Arial"/>
        </w:rPr>
      </w:pPr>
      <w:r>
        <w:t>In this setting, inaccurate phenotyping may have a relatively limited effect on bias and power, although we stress that trialists should simulate their specific scenarios thoroughly before embarking on a large trial.</w:t>
      </w:r>
    </w:p>
    <w:p ns2:paraId="6383BC30" ns2:textId="70AED2CE" w:rsidP="00F97C73" w:rsidR="00423724" w:rsidRDefault="00822DA9" w:rsidRPr="0064423E">
      <w:pPr>
        <w:rPr>
          <w:rFonts w:ascii="Arial" w:cs="Arial" w:hAnsi="Arial"/>
        </w:rPr>
      </w:pPr>
      <w:r>
        <w:t>Our results suggest a clear, three-pronged strategy for advancing stratified trials in SAB. The first path is to improve diagnostic classifiers, aiming for near-perfect performance (e.g., &gt;95% sensitivity and specificity) to make even rare or low-event subphenotypes viable targets. A limitation of the latent class analysis performed by Swets et al, which provides the basis for the simulations here, is that all patients are assigned to a subphenotype. In reality, some patients will be unclassifiable, and future work should derive improved assignment models. The second, more pragmatic path, is to focus trial resources on subgroups with favorable prevalence-event characteristics. Attempting to design trials around rare subphenotypes with current technology is likely to fail, as classification errors erode power and introduce bias. Thirdly, trialists should increase power by optimizing outcome measurement and design. A rare binary outcome is statistically inefficient. A validated and clinically relevant ordinal or continuous outcome may improve efficiency, although we caution against naive outcome choice. For example, in CAMERA2, although adding flucloxacillin to vancomycin for MRSA improved a microbiological outcome, it may have worsened clinical outcomes. Variation between settings in Aim 1 also shows that a priori sample-size prediction is difficult; adaptive designs (e.g., Bayesian platform approaches) may therefore be preferable.</w:t>
      </w:r>
    </w:p>
    <w:p ns2:paraId="54F250BB" ns2:textId="62A3C576" w:rsidP="00F97C73" w:rsidR="0066481D" w:rsidRDefault="00922D3A" w:rsidRPr="0064423E">
      <w:pPr>
        <w:rPr>
          <w:rFonts w:ascii="Arial" w:cs="Arial" w:hAnsi="Arial"/>
        </w:rPr>
      </w:pPr>
      <w:r w:rsidRPr="0064423E">
        <w:rPr>
          <w:rFonts w:ascii="Arial" w:cs="Arial" w:hAnsi="Arial"/>
        </w:rPr>
        <w:t>In sum, t</w:t>
      </w:r>
      <w:r w:rsidR="00533127" w:rsidRPr="0064423E">
        <w:rPr>
          <w:rFonts w:ascii="Arial" w:cs="Arial" w:hAnsi="Arial"/>
        </w:rPr>
        <w:t xml:space="preserve">his data should </w:t>
      </w:r>
      <w:r w:rsidR="00983A5A" w:rsidRPr="0064423E">
        <w:rPr>
          <w:rFonts w:ascii="Arial" w:cs="Arial" w:hAnsi="Arial"/>
        </w:rPr>
        <w:t xml:space="preserve">make us </w:t>
      </w:r>
      <w:r w:rsidR="0015766C" w:rsidRPr="0064423E">
        <w:rPr>
          <w:rFonts w:ascii="Arial" w:cs="Arial" w:hAnsi="Arial"/>
        </w:rPr>
        <w:t xml:space="preserve">somewhat </w:t>
      </w:r>
      <w:r w:rsidR="00983A5A" w:rsidRPr="0064423E">
        <w:rPr>
          <w:rFonts w:ascii="Arial" w:cs="Arial" w:hAnsi="Arial"/>
        </w:rPr>
        <w:t xml:space="preserve">cautious about </w:t>
      </w:r>
      <w:r w:rsidR="003C090E" w:rsidRPr="0064423E">
        <w:rPr>
          <w:rFonts w:ascii="Arial" w:cs="Arial" w:hAnsi="Arial"/>
        </w:rPr>
        <w:t>the reality of ever deter</w:t>
      </w:r>
      <w:r w:rsidR="0015766C" w:rsidRPr="0064423E">
        <w:rPr>
          <w:rFonts w:ascii="Arial" w:cs="Arial" w:hAnsi="Arial"/>
        </w:rPr>
        <w:t>mining large heterogenous treatment effects</w:t>
      </w:r>
      <w:r w:rsidR="002C1418" w:rsidRPr="0064423E">
        <w:rPr>
          <w:rFonts w:ascii="Arial" w:cs="Arial" w:hAnsi="Arial"/>
        </w:rPr>
        <w:t xml:space="preserve"> in a condition like SAB</w:t>
      </w:r>
      <w:r w:rsidR="00C16C1C" w:rsidRPr="0064423E">
        <w:rPr>
          <w:rFonts w:ascii="Arial" w:cs="Arial" w:hAnsi="Arial"/>
        </w:rPr>
        <w:t xml:space="preserve"> for some subphenotypes</w:t>
      </w:r>
      <w:r w:rsidR="0015766C" w:rsidRPr="0064423E">
        <w:rPr>
          <w:rFonts w:ascii="Arial" w:cs="Arial" w:hAnsi="Arial"/>
        </w:rPr>
        <w:t>.</w:t>
      </w:r>
      <w:r w:rsidR="001869CB" w:rsidRPr="0064423E">
        <w:rPr>
          <w:rFonts w:ascii="Arial" w:cs="Arial" w:hAnsi="Arial"/>
        </w:rPr>
        <w:fldChar w:fldCharType="begin"/>
      </w:r>
      <w:r w:rsidR="005415C0">
        <w:rPr>
          <w:rFonts w:ascii="Arial" w:cs="Arial" w:hAnsi="Arial"/>
        </w:rPr>
        <w:instrText xml:space="preserve"> ADDIN ZOTERO_ITEM CSL_CITATION {"citationID":"YC1Tv4wn","properties":{"formattedCitation":"\\super 16\\nosupersub{}","plainCitation":"16","noteIndex":0},"citationItems":[{"id":3081,"uris":["http://zotero.org/users/66919/items/SVXLBGTW","http://zotero.org/users/66919/items/6S6B66NZ"],"itemData":{"id":3081,"type":"article-journal","abstract":"Misleading terminology and arbitrary divisions stymie drug trials and can give false hope about the potential of tailoring drugs to individuals, warns Stephen Senn. Misleading terminology and arbitrary divisions stymie drug trials and can give false hope about the potential of tailoring drugs to individuals, warns Stephen Senn.","citation-key":"sennStatisticalPitfallsPersonalized2018","container-title":"Nature","DOI":"10.1038/d41586-018-07535-2","ISSN":"1476-4687","issue":"7733","journalAbbreviation":"Nature","language":"English","page":"619–621","publisher":"Nature Publishing Group","source":"PubMed","title":"Statistical pitfalls of personalized medicine","volume":"563","author":[{"family":"Senn","given":"Stephen"}],"issued":{"date-parts":[["2018",11]]}}}],"schema":"https://github.com/citation-style-language/schema/raw/master/csl-citation.json"} </w:instrText>
      </w:r>
      <w:r w:rsidR="001869CB" w:rsidRPr="0064423E">
        <w:rPr>
          <w:rFonts w:ascii="Arial" w:cs="Arial" w:hAnsi="Arial"/>
        </w:rPr>
        <w:fldChar w:fldCharType="separate"/>
      </w:r>
      <w:r w:rsidR="005415C0" w:rsidRPr="005415C0">
        <w:rPr>
          <w:rFonts w:ascii="Arial" w:cs="Arial" w:hAnsi="Arial"/>
          <w:kern w:val="0"/>
          <w:vertAlign w:val="superscript"/>
        </w:rPr>
        <w:t>16</w:t>
      </w:r>
      <w:r w:rsidR="001869CB" w:rsidRPr="0064423E">
        <w:rPr>
          <w:rFonts w:ascii="Arial" w:cs="Arial" w:hAnsi="Arial"/>
        </w:rPr>
        <w:fldChar w:fldCharType="end"/>
      </w:r>
      <w:r w:rsidR="0015766C" w:rsidRPr="0064423E">
        <w:rPr>
          <w:rFonts w:ascii="Arial" w:cs="Arial" w:hAnsi="Arial"/>
        </w:rPr>
        <w:t xml:space="preserve"> Measurement error is </w:t>
      </w:r>
      <w:r w:rsidR="002C1418" w:rsidRPr="0064423E">
        <w:rPr>
          <w:rFonts w:ascii="Arial" w:cs="Arial" w:hAnsi="Arial"/>
        </w:rPr>
        <w:t>inevitable</w:t>
      </w:r>
      <w:r w:rsidR="00B50962" w:rsidRPr="0064423E">
        <w:rPr>
          <w:rFonts w:ascii="Arial" w:cs="Arial" w:hAnsi="Arial"/>
        </w:rPr>
        <w:t xml:space="preserve">, and </w:t>
      </w:r>
      <w:r w:rsidR="00481F81" w:rsidRPr="0064423E">
        <w:rPr>
          <w:rFonts w:ascii="Arial" w:cs="Arial" w:hAnsi="Arial"/>
        </w:rPr>
        <w:t xml:space="preserve">therefore even in the presence of highly accurate molecular tests, sensitivity and specificity are unlikely to ever be &gt;99%, </w:t>
      </w:r>
      <w:commentRangeStart w:id="12"/>
      <w:r w:rsidR="00481F81" w:rsidRPr="0064423E">
        <w:rPr>
          <w:rFonts w:ascii="Arial" w:cs="Arial" w:hAnsi="Arial"/>
        </w:rPr>
        <w:t>particularly when the subphenotype does not itself have a clear molecular basis</w:t>
      </w:r>
      <w:r w:rsidR="00AE20EF" w:rsidRPr="0064423E">
        <w:rPr>
          <w:rFonts w:ascii="Arial" w:cs="Arial" w:hAnsi="Arial"/>
        </w:rPr>
        <w:t xml:space="preserve">. </w:t>
      </w:r>
      <w:commentRangeEnd w:id="12"/>
      <w:r w:rsidR="00E33582" w:rsidRPr="0064423E">
        <w:rPr>
          <w:rStyle w:val="CommentReference"/>
          <w:rFonts w:ascii="Arial" w:cs="Arial" w:hAnsi="Arial"/>
          <w:sz w:val="24"/>
          <w:szCs w:val="24"/>
        </w:rPr>
        <w:commentReference w:id="12"/>
      </w:r>
      <w:r w:rsidR="00960B3E" w:rsidRPr="0064423E">
        <w:rPr>
          <w:rFonts w:ascii="Arial" w:cs="Arial" w:hAnsi="Arial"/>
        </w:rPr>
        <w:t>Notable exceptions might include phenotypes that are driven by specific protein or gene</w:t>
      </w:r>
      <w:r w:rsidRPr="0064423E">
        <w:rPr>
          <w:rFonts w:ascii="Arial" w:cs="Arial" w:hAnsi="Arial"/>
        </w:rPr>
        <w:t>tic</w:t>
      </w:r>
      <w:r w:rsidR="00960B3E" w:rsidRPr="0064423E">
        <w:rPr>
          <w:rFonts w:ascii="Arial" w:cs="Arial" w:hAnsi="Arial"/>
        </w:rPr>
        <w:t xml:space="preserve"> changes in the pathogen (e.g. </w:t>
      </w:r>
      <w:r w:rsidR="00AE6119" w:rsidRPr="0064423E">
        <w:rPr>
          <w:rFonts w:ascii="Arial" w:cs="Arial" w:hAnsi="Arial"/>
          <w:i/>
          <w:iCs/>
        </w:rPr>
        <w:t>mecA</w:t>
      </w:r>
      <w:r w:rsidR="00AE6119" w:rsidRPr="0064423E">
        <w:rPr>
          <w:rFonts w:ascii="Arial" w:cs="Arial" w:hAnsi="Arial"/>
        </w:rPr>
        <w:t xml:space="preserve"> carriage), which are likely to have large </w:t>
      </w:r>
      <w:r w:rsidR="001C5A70" w:rsidRPr="0064423E">
        <w:rPr>
          <w:rFonts w:ascii="Arial" w:cs="Arial" w:hAnsi="Arial"/>
        </w:rPr>
        <w:t>measurable</w:t>
      </w:r>
      <w:r w:rsidR="00AE6119" w:rsidRPr="0064423E">
        <w:rPr>
          <w:rFonts w:ascii="Arial" w:cs="Arial" w:hAnsi="Arial"/>
        </w:rPr>
        <w:t xml:space="preserve"> effects </w:t>
      </w:r>
      <w:r w:rsidR="001C5A70" w:rsidRPr="0064423E">
        <w:rPr>
          <w:rFonts w:ascii="Arial" w:cs="Arial" w:hAnsi="Arial"/>
        </w:rPr>
        <w:t xml:space="preserve">on bacterial phenotype </w:t>
      </w:r>
      <w:r w:rsidR="00AE6119" w:rsidRPr="0064423E">
        <w:rPr>
          <w:rFonts w:ascii="Arial" w:cs="Arial" w:hAnsi="Arial"/>
        </w:rPr>
        <w:t>and be detected by molecular tests</w:t>
      </w:r>
      <w:r w:rsidRPr="0064423E">
        <w:rPr>
          <w:rFonts w:ascii="Arial" w:cs="Arial" w:hAnsi="Arial"/>
        </w:rPr>
        <w:t xml:space="preserve"> near perfectly. </w:t>
      </w:r>
    </w:p>
    <w:p ns2:paraId="1EE4D9B8" ns2:textId="77777777" w:rsidP="00F97C73" w:rsidR="001A20FA" w:rsidRDefault="001A20FA" w:rsidRPr="0064423E">
      <w:pPr>
        <w:rPr>
          <w:rFonts w:ascii="Arial" w:cs="Arial" w:hAnsi="Arial"/>
          <w:i/>
          <w:iCs/>
        </w:rPr>
      </w:pPr>
      <w:r w:rsidRPr="0064423E">
        <w:rPr>
          <w:rFonts w:ascii="Arial" w:cs="Arial" w:hAnsi="Arial"/>
          <w:i/>
          <w:iCs/>
        </w:rPr>
        <w:t>Comparison with previous literature</w:t>
      </w:r>
    </w:p>
    <w:p ns2:paraId="1ACB4A0D" ns2:textId="255DBF04" w:rsidP="00F97C73" w:rsidR="001A20FA" w:rsidRDefault="001A20FA" w:rsidRPr="0064423E">
      <w:pPr>
        <w:rPr>
          <w:rFonts w:ascii="Arial" w:cs="Arial" w:hAnsi="Arial"/>
        </w:rPr>
      </w:pPr>
      <w:r w:rsidRPr="0064423E">
        <w:rPr>
          <w:rFonts w:ascii="Arial" w:cs="Arial" w:hAnsi="Arial"/>
        </w:rPr>
        <w:t xml:space="preserve">As far as we are aware, no study has specifically </w:t>
      </w:r>
      <w:r w:rsidR="00EC478A" w:rsidRPr="0064423E">
        <w:rPr>
          <w:rFonts w:ascii="Arial" w:cs="Arial" w:hAnsi="Arial"/>
        </w:rPr>
        <w:t xml:space="preserve">quantified sample sizes, bias, and power for SAB subphenotyping, although it is well established that these factors depend on the effect sizes of treatment, event rates, and total sample size. The novelty of this study is that it provides </w:t>
      </w:r>
      <w:r w:rsidR="00390A6C" w:rsidRPr="0064423E">
        <w:rPr>
          <w:rFonts w:ascii="Arial" w:cs="Arial" w:hAnsi="Arial"/>
        </w:rPr>
        <w:t xml:space="preserve">SAB specific effects driven from subphenotyping across numerous clinical cohorts of SAB and where a treatment effect was derived from a randomised trial. </w:t>
      </w:r>
    </w:p>
    <w:p ns2:paraId="59622951" ns2:textId="77777777" w:rsidP="00F97C73" w:rsidR="00F61B07" w:rsidRDefault="00F61B07" w:rsidRPr="0064423E">
      <w:pPr>
        <w:rPr>
          <w:rFonts w:ascii="Arial" w:cs="Arial" w:hAnsi="Arial"/>
        </w:rPr>
      </w:pPr>
    </w:p>
    <w:p ns2:paraId="66049CE4" ns2:textId="7960C5C0" w:rsidP="00F97C73" w:rsidR="00F61B07" w:rsidRDefault="00F61B07" w:rsidRPr="0064423E">
      <w:pPr>
        <w:rPr>
          <w:rFonts w:ascii="Arial" w:cs="Arial" w:hAnsi="Arial"/>
          <w:i/>
          <w:iCs/>
        </w:rPr>
      </w:pPr>
      <w:r w:rsidRPr="0064423E">
        <w:rPr>
          <w:rFonts w:ascii="Arial" w:cs="Arial" w:hAnsi="Arial"/>
          <w:i/>
          <w:iCs/>
        </w:rPr>
        <w:t>Limitations</w:t>
      </w:r>
    </w:p>
    <w:p ns2:paraId="7120FB7C" ns2:textId="679D7A26" w:rsidP="00F97C73" w:rsidR="00922D3A" w:rsidRDefault="00F61B07" w:rsidRPr="0064423E">
      <w:pPr>
        <w:rPr>
          <w:rFonts w:ascii="Arial" w:cs="Arial" w:hAnsi="Arial"/>
        </w:rPr>
      </w:pPr>
      <w:commentRangeStart w:id="13"/>
      <w:r w:rsidRPr="0064423E">
        <w:rPr>
          <w:rFonts w:ascii="Arial" w:cs="Arial" w:hAnsi="Arial"/>
        </w:rPr>
        <w:t>Like all simulation studies, we are limited by our input data. We simulate data based on Swet</w:t>
      </w:r>
      <w:r w:rsidR="00905399" w:rsidRPr="0064423E">
        <w:rPr>
          <w:rFonts w:ascii="Arial" w:cs="Arial" w:hAnsi="Arial"/>
        </w:rPr>
        <w:t>s</w:t>
      </w:r>
      <w:r w:rsidRPr="0064423E">
        <w:rPr>
          <w:rFonts w:ascii="Arial" w:cs="Arial" w:hAnsi="Arial"/>
        </w:rPr>
        <w:t xml:space="preserve"> et al</w:t>
      </w:r>
      <w:r w:rsidR="000A3231">
        <w:rPr>
          <w:rFonts w:ascii="Arial" w:cs="Arial" w:hAnsi="Arial"/>
        </w:rPr>
        <w:t xml:space="preserve"> 2024 and 2025; although these studies include 5 separate cohorts from the UK, Spain, Netherlands, and USA, a single clustering approach is used</w:t>
      </w:r>
      <w:r w:rsidRPr="0064423E">
        <w:rPr>
          <w:rFonts w:ascii="Arial" w:cs="Arial" w:hAnsi="Arial"/>
        </w:rPr>
        <w:t xml:space="preserve">. However, we do note </w:t>
      </w:r>
      <w:r w:rsidR="00922D3A" w:rsidRPr="0064423E">
        <w:rPr>
          <w:rFonts w:ascii="Arial" w:cs="Arial" w:hAnsi="Arial"/>
        </w:rPr>
        <w:t>that a</w:t>
      </w:r>
      <w:r w:rsidRPr="0064423E">
        <w:rPr>
          <w:rFonts w:ascii="Arial" w:cs="Arial" w:hAnsi="Arial"/>
        </w:rPr>
        <w:t xml:space="preserve"> recent study that attempted to subphenotype SAB in different cohorts identified a largely similar set of subphenotypes. These suggest that the subphenotypes identified by Swets et al likely have validity.</w:t>
      </w:r>
      <w:r w:rsidR="004C4CA5" w:rsidRPr="0064423E">
        <w:rPr>
          <w:rFonts w:ascii="Arial" w:cs="Arial" w:hAnsi="Arial"/>
        </w:rPr>
        <w:t xml:space="preserve"> </w:t>
      </w:r>
      <w:commentRangeEnd w:id="13"/>
      <w:r w:rsidR="0069152E" w:rsidRPr="0064423E">
        <w:rPr>
          <w:rStyle w:val="CommentReference"/>
          <w:rFonts w:ascii="Arial" w:cs="Arial" w:hAnsi="Arial"/>
          <w:sz w:val="24"/>
          <w:szCs w:val="24"/>
        </w:rPr>
        <w:commentReference w:id="13"/>
      </w:r>
    </w:p>
    <w:p ns2:paraId="53F8019D" ns2:textId="1FD211E2" w:rsidP="00F97C73" w:rsidR="0069152E" w:rsidRDefault="0069152E" w:rsidRPr="0064423E">
      <w:pPr>
        <w:rPr>
          <w:rFonts w:ascii="Arial" w:cs="Arial" w:hAnsi="Arial"/>
        </w:rPr>
      </w:pPr>
      <w:r>
        <w:rPr>
          <w:rFonts w:ascii="Arial" w:cs="Arial" w:hAnsi="Arial"/>
        </w:rPr>
        <w:t>Is another limitation that there is only a single study used to generate the treatment effects, so one population, one intervention, and one outcome? Obviously we cannot do anything about it as there are no other trials to include with different interventions/outcomes.</w:t>
      </w:r>
    </w:p>
    <w:p ns2:paraId="6F3F05C4" ns2:textId="1B5245BA" w:rsidP="00F97C73" w:rsidR="00D4632E" w:rsidRDefault="006D26CA" w:rsidRPr="0064423E">
      <w:pPr>
        <w:rPr>
          <w:rFonts w:ascii="Arial" w:cs="Arial" w:hAnsi="Arial"/>
        </w:rPr>
      </w:pPr>
      <w:commentRangeStart w:id="14"/>
      <w:r w:rsidRPr="0064423E">
        <w:rPr>
          <w:rFonts w:ascii="Arial" w:cs="Arial" w:hAnsi="Arial"/>
        </w:rPr>
        <w:t xml:space="preserve">However, our simulation results </w:t>
      </w:r>
      <w:r w:rsidR="00D4632E" w:rsidRPr="0064423E">
        <w:rPr>
          <w:rFonts w:ascii="Arial" w:cs="Arial" w:hAnsi="Arial"/>
        </w:rPr>
        <w:t>would change with differing input values</w:t>
      </w:r>
      <w:commentRangeEnd w:id="14"/>
      <w:r w:rsidR="0069152E" w:rsidRPr="0064423E">
        <w:rPr>
          <w:rStyle w:val="CommentReference"/>
          <w:rFonts w:ascii="Arial" w:cs="Arial" w:hAnsi="Arial"/>
          <w:sz w:val="24"/>
          <w:szCs w:val="24"/>
        </w:rPr>
        <w:commentReference w:id="14"/>
      </w:r>
      <w:r w:rsidR="00D4632E" w:rsidRPr="0064423E">
        <w:rPr>
          <w:rFonts w:ascii="Arial" w:cs="Arial" w:hAnsi="Arial"/>
        </w:rPr>
        <w:t xml:space="preserve">. Secondly, we chose to define both accuracy and sensitivity/specificity </w:t>
      </w:r>
      <w:r w:rsidR="002C14A1" w:rsidRPr="0064423E">
        <w:rPr>
          <w:rFonts w:ascii="Arial" w:cs="Arial" w:hAnsi="Arial"/>
        </w:rPr>
        <w:t xml:space="preserve">simply: </w:t>
      </w:r>
      <w:r w:rsidR="00DF7F89" w:rsidRPr="0064423E">
        <w:rPr>
          <w:rFonts w:ascii="Arial" w:cs="Arial" w:hAnsi="Arial"/>
        </w:rPr>
        <w:t>participants</w:t>
      </w:r>
      <w:r w:rsidR="002C14A1" w:rsidRPr="0064423E">
        <w:rPr>
          <w:rFonts w:ascii="Arial" w:cs="Arial" w:hAnsi="Arial"/>
        </w:rPr>
        <w:t xml:space="preserve"> were either classified to the correct </w:t>
      </w:r>
      <w:r w:rsidR="00806FC9" w:rsidRPr="0064423E">
        <w:rPr>
          <w:rFonts w:ascii="Arial" w:cs="Arial" w:hAnsi="Arial"/>
        </w:rPr>
        <w:t>s</w:t>
      </w:r>
      <w:r w:rsidR="007A6E25" w:rsidRPr="0064423E">
        <w:rPr>
          <w:rFonts w:ascii="Arial" w:cs="Arial" w:hAnsi="Arial"/>
        </w:rPr>
        <w:t>ubphenotype</w:t>
      </w:r>
      <w:r w:rsidR="002C14A1" w:rsidRPr="0064423E">
        <w:rPr>
          <w:rFonts w:ascii="Arial" w:cs="Arial" w:hAnsi="Arial"/>
        </w:rPr>
        <w:t xml:space="preserve"> or classified as one of the other </w:t>
      </w:r>
      <w:r w:rsidR="00517343" w:rsidRPr="0064423E">
        <w:rPr>
          <w:rFonts w:ascii="Arial" w:cs="Arial" w:hAnsi="Arial"/>
        </w:rPr>
        <w:t>s</w:t>
      </w:r>
      <w:r w:rsidR="007A6E25" w:rsidRPr="0064423E">
        <w:rPr>
          <w:rFonts w:ascii="Arial" w:cs="Arial" w:hAnsi="Arial"/>
        </w:rPr>
        <w:t>ubphenotype</w:t>
      </w:r>
      <w:r w:rsidR="002C14A1" w:rsidRPr="0064423E">
        <w:rPr>
          <w:rFonts w:ascii="Arial" w:cs="Arial" w:hAnsi="Arial"/>
        </w:rPr>
        <w:t xml:space="preserve">s with the probability depending on the frequency of that </w:t>
      </w:r>
      <w:r w:rsidR="00806FC9" w:rsidRPr="0064423E">
        <w:rPr>
          <w:rFonts w:ascii="Arial" w:cs="Arial" w:hAnsi="Arial"/>
        </w:rPr>
        <w:t>s</w:t>
      </w:r>
      <w:r w:rsidR="007A6E25" w:rsidRPr="0064423E">
        <w:rPr>
          <w:rFonts w:ascii="Arial" w:cs="Arial" w:hAnsi="Arial"/>
        </w:rPr>
        <w:t>ubphenotype</w:t>
      </w:r>
      <w:r w:rsidR="002C14A1" w:rsidRPr="0064423E">
        <w:rPr>
          <w:rFonts w:ascii="Arial" w:cs="Arial" w:hAnsi="Arial"/>
        </w:rPr>
        <w:t xml:space="preserve">. This is a </w:t>
      </w:r>
      <w:r w:rsidR="00872176" w:rsidRPr="0064423E">
        <w:rPr>
          <w:rFonts w:ascii="Arial" w:cs="Arial" w:hAnsi="Arial"/>
        </w:rPr>
        <w:t>simplification;</w:t>
      </w:r>
      <w:r w:rsidR="002C14A1" w:rsidRPr="0064423E">
        <w:rPr>
          <w:rFonts w:ascii="Arial" w:cs="Arial" w:hAnsi="Arial"/>
        </w:rPr>
        <w:t xml:space="preserve"> it is highly likely that some tests will</w:t>
      </w:r>
      <w:r w:rsidR="00FF3395" w:rsidRPr="0064423E">
        <w:rPr>
          <w:rFonts w:ascii="Arial" w:cs="Arial" w:hAnsi="Arial"/>
        </w:rPr>
        <w:t xml:space="preserve"> specifically misclassify patients to certain </w:t>
      </w:r>
      <w:r w:rsidR="007A6E25" w:rsidRPr="0064423E">
        <w:rPr>
          <w:rFonts w:ascii="Arial" w:cs="Arial" w:hAnsi="Arial"/>
        </w:rPr>
        <w:t>Subphenotype</w:t>
      </w:r>
      <w:r w:rsidR="00FF3395" w:rsidRPr="0064423E">
        <w:rPr>
          <w:rFonts w:ascii="Arial" w:cs="Arial" w:hAnsi="Arial"/>
        </w:rPr>
        <w:t xml:space="preserve">s. However, this will not fundamentally change the logic of inaccurate </w:t>
      </w:r>
      <w:r w:rsidR="00922D3A" w:rsidRPr="0064423E">
        <w:rPr>
          <w:rFonts w:ascii="Arial" w:cs="Arial" w:hAnsi="Arial"/>
        </w:rPr>
        <w:t>tests but</w:t>
      </w:r>
      <w:r w:rsidR="00FF3395" w:rsidRPr="0064423E">
        <w:rPr>
          <w:rFonts w:ascii="Arial" w:cs="Arial" w:hAnsi="Arial"/>
        </w:rPr>
        <w:t xml:space="preserve"> has the potential to lead to even more non-intuitive results</w:t>
      </w:r>
      <w:r w:rsidR="00E73D80" w:rsidRPr="0064423E">
        <w:rPr>
          <w:rFonts w:ascii="Arial" w:cs="Arial" w:hAnsi="Arial"/>
        </w:rPr>
        <w:t>, if for example, misclassification swings a participant from a group with high likelihood of benefit to high likelihood of harm with a treatment.</w:t>
      </w:r>
      <w:r w:rsidR="00FF3395" w:rsidRPr="0064423E">
        <w:rPr>
          <w:rFonts w:ascii="Arial" w:cs="Arial" w:hAnsi="Arial"/>
        </w:rPr>
        <w:t xml:space="preserve"> </w:t>
      </w:r>
    </w:p>
    <w:p ns2:paraId="3016E520" ns2:textId="7924B660" w:rsidP="00F97C73" w:rsidR="006D26CA" w:rsidRDefault="00AD47BF" w:rsidRPr="0064423E">
      <w:pPr>
        <w:rPr>
          <w:rFonts w:ascii="Arial" w:cs="Arial" w:hAnsi="Arial"/>
        </w:rPr>
      </w:pPr>
      <w:r w:rsidRPr="0064423E">
        <w:rPr>
          <w:rFonts w:ascii="Arial" w:cs="Arial" w:hAnsi="Arial"/>
        </w:rPr>
        <w:t>For both Aim 1 and Aim 3 we implemented a closed-form solution for</w:t>
      </w:r>
      <w:r w:rsidR="00824112" w:rsidRPr="0064423E">
        <w:rPr>
          <w:rFonts w:ascii="Arial" w:cs="Arial" w:hAnsi="Arial"/>
        </w:rPr>
        <w:t xml:space="preserve"> computational </w:t>
      </w:r>
      <w:r w:rsidR="009C55AB" w:rsidRPr="0064423E">
        <w:rPr>
          <w:rFonts w:ascii="Arial" w:cs="Arial" w:hAnsi="Arial"/>
        </w:rPr>
        <w:t>efficiency</w:t>
      </w:r>
      <w:r w:rsidRPr="0064423E">
        <w:rPr>
          <w:rFonts w:ascii="Arial" w:cs="Arial" w:hAnsi="Arial"/>
        </w:rPr>
        <w:t xml:space="preserve">. When performing simulation </w:t>
      </w:r>
      <w:r w:rsidR="00246EF0" w:rsidRPr="0064423E">
        <w:rPr>
          <w:rFonts w:ascii="Arial" w:cs="Arial" w:hAnsi="Arial"/>
        </w:rPr>
        <w:t xml:space="preserve">to confirm these results, we identified very small differences between closed-form and simulated results, </w:t>
      </w:r>
      <w:r w:rsidR="00E315D2" w:rsidRPr="0064423E">
        <w:rPr>
          <w:rFonts w:ascii="Arial" w:cs="Arial" w:hAnsi="Arial"/>
        </w:rPr>
        <w:t>particularly</w:t>
      </w:r>
      <w:r w:rsidR="00246EF0" w:rsidRPr="0064423E">
        <w:rPr>
          <w:rFonts w:ascii="Arial" w:cs="Arial" w:hAnsi="Arial"/>
        </w:rPr>
        <w:t xml:space="preserve"> when event rates were low as the closed-form can break down. However, these </w:t>
      </w:r>
      <w:r w:rsidR="00E315D2" w:rsidRPr="0064423E">
        <w:rPr>
          <w:rFonts w:ascii="Arial" w:cs="Arial" w:hAnsi="Arial"/>
        </w:rPr>
        <w:t>differences were small (&lt;1% difference in estimated power generally)</w:t>
      </w:r>
      <w:r w:rsidR="00824112" w:rsidRPr="0064423E">
        <w:rPr>
          <w:rFonts w:ascii="Arial" w:cs="Arial" w:hAnsi="Arial"/>
        </w:rPr>
        <w:t xml:space="preserve"> and do not affect the findings of the paper.</w:t>
      </w:r>
      <w:r w:rsidR="009C55AB" w:rsidRPr="0064423E">
        <w:rPr>
          <w:rFonts w:ascii="Arial" w:cs="Arial" w:hAnsi="Arial"/>
        </w:rPr>
        <w:t xml:space="preserve"> </w:t>
      </w:r>
    </w:p>
    <w:p ns2:paraId="51BD45C7" ns2:textId="5E9676A3" w:rsidP="00F97C73" w:rsidR="00F61B07" w:rsidRDefault="00F61B07" w:rsidRPr="0064423E">
      <w:pPr>
        <w:rPr>
          <w:rFonts w:ascii="Arial" w:cs="Arial" w:hAnsi="Arial"/>
          <w:i/>
          <w:iCs/>
        </w:rPr>
      </w:pPr>
      <w:r w:rsidRPr="0064423E">
        <w:rPr>
          <w:rFonts w:ascii="Arial" w:cs="Arial" w:hAnsi="Arial"/>
          <w:i/>
          <w:iCs/>
        </w:rPr>
        <w:t>C</w:t>
      </w:r>
      <w:r w:rsidR="00EE746E" w:rsidRPr="0064423E">
        <w:rPr>
          <w:rFonts w:ascii="Arial" w:cs="Arial" w:hAnsi="Arial"/>
          <w:i/>
          <w:iCs/>
        </w:rPr>
        <w:t>onclusion</w:t>
      </w:r>
    </w:p>
    <w:p ns2:paraId="65D13FD2" ns2:textId="05C5D218" w:rsidP="00F97C73" w:rsidR="00EE746E" w:rsidRDefault="00EE746E" w:rsidRPr="0064423E">
      <w:pPr>
        <w:rPr>
          <w:rFonts w:ascii="Arial" w:cs="Arial" w:hAnsi="Arial"/>
        </w:rPr>
      </w:pPr>
      <w:r w:rsidRPr="0064423E">
        <w:rPr>
          <w:rFonts w:ascii="Arial" w:cs="Arial" w:hAnsi="Arial"/>
        </w:rPr>
        <w:t xml:space="preserve">Identifying subphenotypes </w:t>
      </w:r>
      <w:r w:rsidR="006D26CA" w:rsidRPr="0064423E">
        <w:rPr>
          <w:rFonts w:ascii="Arial" w:cs="Arial" w:hAnsi="Arial"/>
        </w:rPr>
        <w:t xml:space="preserve">in SAB represents a potential large advance in management of this serious infection. However, </w:t>
      </w:r>
      <w:r w:rsidR="00E73D80" w:rsidRPr="0064423E">
        <w:rPr>
          <w:rFonts w:ascii="Arial" w:cs="Arial" w:hAnsi="Arial"/>
        </w:rPr>
        <w:t xml:space="preserve">realistic sample sizes are extremely high (&gt;20,000 for most plausible effect sizes) and require extremely accurate tests. Researchers should continue to strive for large trials in this common condition while </w:t>
      </w:r>
      <w:r w:rsidR="00F21C01" w:rsidRPr="0064423E">
        <w:rPr>
          <w:rFonts w:ascii="Arial" w:cs="Arial" w:hAnsi="Arial"/>
        </w:rPr>
        <w:t>developing accurate tests for subphenotypes</w:t>
      </w:r>
      <w:r w:rsidR="008E49BE" w:rsidRPr="0064423E">
        <w:rPr>
          <w:rFonts w:ascii="Arial" w:cs="Arial" w:hAnsi="Arial"/>
        </w:rPr>
        <w:t>, and focus identification of HTE only on common, high event, high effect subphenotypes at present.</w:t>
      </w:r>
    </w:p>
    <w:p ns2:paraId="35B5E94B" ns2:textId="77777777" w:rsidP="00F97C73" w:rsidR="00F61B07" w:rsidRDefault="00F61B07" w:rsidRPr="0064423E">
      <w:pPr>
        <w:rPr>
          <w:rFonts w:ascii="Arial" w:cs="Arial" w:hAnsi="Arial"/>
        </w:rPr>
      </w:pPr>
    </w:p>
    <w:p ns2:paraId="35FF65A2" ns2:textId="77777777" w:rsidP="00F97C73" w:rsidR="00F61B07" w:rsidRDefault="00F61B07" w:rsidRPr="0064423E">
      <w:pPr>
        <w:rPr>
          <w:rFonts w:ascii="Arial" w:cs="Arial" w:hAnsi="Arial"/>
        </w:rPr>
      </w:pPr>
    </w:p>
    <w:p ns2:paraId="6CD7405F" ns2:textId="77777777" w:rsidP="00F97C73" w:rsidR="001A20FA" w:rsidRDefault="001A20FA" w:rsidRPr="0064423E">
      <w:pPr>
        <w:rPr>
          <w:rFonts w:ascii="Arial" w:cs="Arial" w:hAnsi="Arial"/>
        </w:rPr>
      </w:pPr>
    </w:p>
    <w:sectPr w:rsidR="001A20FA" w:rsidRPr="0064423E" w:rsidSect="005E1B7C">
      <w:pgSz w:h="16838" w:w="11906"/>
      <w:pgMar w:bottom="1440" w:footer="708" w:gutter="0" w:header="708" w:left="1440" w:right="1440" w:top="144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rgus Hamilton" w:date="2026-03-03T14:56:00Z" w:initials="FH">
    <w:p w14:paraId="7D692E2B" w14:textId="6D48973D" w:rsidR="0032686A" w:rsidRDefault="0032686A">
      <w:pPr>
        <w:pStyle w:val="CommentText"/>
      </w:pPr>
      <w:r>
        <w:rPr>
          <w:rStyle w:val="CommentReference"/>
        </w:rPr>
        <w:annotationRef/>
      </w:r>
      <w:r>
        <w:t>This needs to be correct!</w:t>
      </w:r>
    </w:p>
  </w:comment>
  <w:comment w:id="1" w:author="Clark Russell (NHS Lothian)" w:date="2026-01-19T15:50:00Z" w:initials="CR(L">
    <w:p w14:paraId="5C0E221C" w14:textId="690724B0" w:rsidR="00BA0BC7" w:rsidRDefault="00BA0BC7" w:rsidP="00BA0BC7">
      <w:r>
        <w:rPr>
          <w:rStyle w:val="CommentReference"/>
        </w:rPr>
        <w:annotationRef/>
      </w:r>
      <w:r>
        <w:rPr>
          <w:sz w:val="20"/>
          <w:szCs w:val="20"/>
        </w:rPr>
        <w:t>Same comment as before, can you state what box/lines etc represent</w:t>
      </w:r>
    </w:p>
  </w:comment>
  <w:comment w:id="2" w:author="Clark Russell (NHS Lothian)" w:date="2026-01-19T15:49:00Z" w:initials="CR(L">
    <w:p w14:paraId="5ADB8DF5" w14:textId="77777777" w:rsidR="00BA0BC7" w:rsidRDefault="00BA0BC7" w:rsidP="00BA0BC7">
      <w:r>
        <w:rPr>
          <w:rStyle w:val="CommentReference"/>
        </w:rPr>
        <w:annotationRef/>
      </w:r>
      <w:r>
        <w:rPr>
          <w:sz w:val="20"/>
          <w:szCs w:val="20"/>
        </w:rPr>
        <w:t>OR for what? mortality if randomised to rif?</w:t>
      </w:r>
    </w:p>
  </w:comment>
  <w:comment w:id="3" w:author="Clark Russell (NHS Lothian)" w:date="2026-01-19T15:46:00Z" w:initials="CR(L">
    <w:p w14:paraId="5E2DF96E" w14:textId="77777777" w:rsidR="00414F3B" w:rsidRDefault="00414F3B" w:rsidP="00414F3B">
      <w:r>
        <w:rPr>
          <w:rStyle w:val="CommentReference"/>
        </w:rPr>
        <w:annotationRef/>
      </w:r>
      <w:r>
        <w:rPr>
          <w:sz w:val="20"/>
          <w:szCs w:val="20"/>
        </w:rPr>
        <w:t>For box plots, suggest stating what lines and bars represent.</w:t>
      </w:r>
    </w:p>
    <w:p w14:paraId="24C6CABA" w14:textId="77777777" w:rsidR="00414F3B" w:rsidRDefault="00414F3B" w:rsidP="00414F3B"/>
    <w:p w14:paraId="795C0C45" w14:textId="77777777" w:rsidR="00414F3B" w:rsidRDefault="00414F3B" w:rsidP="00414F3B">
      <w:r>
        <w:rPr>
          <w:sz w:val="20"/>
          <w:szCs w:val="20"/>
        </w:rPr>
        <w:t>Abbreviations for cohort names:</w:t>
      </w:r>
    </w:p>
    <w:p w14:paraId="5B4FB6F0" w14:textId="77777777" w:rsidR="00414F3B" w:rsidRDefault="00414F3B" w:rsidP="00414F3B">
      <w:r>
        <w:rPr>
          <w:sz w:val="20"/>
          <w:szCs w:val="20"/>
        </w:rPr>
        <w:t>SABG-PCS, Staphylococcus aureus Bacteremia Group Prospective Cohort Study</w:t>
      </w:r>
    </w:p>
    <w:p w14:paraId="1C2A0967" w14:textId="77777777" w:rsidR="00414F3B" w:rsidRDefault="00414F3B" w:rsidP="00414F3B">
      <w:r>
        <w:rPr>
          <w:sz w:val="20"/>
          <w:szCs w:val="20"/>
        </w:rPr>
        <w:t xml:space="preserve">IDISA, Improved Diagnostic Strategies in Staphylococcus aureus bacteremia study </w:t>
      </w:r>
    </w:p>
  </w:comment>
  <w:comment w:id="4" w:author="Clark Russell (NHS Lothian)" w:date="2026-01-19T15:47:00Z" w:initials="CR(L">
    <w:p w14:paraId="13B783B2" w14:textId="77777777" w:rsidR="00414F3B" w:rsidRDefault="00414F3B" w:rsidP="00BA0BC7">
      <w:r>
        <w:rPr>
          <w:rStyle w:val="CommentReference"/>
        </w:rPr>
        <w:annotationRef/>
      </w:r>
      <w:r>
        <w:rPr>
          <w:sz w:val="20"/>
          <w:szCs w:val="20"/>
        </w:rPr>
        <w:t>This is not consistent with our study - subphenotype E had LOWEST mortality in these cohorts. What am I missing?</w:t>
      </w:r>
    </w:p>
  </w:comment>
  <w:comment w:id="5" w:author="Jonathan Underwood" w:date="2026-01-09T11:53:00Z" w:initials="JU">
    <w:p w14:paraId="0243FDE3" w14:textId="77777777" w:rsidR="00414F3B" w:rsidRDefault="00414F3B" w:rsidP="00670B99">
      <w:r>
        <w:rPr>
          <w:rStyle w:val="CommentReference"/>
        </w:rPr>
        <w:annotationRef/>
      </w:r>
      <w:r>
        <w:rPr>
          <w:sz w:val="20"/>
          <w:szCs w:val="20"/>
        </w:rPr>
        <w:t xml:space="preserve">I think the underlying assumptions here aren't right. OR 1.0 = no effect so sample size calculation is irrelevant. </w:t>
      </w:r>
    </w:p>
  </w:comment>
  <w:comment w:id="7" w:author="Clark Russell (NHS Lothian)" w:date="2026-01-19T14:54:00Z" w:initials="CR(L">
    <w:p w14:paraId="2338D437" w14:textId="77777777" w:rsidR="00FC7A1F" w:rsidRDefault="00FC7A1F" w:rsidP="00FC7A1F">
      <w:r>
        <w:rPr>
          <w:rStyle w:val="CommentReference"/>
        </w:rPr>
        <w:annotationRef/>
      </w:r>
      <w:r>
        <w:rPr>
          <w:sz w:val="20"/>
          <w:szCs w:val="20"/>
        </w:rPr>
        <w:t>Yes high baseline risk; but not common relative to A/B/C.</w:t>
      </w:r>
    </w:p>
  </w:comment>
  <w:comment w:id="8" w:author="Jonathan Underwood" w:date="2026-01-09T12:03:00Z" w:initials="JU">
    <w:p w14:paraId="10D551C3" w14:textId="77777777" w:rsidR="00DA6896" w:rsidRDefault="00DA6896" w:rsidP="00DA6896">
      <w:r>
        <w:rPr>
          <w:rStyle w:val="CommentReference"/>
        </w:rPr>
        <w:annotationRef/>
      </w:r>
      <w:r>
        <w:rPr>
          <w:sz w:val="20"/>
          <w:szCs w:val="20"/>
        </w:rPr>
        <w:t>Was baselin risk much higher in this subphenotype???</w:t>
      </w:r>
    </w:p>
    <w:p w14:paraId="62AE6C32" w14:textId="77777777" w:rsidR="00DA6896" w:rsidRDefault="00DA6896" w:rsidP="00DA6896"/>
    <w:p w14:paraId="7E471847" w14:textId="77777777" w:rsidR="00DA6896" w:rsidRDefault="00DA6896" w:rsidP="00DA6896">
      <w:r>
        <w:rPr>
          <w:sz w:val="20"/>
          <w:szCs w:val="20"/>
        </w:rPr>
        <w:t>Overall mortality was 18% in D vs 22% in A in ARREST</w:t>
      </w:r>
    </w:p>
  </w:comment>
  <w:comment w:id="9" w:author="Sean Ong" w:date="2026-01-23T11:46:00Z" w:initials="SO">
    <w:p w14:paraId="2DD63D5D" w14:textId="77777777" w:rsidR="002D758B" w:rsidRDefault="002D758B" w:rsidP="002D758B">
      <w:pPr>
        <w:pStyle w:val="CommentText"/>
      </w:pPr>
      <w:r>
        <w:rPr>
          <w:rStyle w:val="CommentReference"/>
        </w:rPr>
        <w:annotationRef/>
      </w:r>
      <w:r>
        <w:rPr>
          <w:lang w:val="en-SG"/>
        </w:rPr>
        <w:t>I would emphasize this more over point 2 – as mentioned in an above comment. And expand upon it a lot more: both improving trial design (international collaborative networks, Bayesian platform design) and outcome selection (ordinal outcomes, repeated measures)</w:t>
      </w:r>
    </w:p>
  </w:comment>
  <w:comment w:id="10" w:author="Sean Ong" w:date="2026-01-23T11:45:00Z" w:initials="SO">
    <w:p w14:paraId="1F5C8F6A" w14:textId="77777777" w:rsidR="002D758B" w:rsidRDefault="002D758B" w:rsidP="002D758B">
      <w:pPr>
        <w:pStyle w:val="CommentText"/>
      </w:pPr>
      <w:r>
        <w:rPr>
          <w:rStyle w:val="CommentReference"/>
        </w:rPr>
        <w:annotationRef/>
      </w:r>
      <w:r>
        <w:rPr>
          <w:lang w:val="en-SG"/>
        </w:rPr>
        <w:t>Or ordinal</w:t>
      </w:r>
    </w:p>
  </w:comment>
  <w:comment w:id="11" w:author="Jonathan Underwood" w:date="2026-01-09T12:04:00Z" w:initials="JU">
    <w:p w14:paraId="59FFE20B" w14:textId="77777777" w:rsidR="005B6181" w:rsidRDefault="005B6181" w:rsidP="005B6181">
      <w:r>
        <w:rPr>
          <w:rStyle w:val="CommentReference"/>
        </w:rPr>
        <w:annotationRef/>
      </w:r>
      <w:r>
        <w:rPr>
          <w:sz w:val="20"/>
          <w:szCs w:val="20"/>
        </w:rPr>
        <w:t>This is interesting. The Oxford guys really think the frequentist approach to trial design remains simpler and better. Certainly makes results easier to communicate and makes you recruit lots of people</w:t>
      </w:r>
    </w:p>
  </w:comment>
  <w:comment w:id="12" w:author="maaike swets" w:date="2026-01-16T15:39:00Z" w:initials="ms">
    <w:p w14:paraId="045FC33C" w14:textId="77777777" w:rsidR="00E33582" w:rsidRDefault="00E33582" w:rsidP="00E33582">
      <w:r>
        <w:rPr>
          <w:rStyle w:val="CommentReference"/>
        </w:rPr>
        <w:annotationRef/>
      </w:r>
      <w:r>
        <w:rPr>
          <w:sz w:val="20"/>
          <w:szCs w:val="20"/>
        </w:rPr>
        <w:t>i think this is very important, as I agree we don't have a gold standard or definite way to determine class membership other than clinical characteristics now</w:t>
      </w:r>
    </w:p>
  </w:comment>
  <w:comment w:id="13" w:author="Clark Russell (NHS Lothian)" w:date="2026-01-19T16:02:00Z" w:initials="CR(L">
    <w:p w14:paraId="3EF97C66" w14:textId="77777777" w:rsidR="0069152E" w:rsidRDefault="0069152E" w:rsidP="0069152E">
      <w:r>
        <w:rPr>
          <w:rStyle w:val="CommentReference"/>
        </w:rPr>
        <w:annotationRef/>
      </w:r>
      <w:r>
        <w:rPr>
          <w:sz w:val="20"/>
          <w:szCs w:val="20"/>
        </w:rPr>
        <w:t>I am less sure this is a big limitation (i.e. the included cohorts are not representative of SAB). I think the main problem with our prior work is use of a single clustering approach (LCA)?</w:t>
      </w:r>
    </w:p>
    <w:p w14:paraId="571F087F" w14:textId="77777777" w:rsidR="0069152E" w:rsidRPr="002D758B" w:rsidRDefault="0069152E" w:rsidP="0069152E">
      <w:pPr>
        <w:rPr>
          <w:lang w:val="en-SG"/>
        </w:rPr>
      </w:pPr>
    </w:p>
  </w:comment>
  <w:comment w:id="14" w:author="Clark Russell (NHS Lothian)" w:date="2026-01-19T16:04:00Z" w:initials="CR(L">
    <w:p w14:paraId="06E3291F" w14:textId="77777777" w:rsidR="0069152E" w:rsidRDefault="0069152E" w:rsidP="0069152E">
      <w:r>
        <w:rPr>
          <w:rStyle w:val="CommentReference"/>
        </w:rPr>
        <w:annotationRef/>
      </w:r>
      <w:r>
        <w:rPr>
          <w:sz w:val="20"/>
          <w:szCs w:val="20"/>
        </w:rPr>
        <w:t>I think this sentence belongs to previous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692E2B" w15:done="0"/>
  <w15:commentEx w15:paraId="5C0E221C" w15:done="0"/>
  <w15:commentEx w15:paraId="5ADB8DF5" w15:done="0"/>
  <w15:commentEx w15:paraId="1C2A0967" w15:done="0"/>
  <w15:commentEx w15:paraId="13B783B2" w15:done="0"/>
  <w15:commentEx w15:paraId="0243FDE3" w15:done="0"/>
  <w15:commentEx w15:paraId="2338D437" w15:done="0"/>
  <w15:commentEx w15:paraId="7E471847" w15:done="0"/>
  <w15:commentEx w15:paraId="2DD63D5D" w15:done="0"/>
  <w15:commentEx w15:paraId="1F5C8F6A" w15:done="0"/>
  <w15:commentEx w15:paraId="59FFE20B" w15:done="0"/>
  <w15:commentEx w15:paraId="045FC33C" w15:done="0"/>
  <w15:commentEx w15:paraId="571F087F" w15:done="0"/>
  <w15:commentEx w15:paraId="06E329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C14B86" w16cex:dateUtc="2026-03-03T14:56:00Z"/>
  <w16cex:commentExtensible w16cex:durableId="0A436330" w16cex:dateUtc="2026-01-19T15:50:00Z"/>
  <w16cex:commentExtensible w16cex:durableId="5B861D86" w16cex:dateUtc="2026-01-19T15:49:00Z"/>
  <w16cex:commentExtensible w16cex:durableId="114BA5F0" w16cex:dateUtc="2026-01-19T15:46:00Z"/>
  <w16cex:commentExtensible w16cex:durableId="200E1D10" w16cex:dateUtc="2026-01-19T15:47:00Z"/>
  <w16cex:commentExtensible w16cex:durableId="69148DAC" w16cex:dateUtc="2026-01-09T11:53:00Z"/>
  <w16cex:commentExtensible w16cex:durableId="5E13C847" w16cex:dateUtc="2026-01-19T14:54:00Z"/>
  <w16cex:commentExtensible w16cex:durableId="3F2AFF01" w16cex:dateUtc="2026-01-09T12:03:00Z"/>
  <w16cex:commentExtensible w16cex:durableId="6190719B" w16cex:dateUtc="2026-01-23T00:46:00Z"/>
  <w16cex:commentExtensible w16cex:durableId="210294B8" w16cex:dateUtc="2026-01-23T00:45:00Z"/>
  <w16cex:commentExtensible w16cex:durableId="525E094A" w16cex:dateUtc="2026-01-09T12:04:00Z"/>
  <w16cex:commentExtensible w16cex:durableId="0E3FA137" w16cex:dateUtc="2026-01-16T14:39:00Z"/>
  <w16cex:commentExtensible w16cex:durableId="53ECD74B" w16cex:dateUtc="2026-01-19T16:02:00Z"/>
  <w16cex:commentExtensible w16cex:durableId="57A1F4CD" w16cex:dateUtc="2026-01-19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692E2B" w16cid:durableId="71C14B86"/>
  <w16cid:commentId w16cid:paraId="5C0E221C" w16cid:durableId="0A436330"/>
  <w16cid:commentId w16cid:paraId="5ADB8DF5" w16cid:durableId="5B861D86"/>
  <w16cid:commentId w16cid:paraId="1C2A0967" w16cid:durableId="114BA5F0"/>
  <w16cid:commentId w16cid:paraId="13B783B2" w16cid:durableId="200E1D10"/>
  <w16cid:commentId w16cid:paraId="0243FDE3" w16cid:durableId="69148DAC"/>
  <w16cid:commentId w16cid:paraId="2338D437" w16cid:durableId="5E13C847"/>
  <w16cid:commentId w16cid:paraId="7E471847" w16cid:durableId="3F2AFF01"/>
  <w16cid:commentId w16cid:paraId="2DD63D5D" w16cid:durableId="6190719B"/>
  <w16cid:commentId w16cid:paraId="1F5C8F6A" w16cid:durableId="210294B8"/>
  <w16cid:commentId w16cid:paraId="59FFE20B" w16cid:durableId="525E094A"/>
  <w16cid:commentId w16cid:paraId="045FC33C" w16cid:durableId="0E3FA137"/>
  <w16cid:commentId w16cid:paraId="571F087F" w16cid:durableId="53ECD74B"/>
  <w16cid:commentId w16cid:paraId="06E3291F" w16cid:durableId="57A1F4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74"/>
    <w:multiLevelType w:val="hybridMultilevel"/>
    <w:tmpl w:val="FE06C4EE"/>
    <w:lvl w:ilvl="0" w:tplc="1B40E0A6">
      <w:start w:val="1"/>
      <w:numFmt w:val="lowerRoman"/>
      <w:lvlText w:val="%1)"/>
      <w:lvlJc w:val="left"/>
      <w:pPr>
        <w:ind w:left="760" w:hanging="720"/>
      </w:pPr>
      <w:rPr>
        <w:rFonts w:hint="default"/>
      </w:rPr>
    </w:lvl>
    <w:lvl w:ilvl="1" w:tplc="08090019" w:tentative="1">
      <w:start w:val="1"/>
      <w:numFmt w:val="lowerLetter"/>
      <w:lvlText w:val="%2."/>
      <w:lvlJc w:val="left"/>
      <w:pPr>
        <w:ind w:left="1120" w:hanging="360"/>
      </w:pPr>
    </w:lvl>
    <w:lvl w:ilvl="2" w:tplc="0809001B" w:tentative="1">
      <w:start w:val="1"/>
      <w:numFmt w:val="lowerRoman"/>
      <w:lvlText w:val="%3."/>
      <w:lvlJc w:val="right"/>
      <w:pPr>
        <w:ind w:left="1840" w:hanging="180"/>
      </w:pPr>
    </w:lvl>
    <w:lvl w:ilvl="3" w:tplc="0809000F" w:tentative="1">
      <w:start w:val="1"/>
      <w:numFmt w:val="decimal"/>
      <w:lvlText w:val="%4."/>
      <w:lvlJc w:val="left"/>
      <w:pPr>
        <w:ind w:left="2560" w:hanging="360"/>
      </w:pPr>
    </w:lvl>
    <w:lvl w:ilvl="4" w:tplc="08090019" w:tentative="1">
      <w:start w:val="1"/>
      <w:numFmt w:val="lowerLetter"/>
      <w:lvlText w:val="%5."/>
      <w:lvlJc w:val="left"/>
      <w:pPr>
        <w:ind w:left="3280" w:hanging="360"/>
      </w:pPr>
    </w:lvl>
    <w:lvl w:ilvl="5" w:tplc="0809001B" w:tentative="1">
      <w:start w:val="1"/>
      <w:numFmt w:val="lowerRoman"/>
      <w:lvlText w:val="%6."/>
      <w:lvlJc w:val="right"/>
      <w:pPr>
        <w:ind w:left="4000" w:hanging="180"/>
      </w:pPr>
    </w:lvl>
    <w:lvl w:ilvl="6" w:tplc="0809000F" w:tentative="1">
      <w:start w:val="1"/>
      <w:numFmt w:val="decimal"/>
      <w:lvlText w:val="%7."/>
      <w:lvlJc w:val="left"/>
      <w:pPr>
        <w:ind w:left="4720" w:hanging="360"/>
      </w:pPr>
    </w:lvl>
    <w:lvl w:ilvl="7" w:tplc="08090019" w:tentative="1">
      <w:start w:val="1"/>
      <w:numFmt w:val="lowerLetter"/>
      <w:lvlText w:val="%8."/>
      <w:lvlJc w:val="left"/>
      <w:pPr>
        <w:ind w:left="5440" w:hanging="360"/>
      </w:pPr>
    </w:lvl>
    <w:lvl w:ilvl="8" w:tplc="0809001B" w:tentative="1">
      <w:start w:val="1"/>
      <w:numFmt w:val="lowerRoman"/>
      <w:lvlText w:val="%9."/>
      <w:lvlJc w:val="right"/>
      <w:pPr>
        <w:ind w:left="6160" w:hanging="180"/>
      </w:pPr>
    </w:lvl>
  </w:abstractNum>
  <w:abstractNum w:abstractNumId="1" w15:restartNumberingAfterBreak="0">
    <w:nsid w:val="0B60151C"/>
    <w:multiLevelType w:val="multilevel"/>
    <w:tmpl w:val="2134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2F26"/>
    <w:multiLevelType w:val="multilevel"/>
    <w:tmpl w:val="F8A6B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187A8B"/>
    <w:multiLevelType w:val="multilevel"/>
    <w:tmpl w:val="03FE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977B3"/>
    <w:multiLevelType w:val="hybridMultilevel"/>
    <w:tmpl w:val="C5640F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69128C"/>
    <w:multiLevelType w:val="hybridMultilevel"/>
    <w:tmpl w:val="EEE2F0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8F624A"/>
    <w:multiLevelType w:val="multilevel"/>
    <w:tmpl w:val="DCDA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2603A9"/>
    <w:multiLevelType w:val="multilevel"/>
    <w:tmpl w:val="3AB6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F93A72"/>
    <w:multiLevelType w:val="hybridMultilevel"/>
    <w:tmpl w:val="4C6413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8603FE7"/>
    <w:multiLevelType w:val="multilevel"/>
    <w:tmpl w:val="1D5A65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80" w:hanging="38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1143C"/>
    <w:multiLevelType w:val="multilevel"/>
    <w:tmpl w:val="E616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306802">
    <w:abstractNumId w:val="0"/>
  </w:num>
  <w:num w:numId="2" w16cid:durableId="470679778">
    <w:abstractNumId w:val="6"/>
    <w:lvlOverride w:ilvl="0">
      <w:startOverride w:val="1"/>
    </w:lvlOverride>
  </w:num>
  <w:num w:numId="3" w16cid:durableId="1252356863">
    <w:abstractNumId w:val="2"/>
    <w:lvlOverride w:ilvl="0">
      <w:startOverride w:val="2"/>
    </w:lvlOverride>
  </w:num>
  <w:num w:numId="4" w16cid:durableId="1097142196">
    <w:abstractNumId w:val="7"/>
    <w:lvlOverride w:ilvl="0">
      <w:startOverride w:val="3"/>
    </w:lvlOverride>
  </w:num>
  <w:num w:numId="5" w16cid:durableId="1589535213">
    <w:abstractNumId w:val="3"/>
  </w:num>
  <w:num w:numId="6" w16cid:durableId="105542609">
    <w:abstractNumId w:val="10"/>
  </w:num>
  <w:num w:numId="7" w16cid:durableId="1591936520">
    <w:abstractNumId w:val="9"/>
  </w:num>
  <w:num w:numId="8" w16cid:durableId="386420532">
    <w:abstractNumId w:val="1"/>
  </w:num>
  <w:num w:numId="9" w16cid:durableId="1398675047">
    <w:abstractNumId w:val="8"/>
  </w:num>
  <w:num w:numId="10" w16cid:durableId="800079335">
    <w:abstractNumId w:val="5"/>
  </w:num>
  <w:num w:numId="11" w16cid:durableId="15684289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gus Hamilton">
    <w15:presenceInfo w15:providerId="AD" w15:userId="S::fh6520@bristol.ac.uk::c314611a-e028-4902-b5fd-6c230a0dacd1"/>
  </w15:person>
  <w15:person w15:author="Clark Russell (NHS Lothian)">
    <w15:presenceInfo w15:providerId="AD" w15:userId="S::clark.russell3@nhs.scot::7153c82e-16dd-417e-bd62-dfcc03a000b4"/>
  </w15:person>
  <w15:person w15:author="Jonathan Underwood">
    <w15:presenceInfo w15:providerId="AD" w15:userId="S::UnderwoodJ7@cardiff.ac.uk::a8975cc4-4b3b-4a72-b6fb-6e417387920a"/>
  </w15:person>
  <w15:person w15:author="Sean Ong">
    <w15:presenceInfo w15:providerId="Windows Live" w15:userId="766c24a459546954"/>
  </w15:person>
  <w15:person w15:author="maaike swets">
    <w15:presenceInfo w15:providerId="Windows Live" w15:userId="d179ff1a04e149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A9"/>
    <w:rsid w:val="0000011F"/>
    <w:rsid w:val="00000733"/>
    <w:rsid w:val="00006A49"/>
    <w:rsid w:val="0001125A"/>
    <w:rsid w:val="00012813"/>
    <w:rsid w:val="00031B91"/>
    <w:rsid w:val="00037A52"/>
    <w:rsid w:val="00041154"/>
    <w:rsid w:val="0004166E"/>
    <w:rsid w:val="00052872"/>
    <w:rsid w:val="00060E07"/>
    <w:rsid w:val="0006346C"/>
    <w:rsid w:val="00072040"/>
    <w:rsid w:val="00082D21"/>
    <w:rsid w:val="00082F22"/>
    <w:rsid w:val="00083A44"/>
    <w:rsid w:val="00086821"/>
    <w:rsid w:val="0009232F"/>
    <w:rsid w:val="000A3231"/>
    <w:rsid w:val="000A3DFF"/>
    <w:rsid w:val="000A6831"/>
    <w:rsid w:val="000A6B67"/>
    <w:rsid w:val="000A6FBF"/>
    <w:rsid w:val="000C408F"/>
    <w:rsid w:val="000C550F"/>
    <w:rsid w:val="000C58B5"/>
    <w:rsid w:val="000D0093"/>
    <w:rsid w:val="000D00D0"/>
    <w:rsid w:val="000D18AE"/>
    <w:rsid w:val="000D2B96"/>
    <w:rsid w:val="000D4D6F"/>
    <w:rsid w:val="000F0584"/>
    <w:rsid w:val="000F621A"/>
    <w:rsid w:val="00100ACB"/>
    <w:rsid w:val="00100C0D"/>
    <w:rsid w:val="0010496E"/>
    <w:rsid w:val="00105AE5"/>
    <w:rsid w:val="001066EE"/>
    <w:rsid w:val="00110809"/>
    <w:rsid w:val="00115E02"/>
    <w:rsid w:val="00121D97"/>
    <w:rsid w:val="00121E12"/>
    <w:rsid w:val="00122847"/>
    <w:rsid w:val="0013664C"/>
    <w:rsid w:val="00141153"/>
    <w:rsid w:val="001436E8"/>
    <w:rsid w:val="0014601C"/>
    <w:rsid w:val="00146BBD"/>
    <w:rsid w:val="001518CB"/>
    <w:rsid w:val="00151C11"/>
    <w:rsid w:val="0015766C"/>
    <w:rsid w:val="00160132"/>
    <w:rsid w:val="00172824"/>
    <w:rsid w:val="0017377D"/>
    <w:rsid w:val="00184F2A"/>
    <w:rsid w:val="0018540F"/>
    <w:rsid w:val="00185EE9"/>
    <w:rsid w:val="001869CB"/>
    <w:rsid w:val="001879A9"/>
    <w:rsid w:val="00195832"/>
    <w:rsid w:val="001A20FA"/>
    <w:rsid w:val="001B11EB"/>
    <w:rsid w:val="001C4E33"/>
    <w:rsid w:val="001C5A70"/>
    <w:rsid w:val="001C60F8"/>
    <w:rsid w:val="001C7B3C"/>
    <w:rsid w:val="001D0C1D"/>
    <w:rsid w:val="001D1AA0"/>
    <w:rsid w:val="001D2FD0"/>
    <w:rsid w:val="001D5A9F"/>
    <w:rsid w:val="001E4490"/>
    <w:rsid w:val="001E7F34"/>
    <w:rsid w:val="00202417"/>
    <w:rsid w:val="0021503E"/>
    <w:rsid w:val="00220C1B"/>
    <w:rsid w:val="00222E2F"/>
    <w:rsid w:val="00223951"/>
    <w:rsid w:val="002304BA"/>
    <w:rsid w:val="00231A98"/>
    <w:rsid w:val="00240679"/>
    <w:rsid w:val="00242BA4"/>
    <w:rsid w:val="00246EF0"/>
    <w:rsid w:val="002515A5"/>
    <w:rsid w:val="0025528E"/>
    <w:rsid w:val="00263784"/>
    <w:rsid w:val="00263950"/>
    <w:rsid w:val="00266A74"/>
    <w:rsid w:val="00280AEA"/>
    <w:rsid w:val="002873BE"/>
    <w:rsid w:val="002959C0"/>
    <w:rsid w:val="00295E3A"/>
    <w:rsid w:val="002A034B"/>
    <w:rsid w:val="002A7110"/>
    <w:rsid w:val="002B41D6"/>
    <w:rsid w:val="002B5EE4"/>
    <w:rsid w:val="002C1418"/>
    <w:rsid w:val="002C14A1"/>
    <w:rsid w:val="002C1796"/>
    <w:rsid w:val="002C3777"/>
    <w:rsid w:val="002D0F53"/>
    <w:rsid w:val="002D758B"/>
    <w:rsid w:val="002D7742"/>
    <w:rsid w:val="002E0276"/>
    <w:rsid w:val="002E07D3"/>
    <w:rsid w:val="002E0ECA"/>
    <w:rsid w:val="002E758D"/>
    <w:rsid w:val="003059CE"/>
    <w:rsid w:val="003062BA"/>
    <w:rsid w:val="00315A03"/>
    <w:rsid w:val="00321BBC"/>
    <w:rsid w:val="003258F4"/>
    <w:rsid w:val="0032686A"/>
    <w:rsid w:val="0033432B"/>
    <w:rsid w:val="00345411"/>
    <w:rsid w:val="00353C58"/>
    <w:rsid w:val="00360719"/>
    <w:rsid w:val="00360776"/>
    <w:rsid w:val="00360D88"/>
    <w:rsid w:val="00370314"/>
    <w:rsid w:val="00370CFB"/>
    <w:rsid w:val="00371F57"/>
    <w:rsid w:val="0037402F"/>
    <w:rsid w:val="00375D70"/>
    <w:rsid w:val="00380CBD"/>
    <w:rsid w:val="0038183F"/>
    <w:rsid w:val="00384765"/>
    <w:rsid w:val="00384C3C"/>
    <w:rsid w:val="00390687"/>
    <w:rsid w:val="00390A6C"/>
    <w:rsid w:val="003B22F2"/>
    <w:rsid w:val="003B4249"/>
    <w:rsid w:val="003C090E"/>
    <w:rsid w:val="003C2335"/>
    <w:rsid w:val="003C2CF4"/>
    <w:rsid w:val="003C2FB2"/>
    <w:rsid w:val="003C3EED"/>
    <w:rsid w:val="003C68E1"/>
    <w:rsid w:val="003D3263"/>
    <w:rsid w:val="003D4BDF"/>
    <w:rsid w:val="003E30ED"/>
    <w:rsid w:val="003E5223"/>
    <w:rsid w:val="00406CCD"/>
    <w:rsid w:val="0040708C"/>
    <w:rsid w:val="00414148"/>
    <w:rsid w:val="00414F3B"/>
    <w:rsid w:val="00423724"/>
    <w:rsid w:val="00424F6B"/>
    <w:rsid w:val="004309A6"/>
    <w:rsid w:val="00434B2B"/>
    <w:rsid w:val="00437CEF"/>
    <w:rsid w:val="00454789"/>
    <w:rsid w:val="00460A0A"/>
    <w:rsid w:val="00461C09"/>
    <w:rsid w:val="00467797"/>
    <w:rsid w:val="004707D5"/>
    <w:rsid w:val="00481F81"/>
    <w:rsid w:val="0048274D"/>
    <w:rsid w:val="00486643"/>
    <w:rsid w:val="004870A6"/>
    <w:rsid w:val="0049022F"/>
    <w:rsid w:val="00492318"/>
    <w:rsid w:val="004929DA"/>
    <w:rsid w:val="0049470B"/>
    <w:rsid w:val="004A2770"/>
    <w:rsid w:val="004A2A0A"/>
    <w:rsid w:val="004A413A"/>
    <w:rsid w:val="004B1764"/>
    <w:rsid w:val="004B5948"/>
    <w:rsid w:val="004B5F39"/>
    <w:rsid w:val="004B63E0"/>
    <w:rsid w:val="004B784B"/>
    <w:rsid w:val="004C221E"/>
    <w:rsid w:val="004C4CA5"/>
    <w:rsid w:val="004D1265"/>
    <w:rsid w:val="004D2482"/>
    <w:rsid w:val="004D25B7"/>
    <w:rsid w:val="004E034A"/>
    <w:rsid w:val="004E35F3"/>
    <w:rsid w:val="004E40B7"/>
    <w:rsid w:val="004E5C44"/>
    <w:rsid w:val="004F1145"/>
    <w:rsid w:val="005048FB"/>
    <w:rsid w:val="00506DD5"/>
    <w:rsid w:val="0051216A"/>
    <w:rsid w:val="00517343"/>
    <w:rsid w:val="00517CF6"/>
    <w:rsid w:val="0052155C"/>
    <w:rsid w:val="005261EB"/>
    <w:rsid w:val="00530742"/>
    <w:rsid w:val="00531F43"/>
    <w:rsid w:val="005322D1"/>
    <w:rsid w:val="00533127"/>
    <w:rsid w:val="005415C0"/>
    <w:rsid w:val="00541BA0"/>
    <w:rsid w:val="00546872"/>
    <w:rsid w:val="00555B79"/>
    <w:rsid w:val="00557F3B"/>
    <w:rsid w:val="00561512"/>
    <w:rsid w:val="005635EA"/>
    <w:rsid w:val="00563C0F"/>
    <w:rsid w:val="00574BF4"/>
    <w:rsid w:val="0057783F"/>
    <w:rsid w:val="00587552"/>
    <w:rsid w:val="005A3FAB"/>
    <w:rsid w:val="005A4B8B"/>
    <w:rsid w:val="005A4FDF"/>
    <w:rsid w:val="005A54BA"/>
    <w:rsid w:val="005B6181"/>
    <w:rsid w:val="005B6F1E"/>
    <w:rsid w:val="005C093F"/>
    <w:rsid w:val="005C6B77"/>
    <w:rsid w:val="005D06D7"/>
    <w:rsid w:val="005D6104"/>
    <w:rsid w:val="005E0253"/>
    <w:rsid w:val="005E1247"/>
    <w:rsid w:val="005E1B7C"/>
    <w:rsid w:val="005E7976"/>
    <w:rsid w:val="005F1516"/>
    <w:rsid w:val="005F44DE"/>
    <w:rsid w:val="005F484E"/>
    <w:rsid w:val="00601D43"/>
    <w:rsid w:val="0060330C"/>
    <w:rsid w:val="00612C4B"/>
    <w:rsid w:val="00624AC4"/>
    <w:rsid w:val="0064423E"/>
    <w:rsid w:val="0065419A"/>
    <w:rsid w:val="0066481D"/>
    <w:rsid w:val="006654CB"/>
    <w:rsid w:val="00670B99"/>
    <w:rsid w:val="00670D2B"/>
    <w:rsid w:val="0067129A"/>
    <w:rsid w:val="00674628"/>
    <w:rsid w:val="0069152E"/>
    <w:rsid w:val="00693710"/>
    <w:rsid w:val="00694933"/>
    <w:rsid w:val="006A2390"/>
    <w:rsid w:val="006A6E8A"/>
    <w:rsid w:val="006B0422"/>
    <w:rsid w:val="006B325B"/>
    <w:rsid w:val="006B525B"/>
    <w:rsid w:val="006B73F0"/>
    <w:rsid w:val="006C054E"/>
    <w:rsid w:val="006C087C"/>
    <w:rsid w:val="006D26CA"/>
    <w:rsid w:val="006E0A59"/>
    <w:rsid w:val="006E16AA"/>
    <w:rsid w:val="006E2F86"/>
    <w:rsid w:val="006F0779"/>
    <w:rsid w:val="006F25D9"/>
    <w:rsid w:val="00701C03"/>
    <w:rsid w:val="00715871"/>
    <w:rsid w:val="00723756"/>
    <w:rsid w:val="007272C1"/>
    <w:rsid w:val="00727573"/>
    <w:rsid w:val="0074201B"/>
    <w:rsid w:val="007530C4"/>
    <w:rsid w:val="00756B53"/>
    <w:rsid w:val="007611F9"/>
    <w:rsid w:val="007640E2"/>
    <w:rsid w:val="00766417"/>
    <w:rsid w:val="007666B0"/>
    <w:rsid w:val="007677A5"/>
    <w:rsid w:val="00776240"/>
    <w:rsid w:val="00782628"/>
    <w:rsid w:val="00786BC0"/>
    <w:rsid w:val="007A252A"/>
    <w:rsid w:val="007A47F5"/>
    <w:rsid w:val="007A6E25"/>
    <w:rsid w:val="007B09A0"/>
    <w:rsid w:val="007B0F85"/>
    <w:rsid w:val="007B5D43"/>
    <w:rsid w:val="007B6ED8"/>
    <w:rsid w:val="007C4D42"/>
    <w:rsid w:val="007C7AEF"/>
    <w:rsid w:val="007D62EF"/>
    <w:rsid w:val="007F1438"/>
    <w:rsid w:val="007F5046"/>
    <w:rsid w:val="00806FC9"/>
    <w:rsid w:val="00810404"/>
    <w:rsid w:val="00816F8F"/>
    <w:rsid w:val="00822DA9"/>
    <w:rsid w:val="00824112"/>
    <w:rsid w:val="0082713A"/>
    <w:rsid w:val="00833E0A"/>
    <w:rsid w:val="00835EB2"/>
    <w:rsid w:val="008403E0"/>
    <w:rsid w:val="008404FD"/>
    <w:rsid w:val="00842007"/>
    <w:rsid w:val="00851B86"/>
    <w:rsid w:val="0085412B"/>
    <w:rsid w:val="00872176"/>
    <w:rsid w:val="00880CD8"/>
    <w:rsid w:val="00881805"/>
    <w:rsid w:val="008836F8"/>
    <w:rsid w:val="00884F6F"/>
    <w:rsid w:val="00886300"/>
    <w:rsid w:val="008875CE"/>
    <w:rsid w:val="008A3F71"/>
    <w:rsid w:val="008B25E4"/>
    <w:rsid w:val="008B5EAC"/>
    <w:rsid w:val="008C1675"/>
    <w:rsid w:val="008D11DB"/>
    <w:rsid w:val="008D225C"/>
    <w:rsid w:val="008D31E6"/>
    <w:rsid w:val="008D6DB1"/>
    <w:rsid w:val="008E0C8A"/>
    <w:rsid w:val="008E26A6"/>
    <w:rsid w:val="008E2D9F"/>
    <w:rsid w:val="008E49BE"/>
    <w:rsid w:val="008E5AB8"/>
    <w:rsid w:val="008E6BE4"/>
    <w:rsid w:val="008E7152"/>
    <w:rsid w:val="008E71D0"/>
    <w:rsid w:val="008F0759"/>
    <w:rsid w:val="008F1656"/>
    <w:rsid w:val="00901C31"/>
    <w:rsid w:val="00905399"/>
    <w:rsid w:val="00907940"/>
    <w:rsid w:val="00912C62"/>
    <w:rsid w:val="00913945"/>
    <w:rsid w:val="00914C53"/>
    <w:rsid w:val="009151E3"/>
    <w:rsid w:val="00922D3A"/>
    <w:rsid w:val="009251C3"/>
    <w:rsid w:val="009264A8"/>
    <w:rsid w:val="00926EAC"/>
    <w:rsid w:val="00931A57"/>
    <w:rsid w:val="00931F08"/>
    <w:rsid w:val="0093721E"/>
    <w:rsid w:val="00944D2F"/>
    <w:rsid w:val="009476D1"/>
    <w:rsid w:val="0095089F"/>
    <w:rsid w:val="00950D7D"/>
    <w:rsid w:val="00950EB4"/>
    <w:rsid w:val="0095287D"/>
    <w:rsid w:val="00953D6A"/>
    <w:rsid w:val="00954AB2"/>
    <w:rsid w:val="00955778"/>
    <w:rsid w:val="009574B6"/>
    <w:rsid w:val="00960B3E"/>
    <w:rsid w:val="00964411"/>
    <w:rsid w:val="00967890"/>
    <w:rsid w:val="00972B70"/>
    <w:rsid w:val="009739E0"/>
    <w:rsid w:val="00975C43"/>
    <w:rsid w:val="009808BF"/>
    <w:rsid w:val="00983A5A"/>
    <w:rsid w:val="00997158"/>
    <w:rsid w:val="009A0411"/>
    <w:rsid w:val="009A0B54"/>
    <w:rsid w:val="009A5616"/>
    <w:rsid w:val="009A5F11"/>
    <w:rsid w:val="009A6025"/>
    <w:rsid w:val="009B7BD5"/>
    <w:rsid w:val="009C0CEE"/>
    <w:rsid w:val="009C1149"/>
    <w:rsid w:val="009C30CD"/>
    <w:rsid w:val="009C55AB"/>
    <w:rsid w:val="009C5B00"/>
    <w:rsid w:val="009C78EA"/>
    <w:rsid w:val="009D2E6D"/>
    <w:rsid w:val="009D58B3"/>
    <w:rsid w:val="009E08B1"/>
    <w:rsid w:val="009E09B0"/>
    <w:rsid w:val="009E1AC2"/>
    <w:rsid w:val="009E4A2F"/>
    <w:rsid w:val="009E50E4"/>
    <w:rsid w:val="009F08F9"/>
    <w:rsid w:val="00A02844"/>
    <w:rsid w:val="00A06D42"/>
    <w:rsid w:val="00A07088"/>
    <w:rsid w:val="00A07648"/>
    <w:rsid w:val="00A10C5B"/>
    <w:rsid w:val="00A15965"/>
    <w:rsid w:val="00A15B43"/>
    <w:rsid w:val="00A21FA3"/>
    <w:rsid w:val="00A245F9"/>
    <w:rsid w:val="00A31B1C"/>
    <w:rsid w:val="00A327D6"/>
    <w:rsid w:val="00A37DD7"/>
    <w:rsid w:val="00A4474B"/>
    <w:rsid w:val="00A50210"/>
    <w:rsid w:val="00A54F99"/>
    <w:rsid w:val="00A65783"/>
    <w:rsid w:val="00A657AC"/>
    <w:rsid w:val="00A70CDC"/>
    <w:rsid w:val="00A8129D"/>
    <w:rsid w:val="00A84B5E"/>
    <w:rsid w:val="00A91B07"/>
    <w:rsid w:val="00A94E94"/>
    <w:rsid w:val="00A973FF"/>
    <w:rsid w:val="00AA14FA"/>
    <w:rsid w:val="00AA46D8"/>
    <w:rsid w:val="00AA635A"/>
    <w:rsid w:val="00AA67A3"/>
    <w:rsid w:val="00AB1404"/>
    <w:rsid w:val="00AB1E28"/>
    <w:rsid w:val="00AC514F"/>
    <w:rsid w:val="00AC6E82"/>
    <w:rsid w:val="00AD2FFA"/>
    <w:rsid w:val="00AD3A2C"/>
    <w:rsid w:val="00AD47BF"/>
    <w:rsid w:val="00AD575F"/>
    <w:rsid w:val="00AE2072"/>
    <w:rsid w:val="00AE20EF"/>
    <w:rsid w:val="00AE2889"/>
    <w:rsid w:val="00AE6119"/>
    <w:rsid w:val="00AE702C"/>
    <w:rsid w:val="00AF2083"/>
    <w:rsid w:val="00AF52BB"/>
    <w:rsid w:val="00B01DD5"/>
    <w:rsid w:val="00B02D97"/>
    <w:rsid w:val="00B033DC"/>
    <w:rsid w:val="00B17A96"/>
    <w:rsid w:val="00B2004F"/>
    <w:rsid w:val="00B346EA"/>
    <w:rsid w:val="00B34B04"/>
    <w:rsid w:val="00B4375E"/>
    <w:rsid w:val="00B47E10"/>
    <w:rsid w:val="00B506BE"/>
    <w:rsid w:val="00B50962"/>
    <w:rsid w:val="00B53629"/>
    <w:rsid w:val="00B62476"/>
    <w:rsid w:val="00B67D05"/>
    <w:rsid w:val="00B76D18"/>
    <w:rsid w:val="00B80C43"/>
    <w:rsid w:val="00B8272E"/>
    <w:rsid w:val="00BA0BC7"/>
    <w:rsid w:val="00BA498E"/>
    <w:rsid w:val="00BB254C"/>
    <w:rsid w:val="00BB456B"/>
    <w:rsid w:val="00BC4059"/>
    <w:rsid w:val="00BC536A"/>
    <w:rsid w:val="00BC5E6F"/>
    <w:rsid w:val="00BD102F"/>
    <w:rsid w:val="00BD214D"/>
    <w:rsid w:val="00BD2784"/>
    <w:rsid w:val="00BE0724"/>
    <w:rsid w:val="00BE5203"/>
    <w:rsid w:val="00BF17D5"/>
    <w:rsid w:val="00BF1CEE"/>
    <w:rsid w:val="00BF4AE2"/>
    <w:rsid w:val="00C01F7A"/>
    <w:rsid w:val="00C02403"/>
    <w:rsid w:val="00C04CDE"/>
    <w:rsid w:val="00C06574"/>
    <w:rsid w:val="00C1009C"/>
    <w:rsid w:val="00C127B6"/>
    <w:rsid w:val="00C15495"/>
    <w:rsid w:val="00C15A1C"/>
    <w:rsid w:val="00C15E3C"/>
    <w:rsid w:val="00C16C1C"/>
    <w:rsid w:val="00C229AF"/>
    <w:rsid w:val="00C22D21"/>
    <w:rsid w:val="00C273BC"/>
    <w:rsid w:val="00C33981"/>
    <w:rsid w:val="00C33AA1"/>
    <w:rsid w:val="00C3659A"/>
    <w:rsid w:val="00C37B92"/>
    <w:rsid w:val="00C37D21"/>
    <w:rsid w:val="00C442A6"/>
    <w:rsid w:val="00C47A83"/>
    <w:rsid w:val="00C50D73"/>
    <w:rsid w:val="00C53178"/>
    <w:rsid w:val="00C573B3"/>
    <w:rsid w:val="00C603DA"/>
    <w:rsid w:val="00C6253B"/>
    <w:rsid w:val="00C63AD7"/>
    <w:rsid w:val="00C652D8"/>
    <w:rsid w:val="00C70F08"/>
    <w:rsid w:val="00C739A8"/>
    <w:rsid w:val="00C77D2F"/>
    <w:rsid w:val="00C8124C"/>
    <w:rsid w:val="00C8681F"/>
    <w:rsid w:val="00C956E9"/>
    <w:rsid w:val="00C979F1"/>
    <w:rsid w:val="00CA26BA"/>
    <w:rsid w:val="00CA2DB0"/>
    <w:rsid w:val="00CB0EC5"/>
    <w:rsid w:val="00CB2D8E"/>
    <w:rsid w:val="00CC681E"/>
    <w:rsid w:val="00CC7FB2"/>
    <w:rsid w:val="00CD212E"/>
    <w:rsid w:val="00CE3AD0"/>
    <w:rsid w:val="00CE5817"/>
    <w:rsid w:val="00CE60AB"/>
    <w:rsid w:val="00CE767C"/>
    <w:rsid w:val="00CE7ABC"/>
    <w:rsid w:val="00CF1DCA"/>
    <w:rsid w:val="00CF575C"/>
    <w:rsid w:val="00CF6888"/>
    <w:rsid w:val="00D06540"/>
    <w:rsid w:val="00D16398"/>
    <w:rsid w:val="00D214D3"/>
    <w:rsid w:val="00D23733"/>
    <w:rsid w:val="00D2410B"/>
    <w:rsid w:val="00D27725"/>
    <w:rsid w:val="00D45409"/>
    <w:rsid w:val="00D4632E"/>
    <w:rsid w:val="00D5549B"/>
    <w:rsid w:val="00D565D0"/>
    <w:rsid w:val="00D61DFC"/>
    <w:rsid w:val="00D661EB"/>
    <w:rsid w:val="00D741A4"/>
    <w:rsid w:val="00D81741"/>
    <w:rsid w:val="00D81EF5"/>
    <w:rsid w:val="00D879BC"/>
    <w:rsid w:val="00D91946"/>
    <w:rsid w:val="00D91CDA"/>
    <w:rsid w:val="00D91DC9"/>
    <w:rsid w:val="00DA37FB"/>
    <w:rsid w:val="00DA3F2F"/>
    <w:rsid w:val="00DA6896"/>
    <w:rsid w:val="00DB0393"/>
    <w:rsid w:val="00DB3A7F"/>
    <w:rsid w:val="00DB682C"/>
    <w:rsid w:val="00DC2379"/>
    <w:rsid w:val="00DD646B"/>
    <w:rsid w:val="00DE1F67"/>
    <w:rsid w:val="00DE624D"/>
    <w:rsid w:val="00DE6CE1"/>
    <w:rsid w:val="00DF2C33"/>
    <w:rsid w:val="00DF75F6"/>
    <w:rsid w:val="00DF7DCD"/>
    <w:rsid w:val="00DF7F89"/>
    <w:rsid w:val="00E1735B"/>
    <w:rsid w:val="00E21EC1"/>
    <w:rsid w:val="00E223A9"/>
    <w:rsid w:val="00E315D2"/>
    <w:rsid w:val="00E31D54"/>
    <w:rsid w:val="00E33582"/>
    <w:rsid w:val="00E371B2"/>
    <w:rsid w:val="00E405C3"/>
    <w:rsid w:val="00E41757"/>
    <w:rsid w:val="00E4230D"/>
    <w:rsid w:val="00E45335"/>
    <w:rsid w:val="00E50D3B"/>
    <w:rsid w:val="00E55924"/>
    <w:rsid w:val="00E64F1E"/>
    <w:rsid w:val="00E654A3"/>
    <w:rsid w:val="00E73D80"/>
    <w:rsid w:val="00E75905"/>
    <w:rsid w:val="00E81B5A"/>
    <w:rsid w:val="00E81BDF"/>
    <w:rsid w:val="00E8532D"/>
    <w:rsid w:val="00E968CF"/>
    <w:rsid w:val="00EA4084"/>
    <w:rsid w:val="00EB0DD0"/>
    <w:rsid w:val="00EB554F"/>
    <w:rsid w:val="00EB6BC9"/>
    <w:rsid w:val="00EC1082"/>
    <w:rsid w:val="00EC37E5"/>
    <w:rsid w:val="00EC478A"/>
    <w:rsid w:val="00EC4819"/>
    <w:rsid w:val="00EC6358"/>
    <w:rsid w:val="00ED6C5A"/>
    <w:rsid w:val="00ED76F8"/>
    <w:rsid w:val="00EE00F9"/>
    <w:rsid w:val="00EE746E"/>
    <w:rsid w:val="00EF1B88"/>
    <w:rsid w:val="00F00858"/>
    <w:rsid w:val="00F03214"/>
    <w:rsid w:val="00F11E6C"/>
    <w:rsid w:val="00F11F3F"/>
    <w:rsid w:val="00F1697E"/>
    <w:rsid w:val="00F208A2"/>
    <w:rsid w:val="00F21C01"/>
    <w:rsid w:val="00F2265D"/>
    <w:rsid w:val="00F27803"/>
    <w:rsid w:val="00F3138A"/>
    <w:rsid w:val="00F3209F"/>
    <w:rsid w:val="00F34DA3"/>
    <w:rsid w:val="00F3796F"/>
    <w:rsid w:val="00F37FC7"/>
    <w:rsid w:val="00F40627"/>
    <w:rsid w:val="00F43731"/>
    <w:rsid w:val="00F5298B"/>
    <w:rsid w:val="00F52A26"/>
    <w:rsid w:val="00F567C8"/>
    <w:rsid w:val="00F61B07"/>
    <w:rsid w:val="00F671F6"/>
    <w:rsid w:val="00F74FA9"/>
    <w:rsid w:val="00F76A18"/>
    <w:rsid w:val="00F76D71"/>
    <w:rsid w:val="00F7717F"/>
    <w:rsid w:val="00F8049E"/>
    <w:rsid w:val="00F864EE"/>
    <w:rsid w:val="00F94C4A"/>
    <w:rsid w:val="00F94EEA"/>
    <w:rsid w:val="00F961F1"/>
    <w:rsid w:val="00F97C73"/>
    <w:rsid w:val="00FA121C"/>
    <w:rsid w:val="00FA4F13"/>
    <w:rsid w:val="00FA6A8B"/>
    <w:rsid w:val="00FB06CB"/>
    <w:rsid w:val="00FB4EB3"/>
    <w:rsid w:val="00FB7B65"/>
    <w:rsid w:val="00FC7A1F"/>
    <w:rsid w:val="00FD1D66"/>
    <w:rsid w:val="00FE0B8E"/>
    <w:rsid w:val="00FE2262"/>
    <w:rsid w:val="00FE3BE4"/>
    <w:rsid w:val="00FE4DF9"/>
    <w:rsid w:val="00FE6A29"/>
    <w:rsid w:val="00FF3395"/>
    <w:rsid w:val="00FF3D3B"/>
    <w:rsid w:val="00FF49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DA776"/>
  <w15:chartTrackingRefBased/>
  <w15:docId w15:val="{5A076711-E29A-704B-9937-2E7582875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3A9"/>
    <w:rPr>
      <w:rFonts w:eastAsiaTheme="majorEastAsia" w:cstheme="majorBidi"/>
      <w:color w:val="272727" w:themeColor="text1" w:themeTint="D8"/>
    </w:rPr>
  </w:style>
  <w:style w:type="paragraph" w:styleId="Title">
    <w:name w:val="Title"/>
    <w:basedOn w:val="Normal"/>
    <w:next w:val="Normal"/>
    <w:link w:val="TitleChar"/>
    <w:uiPriority w:val="10"/>
    <w:qFormat/>
    <w:rsid w:val="00E22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3A9"/>
    <w:pPr>
      <w:spacing w:before="160"/>
      <w:jc w:val="center"/>
    </w:pPr>
    <w:rPr>
      <w:i/>
      <w:iCs/>
      <w:color w:val="404040" w:themeColor="text1" w:themeTint="BF"/>
    </w:rPr>
  </w:style>
  <w:style w:type="character" w:customStyle="1" w:styleId="QuoteChar">
    <w:name w:val="Quote Char"/>
    <w:basedOn w:val="DefaultParagraphFont"/>
    <w:link w:val="Quote"/>
    <w:uiPriority w:val="29"/>
    <w:rsid w:val="00E223A9"/>
    <w:rPr>
      <w:i/>
      <w:iCs/>
      <w:color w:val="404040" w:themeColor="text1" w:themeTint="BF"/>
    </w:rPr>
  </w:style>
  <w:style w:type="paragraph" w:styleId="ListParagraph">
    <w:name w:val="List Paragraph"/>
    <w:basedOn w:val="Normal"/>
    <w:uiPriority w:val="34"/>
    <w:qFormat/>
    <w:rsid w:val="00E223A9"/>
    <w:pPr>
      <w:ind w:left="720"/>
      <w:contextualSpacing/>
    </w:pPr>
  </w:style>
  <w:style w:type="character" w:styleId="IntenseEmphasis">
    <w:name w:val="Intense Emphasis"/>
    <w:basedOn w:val="DefaultParagraphFont"/>
    <w:uiPriority w:val="21"/>
    <w:qFormat/>
    <w:rsid w:val="00E223A9"/>
    <w:rPr>
      <w:i/>
      <w:iCs/>
      <w:color w:val="0F4761" w:themeColor="accent1" w:themeShade="BF"/>
    </w:rPr>
  </w:style>
  <w:style w:type="paragraph" w:styleId="IntenseQuote">
    <w:name w:val="Intense Quote"/>
    <w:basedOn w:val="Normal"/>
    <w:next w:val="Normal"/>
    <w:link w:val="IntenseQuoteChar"/>
    <w:uiPriority w:val="30"/>
    <w:qFormat/>
    <w:rsid w:val="00E22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3A9"/>
    <w:rPr>
      <w:i/>
      <w:iCs/>
      <w:color w:val="0F4761" w:themeColor="accent1" w:themeShade="BF"/>
    </w:rPr>
  </w:style>
  <w:style w:type="character" w:styleId="IntenseReference">
    <w:name w:val="Intense Reference"/>
    <w:basedOn w:val="DefaultParagraphFont"/>
    <w:uiPriority w:val="32"/>
    <w:qFormat/>
    <w:rsid w:val="00E223A9"/>
    <w:rPr>
      <w:b/>
      <w:bCs/>
      <w:smallCaps/>
      <w:color w:val="0F4761" w:themeColor="accent1" w:themeShade="BF"/>
      <w:spacing w:val="5"/>
    </w:rPr>
  </w:style>
  <w:style w:type="table" w:styleId="TableGrid">
    <w:name w:val="Table Grid"/>
    <w:basedOn w:val="TableNormal"/>
    <w:uiPriority w:val="39"/>
    <w:rsid w:val="002B4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4F99"/>
    <w:rPr>
      <w:color w:val="467886" w:themeColor="hyperlink"/>
      <w:u w:val="single"/>
    </w:rPr>
  </w:style>
  <w:style w:type="character" w:styleId="UnresolvedMention">
    <w:name w:val="Unresolved Mention"/>
    <w:basedOn w:val="DefaultParagraphFont"/>
    <w:uiPriority w:val="99"/>
    <w:semiHidden/>
    <w:unhideWhenUsed/>
    <w:rsid w:val="00A54F99"/>
    <w:rPr>
      <w:color w:val="605E5C"/>
      <w:shd w:val="clear" w:color="auto" w:fill="E1DFDD"/>
    </w:rPr>
  </w:style>
  <w:style w:type="character" w:styleId="CommentReference">
    <w:name w:val="annotation reference"/>
    <w:basedOn w:val="DefaultParagraphFont"/>
    <w:uiPriority w:val="99"/>
    <w:semiHidden/>
    <w:unhideWhenUsed/>
    <w:rsid w:val="00414148"/>
    <w:rPr>
      <w:sz w:val="16"/>
      <w:szCs w:val="16"/>
    </w:rPr>
  </w:style>
  <w:style w:type="paragraph" w:styleId="CommentText">
    <w:name w:val="annotation text"/>
    <w:basedOn w:val="Normal"/>
    <w:link w:val="CommentTextChar"/>
    <w:uiPriority w:val="99"/>
    <w:unhideWhenUsed/>
    <w:rsid w:val="00414148"/>
    <w:pPr>
      <w:spacing w:line="240" w:lineRule="auto"/>
    </w:pPr>
    <w:rPr>
      <w:sz w:val="20"/>
      <w:szCs w:val="20"/>
    </w:rPr>
  </w:style>
  <w:style w:type="character" w:customStyle="1" w:styleId="CommentTextChar">
    <w:name w:val="Comment Text Char"/>
    <w:basedOn w:val="DefaultParagraphFont"/>
    <w:link w:val="CommentText"/>
    <w:uiPriority w:val="99"/>
    <w:rsid w:val="00414148"/>
    <w:rPr>
      <w:sz w:val="20"/>
      <w:szCs w:val="20"/>
    </w:rPr>
  </w:style>
  <w:style w:type="paragraph" w:styleId="CommentSubject">
    <w:name w:val="annotation subject"/>
    <w:basedOn w:val="CommentText"/>
    <w:next w:val="CommentText"/>
    <w:link w:val="CommentSubjectChar"/>
    <w:uiPriority w:val="99"/>
    <w:semiHidden/>
    <w:unhideWhenUsed/>
    <w:rsid w:val="00414148"/>
    <w:rPr>
      <w:b/>
      <w:bCs/>
    </w:rPr>
  </w:style>
  <w:style w:type="character" w:customStyle="1" w:styleId="CommentSubjectChar">
    <w:name w:val="Comment Subject Char"/>
    <w:basedOn w:val="CommentTextChar"/>
    <w:link w:val="CommentSubject"/>
    <w:uiPriority w:val="99"/>
    <w:semiHidden/>
    <w:rsid w:val="00414148"/>
    <w:rPr>
      <w:b/>
      <w:bCs/>
      <w:sz w:val="20"/>
      <w:szCs w:val="20"/>
    </w:rPr>
  </w:style>
  <w:style w:type="table" w:styleId="PlainTable1">
    <w:name w:val="Plain Table 1"/>
    <w:basedOn w:val="TableNormal"/>
    <w:uiPriority w:val="41"/>
    <w:rsid w:val="000007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neNumber">
    <w:name w:val="line number"/>
    <w:basedOn w:val="DefaultParagraphFont"/>
    <w:uiPriority w:val="99"/>
    <w:semiHidden/>
    <w:unhideWhenUsed/>
    <w:rsid w:val="005E1B7C"/>
  </w:style>
  <w:style w:type="table" w:styleId="TableGridLight">
    <w:name w:val="Grid Table Light"/>
    <w:basedOn w:val="TableNormal"/>
    <w:uiPriority w:val="40"/>
    <w:rsid w:val="00C37D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ord">
    <w:name w:val="mord"/>
    <w:basedOn w:val="DefaultParagraphFont"/>
    <w:rsid w:val="00A70CDC"/>
  </w:style>
  <w:style w:type="character" w:customStyle="1" w:styleId="mrel">
    <w:name w:val="mrel"/>
    <w:basedOn w:val="DefaultParagraphFont"/>
    <w:rsid w:val="00A70CDC"/>
  </w:style>
  <w:style w:type="paragraph" w:styleId="Revision">
    <w:name w:val="Revision"/>
    <w:hidden/>
    <w:uiPriority w:val="99"/>
    <w:semiHidden/>
    <w:rsid w:val="009151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7058">
      <w:bodyDiv w:val="1"/>
      <w:marLeft w:val="0"/>
      <w:marRight w:val="0"/>
      <w:marTop w:val="0"/>
      <w:marBottom w:val="0"/>
      <w:divBdr>
        <w:top w:val="none" w:sz="0" w:space="0" w:color="auto"/>
        <w:left w:val="none" w:sz="0" w:space="0" w:color="auto"/>
        <w:bottom w:val="none" w:sz="0" w:space="0" w:color="auto"/>
        <w:right w:val="none" w:sz="0" w:space="0" w:color="auto"/>
      </w:divBdr>
      <w:divsChild>
        <w:div w:id="380330421">
          <w:marLeft w:val="0"/>
          <w:marRight w:val="0"/>
          <w:marTop w:val="0"/>
          <w:marBottom w:val="0"/>
          <w:divBdr>
            <w:top w:val="none" w:sz="0" w:space="0" w:color="auto"/>
            <w:left w:val="none" w:sz="0" w:space="0" w:color="auto"/>
            <w:bottom w:val="none" w:sz="0" w:space="0" w:color="auto"/>
            <w:right w:val="none" w:sz="0" w:space="0" w:color="auto"/>
          </w:divBdr>
          <w:divsChild>
            <w:div w:id="19505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1708">
      <w:bodyDiv w:val="1"/>
      <w:marLeft w:val="0"/>
      <w:marRight w:val="0"/>
      <w:marTop w:val="0"/>
      <w:marBottom w:val="0"/>
      <w:divBdr>
        <w:top w:val="none" w:sz="0" w:space="0" w:color="auto"/>
        <w:left w:val="none" w:sz="0" w:space="0" w:color="auto"/>
        <w:bottom w:val="none" w:sz="0" w:space="0" w:color="auto"/>
        <w:right w:val="none" w:sz="0" w:space="0" w:color="auto"/>
      </w:divBdr>
    </w:div>
    <w:div w:id="359624615">
      <w:bodyDiv w:val="1"/>
      <w:marLeft w:val="0"/>
      <w:marRight w:val="0"/>
      <w:marTop w:val="0"/>
      <w:marBottom w:val="0"/>
      <w:divBdr>
        <w:top w:val="none" w:sz="0" w:space="0" w:color="auto"/>
        <w:left w:val="none" w:sz="0" w:space="0" w:color="auto"/>
        <w:bottom w:val="none" w:sz="0" w:space="0" w:color="auto"/>
        <w:right w:val="none" w:sz="0" w:space="0" w:color="auto"/>
      </w:divBdr>
    </w:div>
    <w:div w:id="384377366">
      <w:bodyDiv w:val="1"/>
      <w:marLeft w:val="0"/>
      <w:marRight w:val="0"/>
      <w:marTop w:val="0"/>
      <w:marBottom w:val="0"/>
      <w:divBdr>
        <w:top w:val="none" w:sz="0" w:space="0" w:color="auto"/>
        <w:left w:val="none" w:sz="0" w:space="0" w:color="auto"/>
        <w:bottom w:val="none" w:sz="0" w:space="0" w:color="auto"/>
        <w:right w:val="none" w:sz="0" w:space="0" w:color="auto"/>
      </w:divBdr>
    </w:div>
    <w:div w:id="437024660">
      <w:bodyDiv w:val="1"/>
      <w:marLeft w:val="0"/>
      <w:marRight w:val="0"/>
      <w:marTop w:val="0"/>
      <w:marBottom w:val="0"/>
      <w:divBdr>
        <w:top w:val="none" w:sz="0" w:space="0" w:color="auto"/>
        <w:left w:val="none" w:sz="0" w:space="0" w:color="auto"/>
        <w:bottom w:val="none" w:sz="0" w:space="0" w:color="auto"/>
        <w:right w:val="none" w:sz="0" w:space="0" w:color="auto"/>
      </w:divBdr>
      <w:divsChild>
        <w:div w:id="1976763206">
          <w:marLeft w:val="0"/>
          <w:marRight w:val="0"/>
          <w:marTop w:val="0"/>
          <w:marBottom w:val="0"/>
          <w:divBdr>
            <w:top w:val="none" w:sz="0" w:space="0" w:color="auto"/>
            <w:left w:val="none" w:sz="0" w:space="0" w:color="auto"/>
            <w:bottom w:val="none" w:sz="0" w:space="0" w:color="auto"/>
            <w:right w:val="none" w:sz="0" w:space="0" w:color="auto"/>
          </w:divBdr>
          <w:divsChild>
            <w:div w:id="14458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5292">
      <w:bodyDiv w:val="1"/>
      <w:marLeft w:val="0"/>
      <w:marRight w:val="0"/>
      <w:marTop w:val="0"/>
      <w:marBottom w:val="0"/>
      <w:divBdr>
        <w:top w:val="none" w:sz="0" w:space="0" w:color="auto"/>
        <w:left w:val="none" w:sz="0" w:space="0" w:color="auto"/>
        <w:bottom w:val="none" w:sz="0" w:space="0" w:color="auto"/>
        <w:right w:val="none" w:sz="0" w:space="0" w:color="auto"/>
      </w:divBdr>
      <w:divsChild>
        <w:div w:id="1079408155">
          <w:marLeft w:val="0"/>
          <w:marRight w:val="0"/>
          <w:marTop w:val="0"/>
          <w:marBottom w:val="0"/>
          <w:divBdr>
            <w:top w:val="none" w:sz="0" w:space="0" w:color="auto"/>
            <w:left w:val="none" w:sz="0" w:space="0" w:color="auto"/>
            <w:bottom w:val="none" w:sz="0" w:space="0" w:color="auto"/>
            <w:right w:val="none" w:sz="0" w:space="0" w:color="auto"/>
          </w:divBdr>
          <w:divsChild>
            <w:div w:id="31347094">
              <w:marLeft w:val="0"/>
              <w:marRight w:val="0"/>
              <w:marTop w:val="0"/>
              <w:marBottom w:val="0"/>
              <w:divBdr>
                <w:top w:val="none" w:sz="0" w:space="0" w:color="auto"/>
                <w:left w:val="none" w:sz="0" w:space="0" w:color="auto"/>
                <w:bottom w:val="none" w:sz="0" w:space="0" w:color="auto"/>
                <w:right w:val="none" w:sz="0" w:space="0" w:color="auto"/>
              </w:divBdr>
            </w:div>
            <w:div w:id="79522560">
              <w:marLeft w:val="0"/>
              <w:marRight w:val="0"/>
              <w:marTop w:val="0"/>
              <w:marBottom w:val="0"/>
              <w:divBdr>
                <w:top w:val="none" w:sz="0" w:space="0" w:color="auto"/>
                <w:left w:val="none" w:sz="0" w:space="0" w:color="auto"/>
                <w:bottom w:val="none" w:sz="0" w:space="0" w:color="auto"/>
                <w:right w:val="none" w:sz="0" w:space="0" w:color="auto"/>
              </w:divBdr>
            </w:div>
            <w:div w:id="2064014445">
              <w:marLeft w:val="0"/>
              <w:marRight w:val="0"/>
              <w:marTop w:val="0"/>
              <w:marBottom w:val="0"/>
              <w:divBdr>
                <w:top w:val="none" w:sz="0" w:space="0" w:color="auto"/>
                <w:left w:val="none" w:sz="0" w:space="0" w:color="auto"/>
                <w:bottom w:val="none" w:sz="0" w:space="0" w:color="auto"/>
                <w:right w:val="none" w:sz="0" w:space="0" w:color="auto"/>
              </w:divBdr>
            </w:div>
            <w:div w:id="18610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0704">
      <w:bodyDiv w:val="1"/>
      <w:marLeft w:val="0"/>
      <w:marRight w:val="0"/>
      <w:marTop w:val="0"/>
      <w:marBottom w:val="0"/>
      <w:divBdr>
        <w:top w:val="none" w:sz="0" w:space="0" w:color="auto"/>
        <w:left w:val="none" w:sz="0" w:space="0" w:color="auto"/>
        <w:bottom w:val="none" w:sz="0" w:space="0" w:color="auto"/>
        <w:right w:val="none" w:sz="0" w:space="0" w:color="auto"/>
      </w:divBdr>
      <w:divsChild>
        <w:div w:id="772895927">
          <w:marLeft w:val="0"/>
          <w:marRight w:val="0"/>
          <w:marTop w:val="0"/>
          <w:marBottom w:val="0"/>
          <w:divBdr>
            <w:top w:val="none" w:sz="0" w:space="0" w:color="auto"/>
            <w:left w:val="none" w:sz="0" w:space="0" w:color="auto"/>
            <w:bottom w:val="none" w:sz="0" w:space="0" w:color="auto"/>
            <w:right w:val="none" w:sz="0" w:space="0" w:color="auto"/>
          </w:divBdr>
          <w:divsChild>
            <w:div w:id="66401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5549">
      <w:bodyDiv w:val="1"/>
      <w:marLeft w:val="0"/>
      <w:marRight w:val="0"/>
      <w:marTop w:val="0"/>
      <w:marBottom w:val="0"/>
      <w:divBdr>
        <w:top w:val="none" w:sz="0" w:space="0" w:color="auto"/>
        <w:left w:val="none" w:sz="0" w:space="0" w:color="auto"/>
        <w:bottom w:val="none" w:sz="0" w:space="0" w:color="auto"/>
        <w:right w:val="none" w:sz="0" w:space="0" w:color="auto"/>
      </w:divBdr>
      <w:divsChild>
        <w:div w:id="700908392">
          <w:marLeft w:val="0"/>
          <w:marRight w:val="0"/>
          <w:marTop w:val="0"/>
          <w:marBottom w:val="0"/>
          <w:divBdr>
            <w:top w:val="none" w:sz="0" w:space="0" w:color="auto"/>
            <w:left w:val="none" w:sz="0" w:space="0" w:color="auto"/>
            <w:bottom w:val="none" w:sz="0" w:space="0" w:color="auto"/>
            <w:right w:val="none" w:sz="0" w:space="0" w:color="auto"/>
          </w:divBdr>
          <w:divsChild>
            <w:div w:id="996955041">
              <w:marLeft w:val="0"/>
              <w:marRight w:val="0"/>
              <w:marTop w:val="0"/>
              <w:marBottom w:val="0"/>
              <w:divBdr>
                <w:top w:val="none" w:sz="0" w:space="0" w:color="auto"/>
                <w:left w:val="none" w:sz="0" w:space="0" w:color="auto"/>
                <w:bottom w:val="none" w:sz="0" w:space="0" w:color="auto"/>
                <w:right w:val="none" w:sz="0" w:space="0" w:color="auto"/>
              </w:divBdr>
            </w:div>
            <w:div w:id="1972979879">
              <w:marLeft w:val="0"/>
              <w:marRight w:val="0"/>
              <w:marTop w:val="0"/>
              <w:marBottom w:val="0"/>
              <w:divBdr>
                <w:top w:val="none" w:sz="0" w:space="0" w:color="auto"/>
                <w:left w:val="none" w:sz="0" w:space="0" w:color="auto"/>
                <w:bottom w:val="none" w:sz="0" w:space="0" w:color="auto"/>
                <w:right w:val="none" w:sz="0" w:space="0" w:color="auto"/>
              </w:divBdr>
            </w:div>
            <w:div w:id="1411391708">
              <w:marLeft w:val="0"/>
              <w:marRight w:val="0"/>
              <w:marTop w:val="0"/>
              <w:marBottom w:val="0"/>
              <w:divBdr>
                <w:top w:val="none" w:sz="0" w:space="0" w:color="auto"/>
                <w:left w:val="none" w:sz="0" w:space="0" w:color="auto"/>
                <w:bottom w:val="none" w:sz="0" w:space="0" w:color="auto"/>
                <w:right w:val="none" w:sz="0" w:space="0" w:color="auto"/>
              </w:divBdr>
            </w:div>
            <w:div w:id="452090881">
              <w:marLeft w:val="0"/>
              <w:marRight w:val="0"/>
              <w:marTop w:val="0"/>
              <w:marBottom w:val="0"/>
              <w:divBdr>
                <w:top w:val="none" w:sz="0" w:space="0" w:color="auto"/>
                <w:left w:val="none" w:sz="0" w:space="0" w:color="auto"/>
                <w:bottom w:val="none" w:sz="0" w:space="0" w:color="auto"/>
                <w:right w:val="none" w:sz="0" w:space="0" w:color="auto"/>
              </w:divBdr>
            </w:div>
            <w:div w:id="12209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4783">
      <w:bodyDiv w:val="1"/>
      <w:marLeft w:val="0"/>
      <w:marRight w:val="0"/>
      <w:marTop w:val="0"/>
      <w:marBottom w:val="0"/>
      <w:divBdr>
        <w:top w:val="none" w:sz="0" w:space="0" w:color="auto"/>
        <w:left w:val="none" w:sz="0" w:space="0" w:color="auto"/>
        <w:bottom w:val="none" w:sz="0" w:space="0" w:color="auto"/>
        <w:right w:val="none" w:sz="0" w:space="0" w:color="auto"/>
      </w:divBdr>
      <w:divsChild>
        <w:div w:id="867060065">
          <w:marLeft w:val="0"/>
          <w:marRight w:val="0"/>
          <w:marTop w:val="0"/>
          <w:marBottom w:val="0"/>
          <w:divBdr>
            <w:top w:val="none" w:sz="0" w:space="0" w:color="auto"/>
            <w:left w:val="none" w:sz="0" w:space="0" w:color="auto"/>
            <w:bottom w:val="none" w:sz="0" w:space="0" w:color="auto"/>
            <w:right w:val="none" w:sz="0" w:space="0" w:color="auto"/>
          </w:divBdr>
          <w:divsChild>
            <w:div w:id="2016959055">
              <w:marLeft w:val="0"/>
              <w:marRight w:val="0"/>
              <w:marTop w:val="0"/>
              <w:marBottom w:val="0"/>
              <w:divBdr>
                <w:top w:val="none" w:sz="0" w:space="0" w:color="auto"/>
                <w:left w:val="none" w:sz="0" w:space="0" w:color="auto"/>
                <w:bottom w:val="none" w:sz="0" w:space="0" w:color="auto"/>
                <w:right w:val="none" w:sz="0" w:space="0" w:color="auto"/>
              </w:divBdr>
            </w:div>
            <w:div w:id="666976478">
              <w:marLeft w:val="0"/>
              <w:marRight w:val="0"/>
              <w:marTop w:val="0"/>
              <w:marBottom w:val="0"/>
              <w:divBdr>
                <w:top w:val="none" w:sz="0" w:space="0" w:color="auto"/>
                <w:left w:val="none" w:sz="0" w:space="0" w:color="auto"/>
                <w:bottom w:val="none" w:sz="0" w:space="0" w:color="auto"/>
                <w:right w:val="none" w:sz="0" w:space="0" w:color="auto"/>
              </w:divBdr>
            </w:div>
            <w:div w:id="246161925">
              <w:marLeft w:val="0"/>
              <w:marRight w:val="0"/>
              <w:marTop w:val="0"/>
              <w:marBottom w:val="0"/>
              <w:divBdr>
                <w:top w:val="none" w:sz="0" w:space="0" w:color="auto"/>
                <w:left w:val="none" w:sz="0" w:space="0" w:color="auto"/>
                <w:bottom w:val="none" w:sz="0" w:space="0" w:color="auto"/>
                <w:right w:val="none" w:sz="0" w:space="0" w:color="auto"/>
              </w:divBdr>
            </w:div>
            <w:div w:id="76789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137786">
      <w:bodyDiv w:val="1"/>
      <w:marLeft w:val="0"/>
      <w:marRight w:val="0"/>
      <w:marTop w:val="0"/>
      <w:marBottom w:val="0"/>
      <w:divBdr>
        <w:top w:val="none" w:sz="0" w:space="0" w:color="auto"/>
        <w:left w:val="none" w:sz="0" w:space="0" w:color="auto"/>
        <w:bottom w:val="none" w:sz="0" w:space="0" w:color="auto"/>
        <w:right w:val="none" w:sz="0" w:space="0" w:color="auto"/>
      </w:divBdr>
    </w:div>
    <w:div w:id="1085415568">
      <w:bodyDiv w:val="1"/>
      <w:marLeft w:val="0"/>
      <w:marRight w:val="0"/>
      <w:marTop w:val="0"/>
      <w:marBottom w:val="0"/>
      <w:divBdr>
        <w:top w:val="none" w:sz="0" w:space="0" w:color="auto"/>
        <w:left w:val="none" w:sz="0" w:space="0" w:color="auto"/>
        <w:bottom w:val="none" w:sz="0" w:space="0" w:color="auto"/>
        <w:right w:val="none" w:sz="0" w:space="0" w:color="auto"/>
      </w:divBdr>
      <w:divsChild>
        <w:div w:id="651983078">
          <w:marLeft w:val="0"/>
          <w:marRight w:val="0"/>
          <w:marTop w:val="0"/>
          <w:marBottom w:val="0"/>
          <w:divBdr>
            <w:top w:val="none" w:sz="0" w:space="0" w:color="auto"/>
            <w:left w:val="none" w:sz="0" w:space="0" w:color="auto"/>
            <w:bottom w:val="none" w:sz="0" w:space="0" w:color="auto"/>
            <w:right w:val="none" w:sz="0" w:space="0" w:color="auto"/>
          </w:divBdr>
          <w:divsChild>
            <w:div w:id="68447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6265">
      <w:bodyDiv w:val="1"/>
      <w:marLeft w:val="0"/>
      <w:marRight w:val="0"/>
      <w:marTop w:val="0"/>
      <w:marBottom w:val="0"/>
      <w:divBdr>
        <w:top w:val="none" w:sz="0" w:space="0" w:color="auto"/>
        <w:left w:val="none" w:sz="0" w:space="0" w:color="auto"/>
        <w:bottom w:val="none" w:sz="0" w:space="0" w:color="auto"/>
        <w:right w:val="none" w:sz="0" w:space="0" w:color="auto"/>
      </w:divBdr>
      <w:divsChild>
        <w:div w:id="1092749684">
          <w:marLeft w:val="0"/>
          <w:marRight w:val="0"/>
          <w:marTop w:val="0"/>
          <w:marBottom w:val="0"/>
          <w:divBdr>
            <w:top w:val="none" w:sz="0" w:space="0" w:color="auto"/>
            <w:left w:val="none" w:sz="0" w:space="0" w:color="auto"/>
            <w:bottom w:val="none" w:sz="0" w:space="0" w:color="auto"/>
            <w:right w:val="none" w:sz="0" w:space="0" w:color="auto"/>
          </w:divBdr>
          <w:divsChild>
            <w:div w:id="18544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1386">
      <w:bodyDiv w:val="1"/>
      <w:marLeft w:val="0"/>
      <w:marRight w:val="0"/>
      <w:marTop w:val="0"/>
      <w:marBottom w:val="0"/>
      <w:divBdr>
        <w:top w:val="none" w:sz="0" w:space="0" w:color="auto"/>
        <w:left w:val="none" w:sz="0" w:space="0" w:color="auto"/>
        <w:bottom w:val="none" w:sz="0" w:space="0" w:color="auto"/>
        <w:right w:val="none" w:sz="0" w:space="0" w:color="auto"/>
      </w:divBdr>
      <w:divsChild>
        <w:div w:id="2066685232">
          <w:marLeft w:val="0"/>
          <w:marRight w:val="0"/>
          <w:marTop w:val="0"/>
          <w:marBottom w:val="0"/>
          <w:divBdr>
            <w:top w:val="none" w:sz="0" w:space="0" w:color="auto"/>
            <w:left w:val="none" w:sz="0" w:space="0" w:color="auto"/>
            <w:bottom w:val="none" w:sz="0" w:space="0" w:color="auto"/>
            <w:right w:val="none" w:sz="0" w:space="0" w:color="auto"/>
          </w:divBdr>
          <w:divsChild>
            <w:div w:id="7404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1979">
      <w:bodyDiv w:val="1"/>
      <w:marLeft w:val="0"/>
      <w:marRight w:val="0"/>
      <w:marTop w:val="0"/>
      <w:marBottom w:val="0"/>
      <w:divBdr>
        <w:top w:val="none" w:sz="0" w:space="0" w:color="auto"/>
        <w:left w:val="none" w:sz="0" w:space="0" w:color="auto"/>
        <w:bottom w:val="none" w:sz="0" w:space="0" w:color="auto"/>
        <w:right w:val="none" w:sz="0" w:space="0" w:color="auto"/>
      </w:divBdr>
      <w:divsChild>
        <w:div w:id="1599872444">
          <w:marLeft w:val="0"/>
          <w:marRight w:val="0"/>
          <w:marTop w:val="0"/>
          <w:marBottom w:val="0"/>
          <w:divBdr>
            <w:top w:val="none" w:sz="0" w:space="0" w:color="auto"/>
            <w:left w:val="none" w:sz="0" w:space="0" w:color="auto"/>
            <w:bottom w:val="none" w:sz="0" w:space="0" w:color="auto"/>
            <w:right w:val="none" w:sz="0" w:space="0" w:color="auto"/>
          </w:divBdr>
          <w:divsChild>
            <w:div w:id="620376651">
              <w:marLeft w:val="0"/>
              <w:marRight w:val="0"/>
              <w:marTop w:val="0"/>
              <w:marBottom w:val="0"/>
              <w:divBdr>
                <w:top w:val="none" w:sz="0" w:space="0" w:color="auto"/>
                <w:left w:val="none" w:sz="0" w:space="0" w:color="auto"/>
                <w:bottom w:val="none" w:sz="0" w:space="0" w:color="auto"/>
                <w:right w:val="none" w:sz="0" w:space="0" w:color="auto"/>
              </w:divBdr>
            </w:div>
            <w:div w:id="1966738644">
              <w:marLeft w:val="0"/>
              <w:marRight w:val="0"/>
              <w:marTop w:val="0"/>
              <w:marBottom w:val="0"/>
              <w:divBdr>
                <w:top w:val="none" w:sz="0" w:space="0" w:color="auto"/>
                <w:left w:val="none" w:sz="0" w:space="0" w:color="auto"/>
                <w:bottom w:val="none" w:sz="0" w:space="0" w:color="auto"/>
                <w:right w:val="none" w:sz="0" w:space="0" w:color="auto"/>
              </w:divBdr>
            </w:div>
            <w:div w:id="478111781">
              <w:marLeft w:val="0"/>
              <w:marRight w:val="0"/>
              <w:marTop w:val="0"/>
              <w:marBottom w:val="0"/>
              <w:divBdr>
                <w:top w:val="none" w:sz="0" w:space="0" w:color="auto"/>
                <w:left w:val="none" w:sz="0" w:space="0" w:color="auto"/>
                <w:bottom w:val="none" w:sz="0" w:space="0" w:color="auto"/>
                <w:right w:val="none" w:sz="0" w:space="0" w:color="auto"/>
              </w:divBdr>
            </w:div>
            <w:div w:id="1843540980">
              <w:marLeft w:val="0"/>
              <w:marRight w:val="0"/>
              <w:marTop w:val="0"/>
              <w:marBottom w:val="0"/>
              <w:divBdr>
                <w:top w:val="none" w:sz="0" w:space="0" w:color="auto"/>
                <w:left w:val="none" w:sz="0" w:space="0" w:color="auto"/>
                <w:bottom w:val="none" w:sz="0" w:space="0" w:color="auto"/>
                <w:right w:val="none" w:sz="0" w:space="0" w:color="auto"/>
              </w:divBdr>
            </w:div>
            <w:div w:id="9131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12866">
      <w:bodyDiv w:val="1"/>
      <w:marLeft w:val="0"/>
      <w:marRight w:val="0"/>
      <w:marTop w:val="0"/>
      <w:marBottom w:val="0"/>
      <w:divBdr>
        <w:top w:val="none" w:sz="0" w:space="0" w:color="auto"/>
        <w:left w:val="none" w:sz="0" w:space="0" w:color="auto"/>
        <w:bottom w:val="none" w:sz="0" w:space="0" w:color="auto"/>
        <w:right w:val="none" w:sz="0" w:space="0" w:color="auto"/>
      </w:divBdr>
      <w:divsChild>
        <w:div w:id="292713052">
          <w:marLeft w:val="0"/>
          <w:marRight w:val="0"/>
          <w:marTop w:val="0"/>
          <w:marBottom w:val="0"/>
          <w:divBdr>
            <w:top w:val="none" w:sz="0" w:space="0" w:color="auto"/>
            <w:left w:val="none" w:sz="0" w:space="0" w:color="auto"/>
            <w:bottom w:val="none" w:sz="0" w:space="0" w:color="auto"/>
            <w:right w:val="none" w:sz="0" w:space="0" w:color="auto"/>
          </w:divBdr>
          <w:divsChild>
            <w:div w:id="340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6303">
      <w:bodyDiv w:val="1"/>
      <w:marLeft w:val="0"/>
      <w:marRight w:val="0"/>
      <w:marTop w:val="0"/>
      <w:marBottom w:val="0"/>
      <w:divBdr>
        <w:top w:val="none" w:sz="0" w:space="0" w:color="auto"/>
        <w:left w:val="none" w:sz="0" w:space="0" w:color="auto"/>
        <w:bottom w:val="none" w:sz="0" w:space="0" w:color="auto"/>
        <w:right w:val="none" w:sz="0" w:space="0" w:color="auto"/>
      </w:divBdr>
    </w:div>
    <w:div w:id="1681658807">
      <w:bodyDiv w:val="1"/>
      <w:marLeft w:val="0"/>
      <w:marRight w:val="0"/>
      <w:marTop w:val="0"/>
      <w:marBottom w:val="0"/>
      <w:divBdr>
        <w:top w:val="none" w:sz="0" w:space="0" w:color="auto"/>
        <w:left w:val="none" w:sz="0" w:space="0" w:color="auto"/>
        <w:bottom w:val="none" w:sz="0" w:space="0" w:color="auto"/>
        <w:right w:val="none" w:sz="0" w:space="0" w:color="auto"/>
      </w:divBdr>
      <w:divsChild>
        <w:div w:id="1308122114">
          <w:marLeft w:val="0"/>
          <w:marRight w:val="0"/>
          <w:marTop w:val="0"/>
          <w:marBottom w:val="0"/>
          <w:divBdr>
            <w:top w:val="none" w:sz="0" w:space="0" w:color="auto"/>
            <w:left w:val="none" w:sz="0" w:space="0" w:color="auto"/>
            <w:bottom w:val="none" w:sz="0" w:space="0" w:color="auto"/>
            <w:right w:val="none" w:sz="0" w:space="0" w:color="auto"/>
          </w:divBdr>
          <w:divsChild>
            <w:div w:id="700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50460">
      <w:bodyDiv w:val="1"/>
      <w:marLeft w:val="0"/>
      <w:marRight w:val="0"/>
      <w:marTop w:val="0"/>
      <w:marBottom w:val="0"/>
      <w:divBdr>
        <w:top w:val="none" w:sz="0" w:space="0" w:color="auto"/>
        <w:left w:val="none" w:sz="0" w:space="0" w:color="auto"/>
        <w:bottom w:val="none" w:sz="0" w:space="0" w:color="auto"/>
        <w:right w:val="none" w:sz="0" w:space="0" w:color="auto"/>
      </w:divBdr>
    </w:div>
    <w:div w:id="1959145344">
      <w:bodyDiv w:val="1"/>
      <w:marLeft w:val="0"/>
      <w:marRight w:val="0"/>
      <w:marTop w:val="0"/>
      <w:marBottom w:val="0"/>
      <w:divBdr>
        <w:top w:val="none" w:sz="0" w:space="0" w:color="auto"/>
        <w:left w:val="none" w:sz="0" w:space="0" w:color="auto"/>
        <w:bottom w:val="none" w:sz="0" w:space="0" w:color="auto"/>
        <w:right w:val="none" w:sz="0" w:space="0" w:color="auto"/>
      </w:divBdr>
    </w:div>
    <w:div w:id="202231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emf"/><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emf"/><Relationship Id="rId5" Type="http://schemas.openxmlformats.org/officeDocument/2006/relationships/hyperlink" Target="mailto:Fergus.hamilton@bristol.ac.uk"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5.emf"/><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167</TotalTime>
  <Pages>17</Pages>
  <Words>10979</Words>
  <Characters>71584</Characters>
  <Application>Microsoft Office Word</Application>
  <DocSecurity>0</DocSecurity>
  <Lines>980</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 Hamilton</dc:creator>
  <cp:keywords/>
  <dc:description/>
  <cp:lastModifiedBy>Fergus Hamilton</cp:lastModifiedBy>
  <cp:revision>152</cp:revision>
  <dcterms:created xsi:type="dcterms:W3CDTF">2026-02-04T09:20:00Z</dcterms:created>
  <dcterms:modified xsi:type="dcterms:W3CDTF">2026-03-11T16:24:00Z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id="BeNSUuAb"/&gt;&lt;style id="http://www.zotero.org/styles/nature" hasBibliography="1" bibliographyStyleHasBeenSet="0"/&gt;&lt;prefs&gt;&lt;pref name="fieldType" value="Field"/&gt;&lt;pref name="automaticJournalAbbreviatio</vt:lpwstr>
  </property>
  <property fmtid="{D5CDD505-2E9C-101B-9397-08002B2CF9AE}" pid="3" name="ZOTERO_PREF_2">
    <vt:lpwstr>ns" value="true"/&gt;&lt;/prefs&gt;&lt;/data&gt;</vt:lpwstr>
  </property>
</Properties>
</file>