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0379" w14:textId="77777777" w:rsidR="00410F46" w:rsidRDefault="00410F46" w:rsidP="00410F46">
      <w:pPr>
        <w:spacing w:after="200" w:line="276" w:lineRule="auto"/>
        <w:rPr>
          <w:rFonts w:ascii="Times New Roman Bold" w:hAnsi="Times New Roman Bold"/>
          <w:b/>
        </w:rPr>
      </w:pPr>
      <w:proofErr w:type="spellStart"/>
      <w:r>
        <w:rPr>
          <w:rFonts w:ascii="Times New Roman Bold" w:hAnsi="Times New Roman Bold"/>
          <w:b/>
        </w:rPr>
        <w:t>Supplementaty</w:t>
      </w:r>
      <w:proofErr w:type="spellEnd"/>
      <w:r>
        <w:rPr>
          <w:rFonts w:ascii="Times New Roman Bold" w:hAnsi="Times New Roman Bold"/>
          <w:b/>
        </w:rPr>
        <w:t xml:space="preserve"> information on Materials and </w:t>
      </w:r>
      <w:r w:rsidRPr="00F707F9">
        <w:rPr>
          <w:rFonts w:ascii="Times New Roman Bold" w:hAnsi="Times New Roman Bold"/>
          <w:b/>
        </w:rPr>
        <w:t>Methods</w:t>
      </w:r>
    </w:p>
    <w:p w14:paraId="4AB6E085" w14:textId="77777777" w:rsidR="00410F46" w:rsidRDefault="00410F46" w:rsidP="00410F46">
      <w:pPr>
        <w:rPr>
          <w:rFonts w:ascii="Times New Roman Bold" w:hAnsi="Times New Roman Bold"/>
          <w:i/>
        </w:rPr>
      </w:pPr>
    </w:p>
    <w:p w14:paraId="64D0248F" w14:textId="77777777" w:rsidR="00410F46" w:rsidRDefault="00410F46" w:rsidP="00410F46">
      <w:pPr>
        <w:rPr>
          <w:rFonts w:ascii="Times New Roman Bold" w:hAnsi="Times New Roman Bold"/>
          <w:i/>
        </w:rPr>
      </w:pPr>
      <w:r>
        <w:rPr>
          <w:rFonts w:ascii="Times New Roman Bold" w:hAnsi="Times New Roman Bold"/>
          <w:i/>
        </w:rPr>
        <w:t>Genotyping</w:t>
      </w:r>
    </w:p>
    <w:p w14:paraId="20175E6A" w14:textId="77777777" w:rsidR="00410F46" w:rsidRPr="00F707F9" w:rsidRDefault="00410F46" w:rsidP="00410F46">
      <w:pPr>
        <w:spacing w:after="200" w:line="276" w:lineRule="auto"/>
        <w:rPr>
          <w:rFonts w:ascii="Times New Roman Bold" w:hAnsi="Times New Roman Bold"/>
          <w:b/>
        </w:rPr>
      </w:pPr>
    </w:p>
    <w:p w14:paraId="3B8DC187" w14:textId="77777777" w:rsidR="00410F46" w:rsidRPr="005B426E" w:rsidRDefault="00410F46" w:rsidP="00410F46">
      <w:pPr>
        <w:rPr>
          <w:i/>
        </w:rPr>
      </w:pPr>
      <w:r w:rsidRPr="005B426E">
        <w:rPr>
          <w:i/>
        </w:rPr>
        <w:t>Quality control</w:t>
      </w:r>
      <w:r>
        <w:rPr>
          <w:i/>
        </w:rPr>
        <w:t xml:space="preserve"> and imputation</w:t>
      </w:r>
    </w:p>
    <w:p w14:paraId="48463AA6" w14:textId="77777777" w:rsidR="00410F46" w:rsidRPr="006C7CE8" w:rsidRDefault="00410F46" w:rsidP="00410F46">
      <w:pPr>
        <w:rPr>
          <w:rFonts w:ascii="Times New Roman Bold" w:hAnsi="Times New Roman Bold"/>
          <w:i/>
        </w:rPr>
      </w:pPr>
      <w:r w:rsidRPr="00FD52E1">
        <w:t xml:space="preserve">Quality control (QC) </w:t>
      </w:r>
      <w:r>
        <w:t xml:space="preserve">procedures </w:t>
      </w:r>
      <w:r w:rsidRPr="00FD52E1">
        <w:t xml:space="preserve">were performed using the whole genome association analysis toolset </w:t>
      </w:r>
      <w:proofErr w:type="gramStart"/>
      <w:r w:rsidRPr="00FD52E1">
        <w:t>PLINK</w:t>
      </w:r>
      <w:proofErr w:type="gramEnd"/>
      <w:r w:rsidRPr="00FD52E1">
        <w:t xml:space="preserve"> v1.07 (</w:t>
      </w:r>
      <w:hyperlink r:id="rId5" w:history="1">
        <w:r w:rsidRPr="00FD52E1">
          <w:rPr>
            <w:rStyle w:val="Hyperlnk"/>
          </w:rPr>
          <w:t>http://pngu.mgh.harvard.edu/purcell/plink</w:t>
        </w:r>
      </w:hyperlink>
      <w:r>
        <w:t>) in discovery and replication cohorts</w:t>
      </w:r>
      <w:r w:rsidRPr="00FD52E1">
        <w:t xml:space="preserve"> separately</w:t>
      </w:r>
      <w:r>
        <w:t xml:space="preserve"> (</w:t>
      </w:r>
      <w:r w:rsidRPr="00483893">
        <w:rPr>
          <w:b/>
        </w:rPr>
        <w:t>Supplemental Data Table S1</w:t>
      </w:r>
      <w:r>
        <w:t>).</w:t>
      </w:r>
    </w:p>
    <w:p w14:paraId="4944CDA4" w14:textId="77777777" w:rsidR="00410F46" w:rsidRDefault="00410F46" w:rsidP="00410F46">
      <w:r>
        <w:t>Un-genotyped variants were imputed in the discovery and replication phase cohorts separately (</w:t>
      </w:r>
      <w:r w:rsidRPr="00483893">
        <w:rPr>
          <w:b/>
        </w:rPr>
        <w:t>Supplemental Data</w:t>
      </w:r>
      <w:r w:rsidRPr="00483893">
        <w:rPr>
          <w:b/>
          <w:lang w:eastAsia="sv-SE"/>
        </w:rPr>
        <w:t xml:space="preserve"> </w:t>
      </w:r>
      <w:r w:rsidRPr="00483893">
        <w:rPr>
          <w:b/>
        </w:rPr>
        <w:t>Table S1</w:t>
      </w:r>
      <w:r>
        <w:t>)</w:t>
      </w:r>
      <w:r>
        <w:rPr>
          <w:lang w:bidi="en-US"/>
        </w:rPr>
        <w:t>. Pre-phasing was performed using</w:t>
      </w:r>
      <w:r w:rsidRPr="00FD52E1">
        <w:rPr>
          <w:lang w:bidi="en-US"/>
        </w:rPr>
        <w:t xml:space="preserve"> SHAPEIT version 2</w:t>
      </w:r>
      <w:r w:rsidRPr="009A7EB1">
        <w:rPr>
          <w:vertAlign w:val="superscript"/>
          <w:lang w:bidi="en-US"/>
        </w:rPr>
        <w:fldChar w:fldCharType="begin" w:fldLock="1"/>
      </w:r>
      <w:r w:rsidRPr="009A7EB1">
        <w:rPr>
          <w:vertAlign w:val="superscript"/>
          <w:lang w:bidi="en-US"/>
        </w:rPr>
        <w:instrText>ADDIN CSL_CITATION { "citationItems" : [ { "id" : "ITEM-1", "itemData" : { "DOI" : "10.1038/nmeth.2307", "ISSN" : "1548-7105", "PMID" : "23269371", "author" : [ { "dropping-particle" : "", "family" : "Delaneau", "given" : "Olivier", "non-dropping-particle" : "", "parse-names" : false, "suffix" : "" }, { "dropping-particle" : "", "family" : "Zagury", "given" : "Jean-Francois", "non-dropping-particle" : "", "parse-names" : false, "suffix" : "" }, { "dropping-particle" : "", "family" : "Marchini", "given" : "Jonathan", "non-dropping-particle" : "", "parse-names" : false, "suffix" : "" } ], "container-title" : "Nature methods", "id" : "ITEM-1", "issue" : "1", "issued" : { "date-parts" : [ [ "2013", "1" ] ] }, "page" : "5-6", "title" : "Improved whole-chromosome phasing for disease and population genetic studies.", "type" : "article-journal", "volume" : "10" }, "uris" : [ "http://www.mendeley.com/documents/?uuid=ac326d7c-6a31-4107-8a6f-e843da3f1040" ] } ], "mendeley" : { "previouslyFormattedCitation" : "(13)" }, "properties" : { "noteIndex" : 0 }, "schema" : "https://github.com/citation-style-language/schema/raw/master/csl-citation.json" }</w:instrText>
      </w:r>
      <w:r w:rsidRPr="009A7EB1">
        <w:rPr>
          <w:vertAlign w:val="superscript"/>
          <w:lang w:bidi="en-US"/>
        </w:rPr>
        <w:fldChar w:fldCharType="separate"/>
      </w:r>
      <w:r w:rsidRPr="009A7EB1">
        <w:rPr>
          <w:noProof/>
          <w:vertAlign w:val="superscript"/>
          <w:lang w:bidi="en-US"/>
        </w:rPr>
        <w:t>13</w:t>
      </w:r>
      <w:r w:rsidRPr="009A7EB1">
        <w:rPr>
          <w:vertAlign w:val="superscript"/>
          <w:lang w:bidi="en-US"/>
        </w:rPr>
        <w:fldChar w:fldCharType="end"/>
      </w:r>
      <w:r>
        <w:rPr>
          <w:lang w:bidi="en-US"/>
        </w:rPr>
        <w:t>,</w:t>
      </w:r>
      <w:r w:rsidRPr="00FD52E1">
        <w:rPr>
          <w:lang w:bidi="en-US"/>
        </w:rPr>
        <w:t xml:space="preserve"> and</w:t>
      </w:r>
      <w:r>
        <w:rPr>
          <w:lang w:bidi="en-US"/>
        </w:rPr>
        <w:t xml:space="preserve"> imputations were performed using </w:t>
      </w:r>
      <w:r w:rsidRPr="00FD52E1">
        <w:rPr>
          <w:lang w:bidi="en-US"/>
        </w:rPr>
        <w:t>IMPUTE2 (version 2.2.2)</w:t>
      </w:r>
      <w:r w:rsidRPr="009A7EB1">
        <w:rPr>
          <w:vertAlign w:val="superscript"/>
          <w:lang w:bidi="en-US"/>
        </w:rPr>
        <w:fldChar w:fldCharType="begin" w:fldLock="1"/>
      </w:r>
      <w:r w:rsidRPr="009A7EB1">
        <w:rPr>
          <w:vertAlign w:val="superscript"/>
          <w:lang w:bidi="en-US"/>
        </w:rPr>
        <w:instrText>ADDIN CSL_CITATION { "citationItems" : [ { "id" : "ITEM-1", "itemData" : { "DOI" : "10.1371/journal.pgen.1000529", "ISBN" : "1553-7404 (Electronic)", "PMID" : "19543373", "abstract" : "Genotype imputation methods are now being widely used in the analysis of genome-wide association studies. Most imputation analyses to date have used the HapMap as a reference dataset, but new reference panels (such as controls genotyped on multiple SNP chips and densely typed samples from the 1,000 Genomes Project) will soon allow a broader range of SNPs to be imputed with higher accuracy, thereby increasing power. We describe a genotype imputation method (IMPUTE version 2) that is designed to address the challenges presented by these new datasets. The main innovation of our approach is a flexible modelling framework that increases accuracy and combines information across multiple reference panels while remaining computationally feasible. We find that IMPUTE v2 attains higher accuracy than other methods when the HapMap provides the sole reference panel, but that the size of the panel constrains the improvements that can be made. We also find that imputation accuracy can be greatly enhanced by expanding the reference panel to contain thousands of chromosomes and that IMPUTE v2 outperforms other methods in this setting at both rare and common SNPs, with overall error rates that are 15%-20% lower than those of the closest competing method. One particularly challenging aspect of next-generation association studies is to integrate information across multiple reference panels genotyped on different sets of SNPs; we show that our approach to this problem has practical advantages over other suggested solutions.", "author" : [ { "dropping-particle" : "", "family" : "Howie", "given" : "B N", "non-dropping-particle" : "", "parse-names" : false, "suffix" : "" }, { "dropping-particle" : "", "family" : "Donnelly", "given" : "P", "non-dropping-particle" : "", "parse-names" : false, "suffix" : "" }, { "dropping-particle" : "", "family" : "Marchini", "given" : "J", "non-dropping-particle" : "", "parse-names" : false, "suffix" : "" } ], "container-title" : "PLoS Genet", "edition" : "2009/06/23", "id" : "ITEM-1", "issue" : "6", "issued" : { "date-parts" : [ [ "2009" ] ] }, "page" : "e1000529", "title" : "A flexible and accurate genotype imputation method for the next generation of genome-wide association studies", "type" : "article-journal", "volume" : "5" }, "uris" : [ "http://www.mendeley.com/documents/?uuid=6664f0d9-6208-4f3d-b073-e51b94e9048e" ] } ], "mendeley" : { "previouslyFormattedCitation" : "(14)" }, "properties" : { "noteIndex" : 0 }, "schema" : "https://github.com/citation-style-language/schema/raw/master/csl-citation.json" }</w:instrText>
      </w:r>
      <w:r w:rsidRPr="009A7EB1">
        <w:rPr>
          <w:vertAlign w:val="superscript"/>
          <w:lang w:bidi="en-US"/>
        </w:rPr>
        <w:fldChar w:fldCharType="separate"/>
      </w:r>
      <w:r w:rsidRPr="009A7EB1">
        <w:rPr>
          <w:noProof/>
          <w:vertAlign w:val="superscript"/>
          <w:lang w:bidi="en-US"/>
        </w:rPr>
        <w:t>14</w:t>
      </w:r>
      <w:r w:rsidRPr="009A7EB1">
        <w:rPr>
          <w:vertAlign w:val="superscript"/>
          <w:lang w:bidi="en-US"/>
        </w:rPr>
        <w:fldChar w:fldCharType="end"/>
      </w:r>
      <w:r w:rsidRPr="00FD52E1">
        <w:rPr>
          <w:lang w:bidi="en-US"/>
        </w:rPr>
        <w:t>.</w:t>
      </w:r>
      <w:r>
        <w:rPr>
          <w:lang w:bidi="en-US"/>
        </w:rPr>
        <w:t xml:space="preserve"> The 1000 Genomes</w:t>
      </w:r>
      <w:r w:rsidRPr="009A7EB1">
        <w:rPr>
          <w:vertAlign w:val="superscript"/>
          <w:lang w:bidi="en-US"/>
        </w:rPr>
        <w:fldChar w:fldCharType="begin" w:fldLock="1"/>
      </w:r>
      <w:r w:rsidRPr="009A7EB1">
        <w:rPr>
          <w:vertAlign w:val="superscript"/>
          <w:lang w:bidi="en-US"/>
        </w:rPr>
        <w:instrText>ADDIN CSL_CITATION { "citationItems" : [ { "id" : "ITEM-1", "itemData" : { "DOI" : "10.1038/nature09534", "ISSN" : "1476-4687", "PMID" : "20981092", "abstract" : "The 1000 Genomes Project aims to provide a deep characterization of human genome sequence variation as a foundation for investigating the relationship between genotype and phenotype. Here we present results of the pilot phase of the project, designed to develop and compare different strategies for genome-wide sequencing with high-throughput platforms. We undertook three projects: low-coverage whole-genome sequencing of 179 individuals from four populations; high-coverage sequencing of two mother-father-child trios; and exon-targeted sequencing of 697 individuals from seven populations. We describe the location, allele frequency and local haplotype structure of approximately 15 million single nucleotide polymorphisms, 1 million short insertions and deletions, and 20,000 structural variants, most of which were previously undescribed. We show that, because we have catalogued the vast majority of common variation, over 95% of the currently accessible variants found in any individual are present in this data set. On average, each person is found to carry approximately 250 to 300 loss-of-function variants in annotated genes and 50 to 100 variants previously implicated in inherited disorders. We demonstrate how these results can be used to inform association and functional studies. From the two trios, we directly estimate the rate of de novo germline base substitution mutations to be approximately 10(-8) per base pair per generation. We explore the data with regard to signatures of natural selection, and identify a marked reduction of genetic variation in the neighbourhood of genes, due to selection at linked sites. These methods and public data will support the next phase of human genetic research.", "author" : [ { "dropping-particle" : "", "family" : "Abecasis", "given" : "Gon\u00e7alo R", "non-dropping-particle" : "", "parse-names" : false, "suffix" : "" }, { "dropping-particle" : "", "family" : "Altshuler", "given" : "David",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"Gibbs", "given" : "Richard A", "non-dropping-particle" : "", "parse-names" : false, "suffix" : "" }, { "dropping-particle" : "", "family" : "Hurles", "given" : "Matt E", "non-dropping-particle" : "", "parse-names" : false, "suffix" : "" }, { "dropping-particle" : "", "family" : "McVean", "given" : "Gil A", "non-dropping-particle" : "", "parse-names" : false, "suffix" : "" } ], "container-title" : "Nature", "id" : "ITEM-1", "issue" : "7319", "issued" : { "date-parts" : [ [ "2010", "10" ] ] }, "page" : "1061-73", "title" : "A map of human genome variation from population-scale sequencing.", "type" : "article-journal", "volume" : "467" }, "uris" : [ "http://www.mendeley.com/documents/?uuid=6cab180f-7b9c-4a5a-b59a-f79ade83ca6e" ] } ], "mendeley" : { "previouslyFormattedCitation" : "(15)" }, "properties" : { "noteIndex" : 0 }, "schema" : "https://github.com/citation-style-language/schema/raw/master/csl-citation.json" }</w:instrText>
      </w:r>
      <w:r w:rsidRPr="009A7EB1">
        <w:rPr>
          <w:vertAlign w:val="superscript"/>
          <w:lang w:bidi="en-US"/>
        </w:rPr>
        <w:fldChar w:fldCharType="separate"/>
      </w:r>
      <w:r w:rsidRPr="009A7EB1">
        <w:rPr>
          <w:noProof/>
          <w:vertAlign w:val="superscript"/>
          <w:lang w:bidi="en-US"/>
        </w:rPr>
        <w:t>15</w:t>
      </w:r>
      <w:r w:rsidRPr="009A7EB1">
        <w:rPr>
          <w:vertAlign w:val="superscript"/>
          <w:lang w:bidi="en-US"/>
        </w:rPr>
        <w:fldChar w:fldCharType="end"/>
      </w:r>
      <w:r w:rsidRPr="00FD52E1">
        <w:rPr>
          <w:lang w:bidi="en-US"/>
        </w:rPr>
        <w:t xml:space="preserve"> </w:t>
      </w:r>
      <w:r>
        <w:rPr>
          <w:lang w:bidi="en-US"/>
        </w:rPr>
        <w:t>Discovery phase</w:t>
      </w:r>
      <w:r w:rsidRPr="00FD52E1">
        <w:rPr>
          <w:lang w:bidi="en-US"/>
        </w:rPr>
        <w:t xml:space="preserve"> integrated variant set (NCBI build b37, Mar 2012, updated 24 Aug 2012) were accessed from the IMPUTE2 web site and used as reference panel. </w:t>
      </w:r>
      <w:r>
        <w:rPr>
          <w:lang w:bidi="en-US"/>
        </w:rPr>
        <w:t>QC of imputed SNPs (</w:t>
      </w:r>
      <w:r w:rsidRPr="00D80BC1">
        <w:rPr>
          <w:b/>
        </w:rPr>
        <w:t>Supplemental Data</w:t>
      </w:r>
      <w:r w:rsidRPr="00D80BC1">
        <w:rPr>
          <w:b/>
          <w:lang w:eastAsia="sv-SE"/>
        </w:rPr>
        <w:t xml:space="preserve"> </w:t>
      </w:r>
      <w:r w:rsidRPr="00D80BC1">
        <w:rPr>
          <w:b/>
        </w:rPr>
        <w:t>Table S1</w:t>
      </w:r>
      <w:r>
        <w:t xml:space="preserve">) </w:t>
      </w:r>
      <w:r>
        <w:rPr>
          <w:lang w:bidi="en-US"/>
        </w:rPr>
        <w:t xml:space="preserve">and merging of the discovery and replication cohorts were performed using </w:t>
      </w:r>
      <w:r w:rsidRPr="00FD52E1">
        <w:rPr>
          <w:lang w:bidi="en-US"/>
        </w:rPr>
        <w:t>QCTOOL version 1.3</w:t>
      </w:r>
      <w:r>
        <w:rPr>
          <w:lang w:bidi="en-US"/>
        </w:rPr>
        <w:t xml:space="preserve"> </w:t>
      </w:r>
      <w:r w:rsidRPr="00FD52E1">
        <w:rPr>
          <w:lang w:bidi="en-US"/>
        </w:rPr>
        <w:t>(</w:t>
      </w:r>
      <w:hyperlink r:id="rId6" w:history="1">
        <w:r w:rsidRPr="00FD52E1">
          <w:rPr>
            <w:rStyle w:val="Hyperlnk"/>
            <w:lang w:bidi="en-US"/>
          </w:rPr>
          <w:t>http://www.well.ox.ac.uk/~gav/qctool</w:t>
        </w:r>
      </w:hyperlink>
      <w:r>
        <w:rPr>
          <w:lang w:bidi="en-US"/>
        </w:rPr>
        <w:t xml:space="preserve">). All imputations were performed prior to the exclusion of clopidogrel-treated patients. </w:t>
      </w:r>
      <w:r>
        <w:t>Statistical analyses were then performed on the ticagrelor patients using a subset of the data containing both empirical and imputed genotype data for discovery and replication phase subjects (N=4,990 of which 3,753 [75%] had PK data).</w:t>
      </w:r>
    </w:p>
    <w:p w14:paraId="6F91F686" w14:textId="77777777" w:rsidR="00410F46" w:rsidRDefault="00410F46" w:rsidP="00410F46">
      <w:pPr>
        <w:rPr>
          <w:i/>
        </w:rPr>
      </w:pPr>
    </w:p>
    <w:p w14:paraId="4DAB6CBD" w14:textId="77777777" w:rsidR="00410F46" w:rsidRPr="005B426E" w:rsidRDefault="00410F46" w:rsidP="00410F46">
      <w:pPr>
        <w:rPr>
          <w:i/>
        </w:rPr>
      </w:pPr>
      <w:r>
        <w:rPr>
          <w:i/>
        </w:rPr>
        <w:t>Additional genotyping</w:t>
      </w:r>
    </w:p>
    <w:p w14:paraId="44776474" w14:textId="77777777" w:rsidR="00410F46" w:rsidRDefault="00410F46" w:rsidP="00410F46">
      <w:pPr>
        <w:rPr>
          <w:rFonts w:ascii="Times New Roman Bold" w:hAnsi="Times New Roman Bold"/>
          <w:i/>
        </w:rPr>
      </w:pPr>
      <w:r>
        <w:t xml:space="preserve">Selected findings at imputed sites showing association with PK levels were genotyped using </w:t>
      </w:r>
      <w:proofErr w:type="spellStart"/>
      <w:r>
        <w:t>TaqMan</w:t>
      </w:r>
      <w:proofErr w:type="spellEnd"/>
      <w:r>
        <w:t xml:space="preserve">™ (Life Technologies, </w:t>
      </w:r>
      <w:r w:rsidRPr="00E54F1E">
        <w:t>Carlsbad, CA</w:t>
      </w:r>
      <w:r>
        <w:t xml:space="preserve">) at AstraZeneca, </w:t>
      </w:r>
      <w:proofErr w:type="spellStart"/>
      <w:r>
        <w:t>Alderley</w:t>
      </w:r>
      <w:proofErr w:type="spellEnd"/>
      <w:r>
        <w:t xml:space="preserve"> Park, </w:t>
      </w:r>
      <w:r>
        <w:lastRenderedPageBreak/>
        <w:t>Cheshire, UK.</w:t>
      </w:r>
      <w:r>
        <w:br/>
      </w:r>
      <w:bookmarkStart w:id="0" w:name="_GoBack"/>
      <w:bookmarkEnd w:id="0"/>
    </w:p>
    <w:sectPr w:rsidR="00410F46" w:rsidSect="00DC5F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46"/>
    <w:rsid w:val="00373046"/>
    <w:rsid w:val="00410F46"/>
    <w:rsid w:val="008107E9"/>
    <w:rsid w:val="00DC5FE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EB1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F46"/>
    <w:pPr>
      <w:spacing w:line="480" w:lineRule="auto"/>
    </w:pPr>
    <w:rPr>
      <w:rFonts w:ascii="Times New Roman" w:eastAsia="ヒラギノ角ゴ Pro W3" w:hAnsi="Times New Roman" w:cs="Times New Roman"/>
      <w:color w:val="000000"/>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iPriority w:val="99"/>
    <w:unhideWhenUsed/>
    <w:rsid w:val="00410F4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F46"/>
    <w:pPr>
      <w:spacing w:line="480" w:lineRule="auto"/>
    </w:pPr>
    <w:rPr>
      <w:rFonts w:ascii="Times New Roman" w:eastAsia="ヒラギノ角ゴ Pro W3" w:hAnsi="Times New Roman" w:cs="Times New Roman"/>
      <w:color w:val="000000"/>
      <w:lang w:val="en-GB"/>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iPriority w:val="99"/>
    <w:unhideWhenUsed/>
    <w:rsid w:val="00410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ngu.mgh.harvard.edu/purcell/plink" TargetMode="External"/><Relationship Id="rId6" Type="http://schemas.openxmlformats.org/officeDocument/2006/relationships/hyperlink" Target="http://www.well.ox.ac.uk/~gav/qctoo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1435</Words>
  <Characters>7609</Characters>
  <Application>Microsoft Macintosh Word</Application>
  <DocSecurity>0</DocSecurity>
  <Lines>63</Lines>
  <Paragraphs>18</Paragraphs>
  <ScaleCrop>false</ScaleCrop>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Varenhorst</dc:creator>
  <cp:keywords/>
  <dc:description/>
  <cp:lastModifiedBy>Christoph Varenhorst</cp:lastModifiedBy>
  <cp:revision>3</cp:revision>
  <dcterms:created xsi:type="dcterms:W3CDTF">2014-11-21T11:29:00Z</dcterms:created>
  <dcterms:modified xsi:type="dcterms:W3CDTF">2015-01-12T08:04:00Z</dcterms:modified>
</cp:coreProperties>
</file>