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D1B6" w14:textId="77777777" w:rsidR="00D36C1C" w:rsidRPr="00D36C1C" w:rsidRDefault="00D36C1C" w:rsidP="00D36C1C">
      <w:r w:rsidRPr="00D36C1C">
        <w:rPr>
          <w:b/>
          <w:bCs/>
        </w:rPr>
        <w:t>Data-dictionary</w:t>
      </w:r>
      <w:r w:rsidRPr="00D36C1C">
        <w:rPr>
          <w:b/>
          <w:bCs/>
        </w:rPr>
        <w:br/>
        <w:t>(temperature-epoch Parquet + summary-covariate CSV)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843"/>
        <w:gridCol w:w="980"/>
        <w:gridCol w:w="2229"/>
      </w:tblGrid>
      <w:tr w:rsidR="00D36C1C" w:rsidRPr="00D36C1C" w14:paraId="1D230044" w14:textId="77777777" w:rsidTr="00D36C1C">
        <w:tc>
          <w:tcPr>
            <w:tcW w:w="3964" w:type="dxa"/>
            <w:hideMark/>
          </w:tcPr>
          <w:p w14:paraId="76680FBA" w14:textId="77777777" w:rsidR="00D36C1C" w:rsidRPr="00D36C1C" w:rsidRDefault="00D36C1C" w:rsidP="00D36C1C">
            <w:pPr>
              <w:spacing w:after="160" w:line="278" w:lineRule="auto"/>
              <w:rPr>
                <w:b/>
                <w:bCs/>
              </w:rPr>
            </w:pPr>
            <w:r w:rsidRPr="00D36C1C">
              <w:rPr>
                <w:b/>
                <w:bCs/>
              </w:rPr>
              <w:t>Column</w:t>
            </w:r>
          </w:p>
        </w:tc>
        <w:tc>
          <w:tcPr>
            <w:tcW w:w="1843" w:type="dxa"/>
            <w:hideMark/>
          </w:tcPr>
          <w:p w14:paraId="11303FE5" w14:textId="77777777" w:rsidR="00D36C1C" w:rsidRPr="00D36C1C" w:rsidRDefault="00D36C1C" w:rsidP="00D36C1C">
            <w:pPr>
              <w:spacing w:after="160" w:line="278" w:lineRule="auto"/>
              <w:rPr>
                <w:b/>
                <w:bCs/>
              </w:rPr>
            </w:pPr>
            <w:r w:rsidRPr="00D36C1C">
              <w:rPr>
                <w:b/>
                <w:bCs/>
              </w:rPr>
              <w:t>Type</w:t>
            </w:r>
          </w:p>
        </w:tc>
        <w:tc>
          <w:tcPr>
            <w:tcW w:w="980" w:type="dxa"/>
            <w:hideMark/>
          </w:tcPr>
          <w:p w14:paraId="030FE845" w14:textId="77777777" w:rsidR="00D36C1C" w:rsidRPr="00D36C1C" w:rsidRDefault="00D36C1C" w:rsidP="00D36C1C">
            <w:pPr>
              <w:spacing w:after="160" w:line="278" w:lineRule="auto"/>
              <w:rPr>
                <w:b/>
                <w:bCs/>
              </w:rPr>
            </w:pPr>
            <w:r w:rsidRPr="00D36C1C">
              <w:rPr>
                <w:b/>
                <w:bCs/>
              </w:rPr>
              <w:t>Units</w:t>
            </w:r>
          </w:p>
        </w:tc>
        <w:tc>
          <w:tcPr>
            <w:tcW w:w="2229" w:type="dxa"/>
            <w:hideMark/>
          </w:tcPr>
          <w:p w14:paraId="144E5BC3" w14:textId="77777777" w:rsidR="00D36C1C" w:rsidRPr="00D36C1C" w:rsidRDefault="00D36C1C" w:rsidP="00D36C1C">
            <w:pPr>
              <w:spacing w:after="160" w:line="278" w:lineRule="auto"/>
              <w:rPr>
                <w:b/>
                <w:bCs/>
              </w:rPr>
            </w:pPr>
            <w:r w:rsidRPr="00D36C1C">
              <w:rPr>
                <w:b/>
                <w:bCs/>
              </w:rPr>
              <w:t>Definition &amp; QC notes</w:t>
            </w:r>
          </w:p>
        </w:tc>
      </w:tr>
      <w:tr w:rsidR="00D36C1C" w:rsidRPr="00D36C1C" w14:paraId="069BA11A" w14:textId="77777777" w:rsidTr="00D36C1C">
        <w:tc>
          <w:tcPr>
            <w:tcW w:w="3964" w:type="dxa"/>
            <w:hideMark/>
          </w:tcPr>
          <w:p w14:paraId="62CDF290" w14:textId="77777777" w:rsidR="00D36C1C" w:rsidRPr="00D36C1C" w:rsidRDefault="00D36C1C" w:rsidP="00D36C1C">
            <w:pPr>
              <w:spacing w:after="160" w:line="278" w:lineRule="auto"/>
            </w:pPr>
            <w:r w:rsidRPr="00D36C1C">
              <w:rPr>
                <w:b/>
                <w:bCs/>
              </w:rPr>
              <w:t>Temperature-epoch Parquet</w:t>
            </w:r>
            <w:r w:rsidRPr="00D36C1C">
              <w:t xml:space="preserve"> </w:t>
            </w:r>
            <w:proofErr w:type="spellStart"/>
            <w:r w:rsidRPr="00D36C1C">
              <w:t>temperature_epochs</w:t>
            </w:r>
            <w:proofErr w:type="spellEnd"/>
            <w:r w:rsidRPr="00D36C1C">
              <w:t xml:space="preserve">_&lt;RUN_NAME&gt;.parquet </w:t>
            </w:r>
            <w:r w:rsidRPr="00D36C1C">
              <w:rPr>
                <w:i/>
                <w:iCs/>
              </w:rPr>
              <w:t>(</w:t>
            </w:r>
            <w:proofErr w:type="spellStart"/>
            <w:r w:rsidRPr="00D36C1C">
              <w:rPr>
                <w:i/>
                <w:iCs/>
              </w:rPr>
              <w:t>Zstd</w:t>
            </w:r>
            <w:proofErr w:type="spellEnd"/>
            <w:r w:rsidRPr="00D36C1C">
              <w:rPr>
                <w:i/>
                <w:iCs/>
              </w:rPr>
              <w:t>-compressed)</w:t>
            </w:r>
          </w:p>
        </w:tc>
        <w:tc>
          <w:tcPr>
            <w:tcW w:w="1843" w:type="dxa"/>
            <w:hideMark/>
          </w:tcPr>
          <w:p w14:paraId="11DF718E" w14:textId="77777777" w:rsidR="00D36C1C" w:rsidRPr="00D36C1C" w:rsidRDefault="00D36C1C" w:rsidP="00D36C1C">
            <w:pPr>
              <w:spacing w:after="160" w:line="278" w:lineRule="auto"/>
            </w:pPr>
          </w:p>
        </w:tc>
        <w:tc>
          <w:tcPr>
            <w:tcW w:w="980" w:type="dxa"/>
            <w:hideMark/>
          </w:tcPr>
          <w:p w14:paraId="44141600" w14:textId="77777777" w:rsidR="00D36C1C" w:rsidRPr="00D36C1C" w:rsidRDefault="00D36C1C" w:rsidP="00D36C1C">
            <w:pPr>
              <w:spacing w:after="160" w:line="278" w:lineRule="auto"/>
            </w:pPr>
          </w:p>
        </w:tc>
        <w:tc>
          <w:tcPr>
            <w:tcW w:w="2229" w:type="dxa"/>
            <w:hideMark/>
          </w:tcPr>
          <w:p w14:paraId="519CC76E" w14:textId="77777777" w:rsidR="00D36C1C" w:rsidRPr="00D36C1C" w:rsidRDefault="00D36C1C" w:rsidP="00D36C1C">
            <w:pPr>
              <w:spacing w:after="160" w:line="278" w:lineRule="auto"/>
            </w:pPr>
          </w:p>
        </w:tc>
      </w:tr>
      <w:tr w:rsidR="00D36C1C" w:rsidRPr="00D36C1C" w14:paraId="3F756A6A" w14:textId="77777777" w:rsidTr="00D36C1C">
        <w:tc>
          <w:tcPr>
            <w:tcW w:w="3964" w:type="dxa"/>
            <w:hideMark/>
          </w:tcPr>
          <w:p w14:paraId="1B8029A1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id</w:t>
            </w:r>
          </w:p>
        </w:tc>
        <w:tc>
          <w:tcPr>
            <w:tcW w:w="1843" w:type="dxa"/>
            <w:hideMark/>
          </w:tcPr>
          <w:p w14:paraId="1EC9CE65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string</w:t>
            </w:r>
          </w:p>
        </w:tc>
        <w:tc>
          <w:tcPr>
            <w:tcW w:w="980" w:type="dxa"/>
            <w:hideMark/>
          </w:tcPr>
          <w:p w14:paraId="3EFFC86A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75B86E89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Device/participant identifier taken from the raw filename (e.g. 1000056_90001_0_0). Primary join key across all tables.</w:t>
            </w:r>
          </w:p>
        </w:tc>
      </w:tr>
      <w:tr w:rsidR="00D36C1C" w:rsidRPr="00D36C1C" w14:paraId="6DA039F1" w14:textId="77777777" w:rsidTr="00D36C1C">
        <w:tc>
          <w:tcPr>
            <w:tcW w:w="3964" w:type="dxa"/>
            <w:hideMark/>
          </w:tcPr>
          <w:p w14:paraId="16804CE3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time</w:t>
            </w:r>
          </w:p>
        </w:tc>
        <w:tc>
          <w:tcPr>
            <w:tcW w:w="1843" w:type="dxa"/>
            <w:hideMark/>
          </w:tcPr>
          <w:p w14:paraId="531254EA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timestamp (ns, </w:t>
            </w:r>
            <w:proofErr w:type="spellStart"/>
            <w:r w:rsidRPr="00D36C1C">
              <w:t>tz</w:t>
            </w:r>
            <w:proofErr w:type="spellEnd"/>
            <w:r w:rsidRPr="00D36C1C">
              <w:t xml:space="preserve"> = Europe/London)</w:t>
            </w:r>
          </w:p>
        </w:tc>
        <w:tc>
          <w:tcPr>
            <w:tcW w:w="980" w:type="dxa"/>
            <w:hideMark/>
          </w:tcPr>
          <w:p w14:paraId="0150748C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0693C2AE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Start of the 30-s epoch, exactly as emitted by </w:t>
            </w:r>
            <w:proofErr w:type="spellStart"/>
            <w:r w:rsidRPr="00D36C1C">
              <w:rPr>
                <w:b/>
                <w:bCs/>
              </w:rPr>
              <w:t>accProcess</w:t>
            </w:r>
            <w:proofErr w:type="spellEnd"/>
            <w:r w:rsidRPr="00D36C1C">
              <w:t xml:space="preserve">. Use for day-night aggregation or </w:t>
            </w:r>
            <w:proofErr w:type="spellStart"/>
            <w:r w:rsidRPr="00D36C1C">
              <w:t>cosinor</w:t>
            </w:r>
            <w:proofErr w:type="spellEnd"/>
            <w:r w:rsidRPr="00D36C1C">
              <w:t xml:space="preserve"> fitting.</w:t>
            </w:r>
          </w:p>
        </w:tc>
      </w:tr>
      <w:tr w:rsidR="00D36C1C" w:rsidRPr="00D36C1C" w14:paraId="78FCDD9A" w14:textId="77777777" w:rsidTr="00D36C1C">
        <w:tc>
          <w:tcPr>
            <w:tcW w:w="3964" w:type="dxa"/>
            <w:hideMark/>
          </w:tcPr>
          <w:p w14:paraId="36DBC8C0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temp</w:t>
            </w:r>
          </w:p>
        </w:tc>
        <w:tc>
          <w:tcPr>
            <w:tcW w:w="1843" w:type="dxa"/>
            <w:hideMark/>
          </w:tcPr>
          <w:p w14:paraId="28B14917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double</w:t>
            </w:r>
          </w:p>
        </w:tc>
        <w:tc>
          <w:tcPr>
            <w:tcW w:w="980" w:type="dxa"/>
            <w:hideMark/>
          </w:tcPr>
          <w:p w14:paraId="344DBAF1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°C</w:t>
            </w:r>
          </w:p>
        </w:tc>
        <w:tc>
          <w:tcPr>
            <w:tcW w:w="2229" w:type="dxa"/>
            <w:hideMark/>
          </w:tcPr>
          <w:p w14:paraId="2509833F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Mean calibrated wrist-sensor temperature over the 30 s window. Calibration uses the axis slopes/offsets stored in the summary JSON.</w:t>
            </w:r>
          </w:p>
        </w:tc>
      </w:tr>
      <w:tr w:rsidR="00D36C1C" w:rsidRPr="00D36C1C" w14:paraId="30FD768D" w14:textId="77777777" w:rsidTr="00D36C1C">
        <w:tc>
          <w:tcPr>
            <w:tcW w:w="3964" w:type="dxa"/>
            <w:hideMark/>
          </w:tcPr>
          <w:p w14:paraId="17CE555C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enmoTrunc</w:t>
            </w:r>
            <w:proofErr w:type="spellEnd"/>
          </w:p>
        </w:tc>
        <w:tc>
          <w:tcPr>
            <w:tcW w:w="1843" w:type="dxa"/>
            <w:hideMark/>
          </w:tcPr>
          <w:p w14:paraId="61AD5A00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double</w:t>
            </w:r>
          </w:p>
        </w:tc>
        <w:tc>
          <w:tcPr>
            <w:tcW w:w="980" w:type="dxa"/>
            <w:hideMark/>
          </w:tcPr>
          <w:p w14:paraId="526298F3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milli-g (mg)</w:t>
            </w:r>
          </w:p>
        </w:tc>
        <w:tc>
          <w:tcPr>
            <w:tcW w:w="2229" w:type="dxa"/>
            <w:hideMark/>
          </w:tcPr>
          <w:p w14:paraId="2B929226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Activity intensity (Euclidean Norm Minus One, negatives truncated to 0). Include as an </w:t>
            </w:r>
            <w:r w:rsidRPr="00D36C1C">
              <w:lastRenderedPageBreak/>
              <w:t>acute-activity covariate.</w:t>
            </w:r>
          </w:p>
        </w:tc>
      </w:tr>
      <w:tr w:rsidR="00D36C1C" w:rsidRPr="00D36C1C" w14:paraId="2F643496" w14:textId="77777777" w:rsidTr="00D36C1C">
        <w:tc>
          <w:tcPr>
            <w:tcW w:w="3964" w:type="dxa"/>
            <w:hideMark/>
          </w:tcPr>
          <w:p w14:paraId="06B9C24A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lastRenderedPageBreak/>
              <w:t>dataErrors</w:t>
            </w:r>
            <w:proofErr w:type="spellEnd"/>
          </w:p>
        </w:tc>
        <w:tc>
          <w:tcPr>
            <w:tcW w:w="1843" w:type="dxa"/>
            <w:hideMark/>
          </w:tcPr>
          <w:p w14:paraId="1F5F33CD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int32</w:t>
            </w:r>
          </w:p>
        </w:tc>
        <w:tc>
          <w:tcPr>
            <w:tcW w:w="980" w:type="dxa"/>
            <w:hideMark/>
          </w:tcPr>
          <w:p w14:paraId="22530BAD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count</w:t>
            </w:r>
          </w:p>
        </w:tc>
        <w:tc>
          <w:tcPr>
            <w:tcW w:w="2229" w:type="dxa"/>
            <w:hideMark/>
          </w:tcPr>
          <w:p w14:paraId="66F3BB45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Raw 100 Hz packets missing/corrupt inside the epoch. </w:t>
            </w:r>
            <w:r w:rsidRPr="00D36C1C">
              <w:rPr>
                <w:b/>
                <w:bCs/>
              </w:rPr>
              <w:t>QC</w:t>
            </w:r>
            <w:r w:rsidRPr="00D36C1C">
              <w:t xml:space="preserve">: drop or down-weight rows with </w:t>
            </w:r>
            <w:proofErr w:type="spellStart"/>
            <w:r w:rsidRPr="00D36C1C">
              <w:t>dataErrors</w:t>
            </w:r>
            <w:proofErr w:type="spellEnd"/>
            <w:r w:rsidRPr="00D36C1C">
              <w:t xml:space="preserve"> &gt; 0 (rare).</w:t>
            </w:r>
          </w:p>
        </w:tc>
      </w:tr>
      <w:tr w:rsidR="00D36C1C" w:rsidRPr="00D36C1C" w14:paraId="6A6C00F6" w14:textId="77777777" w:rsidTr="00D36C1C">
        <w:tc>
          <w:tcPr>
            <w:tcW w:w="3964" w:type="dxa"/>
            <w:hideMark/>
          </w:tcPr>
          <w:p w14:paraId="32423543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samples</w:t>
            </w:r>
          </w:p>
        </w:tc>
        <w:tc>
          <w:tcPr>
            <w:tcW w:w="1843" w:type="dxa"/>
            <w:hideMark/>
          </w:tcPr>
          <w:p w14:paraId="31020BDB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int32</w:t>
            </w:r>
          </w:p>
        </w:tc>
        <w:tc>
          <w:tcPr>
            <w:tcW w:w="980" w:type="dxa"/>
            <w:hideMark/>
          </w:tcPr>
          <w:p w14:paraId="368D9319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count</w:t>
            </w:r>
          </w:p>
        </w:tc>
        <w:tc>
          <w:tcPr>
            <w:tcW w:w="2229" w:type="dxa"/>
            <w:hideMark/>
          </w:tcPr>
          <w:p w14:paraId="7050E4F2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100 Hz samples in the epoch (normally 3000). </w:t>
            </w:r>
            <w:proofErr w:type="spellStart"/>
            <w:proofErr w:type="gramStart"/>
            <w:r w:rsidRPr="00D36C1C">
              <w:t>Lets</w:t>
            </w:r>
            <w:proofErr w:type="spellEnd"/>
            <w:proofErr w:type="gramEnd"/>
            <w:r w:rsidRPr="00D36C1C">
              <w:t xml:space="preserve"> you weight means if partial epochs are kept.</w:t>
            </w:r>
          </w:p>
        </w:tc>
      </w:tr>
      <w:tr w:rsidR="00D36C1C" w:rsidRPr="00D36C1C" w14:paraId="64198EB0" w14:textId="77777777" w:rsidTr="00D36C1C">
        <w:tc>
          <w:tcPr>
            <w:tcW w:w="3964" w:type="dxa"/>
            <w:hideMark/>
          </w:tcPr>
          <w:p w14:paraId="4C6DD088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clipsBefore</w:t>
            </w:r>
            <w:proofErr w:type="spellEnd"/>
          </w:p>
        </w:tc>
        <w:tc>
          <w:tcPr>
            <w:tcW w:w="1843" w:type="dxa"/>
            <w:hideMark/>
          </w:tcPr>
          <w:p w14:paraId="2BE5D237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int32</w:t>
            </w:r>
          </w:p>
        </w:tc>
        <w:tc>
          <w:tcPr>
            <w:tcW w:w="980" w:type="dxa"/>
            <w:hideMark/>
          </w:tcPr>
          <w:p w14:paraId="2ABE5588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count</w:t>
            </w:r>
          </w:p>
        </w:tc>
        <w:tc>
          <w:tcPr>
            <w:tcW w:w="2229" w:type="dxa"/>
            <w:hideMark/>
          </w:tcPr>
          <w:p w14:paraId="62E41C2B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ADC saturations (±8 g) </w:t>
            </w:r>
            <w:r w:rsidRPr="00D36C1C">
              <w:rPr>
                <w:b/>
                <w:bCs/>
              </w:rPr>
              <w:t>before</w:t>
            </w:r>
            <w:r w:rsidRPr="00D36C1C">
              <w:t xml:space="preserve"> calibration. </w:t>
            </w:r>
            <w:r w:rsidRPr="00D36C1C">
              <w:rPr>
                <w:i/>
                <w:iCs/>
              </w:rPr>
              <w:t>High values (&gt;500) may indicate damaged sensor housing.</w:t>
            </w:r>
          </w:p>
        </w:tc>
      </w:tr>
      <w:tr w:rsidR="00D36C1C" w:rsidRPr="00D36C1C" w14:paraId="10B33A3F" w14:textId="77777777" w:rsidTr="00D36C1C">
        <w:tc>
          <w:tcPr>
            <w:tcW w:w="3964" w:type="dxa"/>
            <w:hideMark/>
          </w:tcPr>
          <w:p w14:paraId="4383D373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clipsAfter</w:t>
            </w:r>
            <w:proofErr w:type="spellEnd"/>
          </w:p>
        </w:tc>
        <w:tc>
          <w:tcPr>
            <w:tcW w:w="1843" w:type="dxa"/>
            <w:hideMark/>
          </w:tcPr>
          <w:p w14:paraId="3353B0A1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int32</w:t>
            </w:r>
          </w:p>
        </w:tc>
        <w:tc>
          <w:tcPr>
            <w:tcW w:w="980" w:type="dxa"/>
            <w:hideMark/>
          </w:tcPr>
          <w:p w14:paraId="2CABDFC4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count</w:t>
            </w:r>
          </w:p>
        </w:tc>
        <w:tc>
          <w:tcPr>
            <w:tcW w:w="2229" w:type="dxa"/>
            <w:hideMark/>
          </w:tcPr>
          <w:p w14:paraId="58B41C6C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ADC saturations </w:t>
            </w:r>
            <w:r w:rsidRPr="00D36C1C">
              <w:rPr>
                <w:b/>
                <w:bCs/>
              </w:rPr>
              <w:t>after</w:t>
            </w:r>
            <w:r w:rsidRPr="00D36C1C">
              <w:t xml:space="preserve"> calibration (should be ≤ </w:t>
            </w:r>
            <w:proofErr w:type="spellStart"/>
            <w:r w:rsidRPr="00D36C1C">
              <w:t>clipsBefore</w:t>
            </w:r>
            <w:proofErr w:type="spellEnd"/>
            <w:r w:rsidRPr="00D36C1C">
              <w:t>). Persistent non-zero → suspect device fault.</w:t>
            </w:r>
          </w:p>
        </w:tc>
      </w:tr>
      <w:tr w:rsidR="00D36C1C" w:rsidRPr="00D36C1C" w14:paraId="57BAF402" w14:textId="77777777" w:rsidTr="00D36C1C">
        <w:tc>
          <w:tcPr>
            <w:tcW w:w="3964" w:type="dxa"/>
            <w:hideMark/>
          </w:tcPr>
          <w:p w14:paraId="46CE42A7" w14:textId="77777777" w:rsidR="00D36C1C" w:rsidRPr="00D36C1C" w:rsidRDefault="00D36C1C" w:rsidP="00D36C1C">
            <w:pPr>
              <w:spacing w:after="160" w:line="278" w:lineRule="auto"/>
            </w:pPr>
            <w:r w:rsidRPr="00D36C1C">
              <w:rPr>
                <w:b/>
                <w:bCs/>
              </w:rPr>
              <w:t>Summary-covariate CSV</w:t>
            </w:r>
            <w:r w:rsidRPr="00D36C1C">
              <w:t xml:space="preserve"> </w:t>
            </w:r>
            <w:proofErr w:type="spellStart"/>
            <w:r w:rsidRPr="00D36C1C">
              <w:t>summary_covariates</w:t>
            </w:r>
            <w:proofErr w:type="spellEnd"/>
            <w:r w:rsidRPr="00D36C1C">
              <w:t>_&lt;RUN_NAME&gt;.csv.gz</w:t>
            </w:r>
          </w:p>
        </w:tc>
        <w:tc>
          <w:tcPr>
            <w:tcW w:w="1843" w:type="dxa"/>
            <w:hideMark/>
          </w:tcPr>
          <w:p w14:paraId="71DFCA3F" w14:textId="77777777" w:rsidR="00D36C1C" w:rsidRPr="00D36C1C" w:rsidRDefault="00D36C1C" w:rsidP="00D36C1C">
            <w:pPr>
              <w:spacing w:after="160" w:line="278" w:lineRule="auto"/>
            </w:pPr>
          </w:p>
        </w:tc>
        <w:tc>
          <w:tcPr>
            <w:tcW w:w="980" w:type="dxa"/>
            <w:hideMark/>
          </w:tcPr>
          <w:p w14:paraId="315EBAF7" w14:textId="77777777" w:rsidR="00D36C1C" w:rsidRPr="00D36C1C" w:rsidRDefault="00D36C1C" w:rsidP="00D36C1C">
            <w:pPr>
              <w:spacing w:after="160" w:line="278" w:lineRule="auto"/>
            </w:pPr>
          </w:p>
        </w:tc>
        <w:tc>
          <w:tcPr>
            <w:tcW w:w="2229" w:type="dxa"/>
            <w:hideMark/>
          </w:tcPr>
          <w:p w14:paraId="1A3754BF" w14:textId="77777777" w:rsidR="00D36C1C" w:rsidRPr="00D36C1C" w:rsidRDefault="00D36C1C" w:rsidP="00D36C1C">
            <w:pPr>
              <w:spacing w:after="160" w:line="278" w:lineRule="auto"/>
            </w:pPr>
          </w:p>
        </w:tc>
      </w:tr>
      <w:tr w:rsidR="00D36C1C" w:rsidRPr="00D36C1C" w14:paraId="75B8D634" w14:textId="77777777" w:rsidTr="00D36C1C">
        <w:tc>
          <w:tcPr>
            <w:tcW w:w="3964" w:type="dxa"/>
            <w:hideMark/>
          </w:tcPr>
          <w:p w14:paraId="3A2FDBA6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id</w:t>
            </w:r>
          </w:p>
        </w:tc>
        <w:tc>
          <w:tcPr>
            <w:tcW w:w="1843" w:type="dxa"/>
            <w:hideMark/>
          </w:tcPr>
          <w:p w14:paraId="590A50DC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string</w:t>
            </w:r>
          </w:p>
        </w:tc>
        <w:tc>
          <w:tcPr>
            <w:tcW w:w="980" w:type="dxa"/>
            <w:hideMark/>
          </w:tcPr>
          <w:p w14:paraId="7BCCF4CA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00D7E6AB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Same identifier as above.</w:t>
            </w:r>
          </w:p>
        </w:tc>
      </w:tr>
      <w:tr w:rsidR="00D36C1C" w:rsidRPr="00D36C1C" w14:paraId="4D5FB119" w14:textId="77777777" w:rsidTr="00D36C1C">
        <w:tc>
          <w:tcPr>
            <w:tcW w:w="3964" w:type="dxa"/>
            <w:hideMark/>
          </w:tcPr>
          <w:p w14:paraId="4EFE8FE9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goodWear</w:t>
            </w:r>
            <w:proofErr w:type="spellEnd"/>
          </w:p>
        </w:tc>
        <w:tc>
          <w:tcPr>
            <w:tcW w:w="1843" w:type="dxa"/>
            <w:hideMark/>
          </w:tcPr>
          <w:p w14:paraId="16E3CF2A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0 / 1</w:t>
            </w:r>
          </w:p>
        </w:tc>
        <w:tc>
          <w:tcPr>
            <w:tcW w:w="980" w:type="dxa"/>
            <w:hideMark/>
          </w:tcPr>
          <w:p w14:paraId="3C8F38DA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5D84DEAE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≥ 72 h good wear (quality-</w:t>
            </w:r>
            <w:proofErr w:type="spellStart"/>
            <w:r w:rsidRPr="00D36C1C">
              <w:t>goodWearTime</w:t>
            </w:r>
            <w:proofErr w:type="spellEnd"/>
            <w:r w:rsidRPr="00D36C1C">
              <w:t xml:space="preserve">). </w:t>
            </w:r>
            <w:r w:rsidRPr="00D36C1C">
              <w:rPr>
                <w:b/>
                <w:bCs/>
              </w:rPr>
              <w:lastRenderedPageBreak/>
              <w:t>Recommended filter</w:t>
            </w:r>
            <w:r w:rsidRPr="00D36C1C">
              <w:t>: keep 1.</w:t>
            </w:r>
          </w:p>
        </w:tc>
      </w:tr>
      <w:tr w:rsidR="00D36C1C" w:rsidRPr="00D36C1C" w14:paraId="56D97185" w14:textId="77777777" w:rsidTr="00D36C1C">
        <w:tc>
          <w:tcPr>
            <w:tcW w:w="3964" w:type="dxa"/>
            <w:hideMark/>
          </w:tcPr>
          <w:p w14:paraId="6B19D788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lastRenderedPageBreak/>
              <w:t>goodCal</w:t>
            </w:r>
            <w:proofErr w:type="spellEnd"/>
          </w:p>
        </w:tc>
        <w:tc>
          <w:tcPr>
            <w:tcW w:w="1843" w:type="dxa"/>
            <w:hideMark/>
          </w:tcPr>
          <w:p w14:paraId="596E793C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0 / 1</w:t>
            </w:r>
          </w:p>
        </w:tc>
        <w:tc>
          <w:tcPr>
            <w:tcW w:w="980" w:type="dxa"/>
            <w:hideMark/>
          </w:tcPr>
          <w:p w14:paraId="7E2DE429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4196F247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Autocalibration converged &amp; residual error ≤ 10 mg. </w:t>
            </w:r>
            <w:r w:rsidRPr="00D36C1C">
              <w:rPr>
                <w:b/>
                <w:bCs/>
              </w:rPr>
              <w:t>Filter</w:t>
            </w:r>
            <w:r w:rsidRPr="00D36C1C">
              <w:t>: keep 1.</w:t>
            </w:r>
          </w:p>
        </w:tc>
      </w:tr>
      <w:tr w:rsidR="00D36C1C" w:rsidRPr="00D36C1C" w14:paraId="41D8C786" w14:textId="77777777" w:rsidTr="00D36C1C">
        <w:tc>
          <w:tcPr>
            <w:tcW w:w="3964" w:type="dxa"/>
            <w:hideMark/>
          </w:tcPr>
          <w:p w14:paraId="6EE4F273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calErrAfter_mg</w:t>
            </w:r>
            <w:proofErr w:type="spellEnd"/>
          </w:p>
        </w:tc>
        <w:tc>
          <w:tcPr>
            <w:tcW w:w="1843" w:type="dxa"/>
            <w:hideMark/>
          </w:tcPr>
          <w:p w14:paraId="60361EA3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float</w:t>
            </w:r>
          </w:p>
        </w:tc>
        <w:tc>
          <w:tcPr>
            <w:tcW w:w="980" w:type="dxa"/>
            <w:hideMark/>
          </w:tcPr>
          <w:p w14:paraId="17422C9B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mg</w:t>
            </w:r>
          </w:p>
        </w:tc>
        <w:tc>
          <w:tcPr>
            <w:tcW w:w="2229" w:type="dxa"/>
            <w:hideMark/>
          </w:tcPr>
          <w:p w14:paraId="60B60488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RMS calibration residual (calibration-</w:t>
            </w:r>
            <w:proofErr w:type="spellStart"/>
            <w:r w:rsidRPr="00D36C1C">
              <w:t>errsAfter</w:t>
            </w:r>
            <w:proofErr w:type="spellEnd"/>
            <w:r w:rsidRPr="00D36C1C">
              <w:t xml:space="preserve">(mg)). </w:t>
            </w:r>
            <w:r w:rsidRPr="00D36C1C">
              <w:rPr>
                <w:b/>
                <w:bCs/>
              </w:rPr>
              <w:t>QC</w:t>
            </w:r>
            <w:r w:rsidRPr="00D36C1C">
              <w:t>: exclude if &gt; 10 mg or add as covariate.</w:t>
            </w:r>
          </w:p>
        </w:tc>
      </w:tr>
      <w:tr w:rsidR="00D36C1C" w:rsidRPr="00D36C1C" w14:paraId="30E72418" w14:textId="77777777" w:rsidTr="00D36C1C">
        <w:tc>
          <w:tcPr>
            <w:tcW w:w="3964" w:type="dxa"/>
            <w:hideMark/>
          </w:tcPr>
          <w:p w14:paraId="346B2BA8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wearDays</w:t>
            </w:r>
            <w:proofErr w:type="spellEnd"/>
          </w:p>
        </w:tc>
        <w:tc>
          <w:tcPr>
            <w:tcW w:w="1843" w:type="dxa"/>
            <w:hideMark/>
          </w:tcPr>
          <w:p w14:paraId="0E76ACEB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float</w:t>
            </w:r>
          </w:p>
        </w:tc>
        <w:tc>
          <w:tcPr>
            <w:tcW w:w="980" w:type="dxa"/>
            <w:hideMark/>
          </w:tcPr>
          <w:p w14:paraId="79D46186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days</w:t>
            </w:r>
          </w:p>
        </w:tc>
        <w:tc>
          <w:tcPr>
            <w:tcW w:w="2229" w:type="dxa"/>
            <w:hideMark/>
          </w:tcPr>
          <w:p w14:paraId="63AE4DAF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Total valid wear days (</w:t>
            </w:r>
            <w:proofErr w:type="spellStart"/>
            <w:r w:rsidRPr="00D36C1C">
              <w:t>wearTime</w:t>
            </w:r>
            <w:proofErr w:type="spellEnd"/>
            <w:r w:rsidRPr="00D36C1C">
              <w:t>-overall(days)). Use as covariate to control for data density.</w:t>
            </w:r>
          </w:p>
        </w:tc>
      </w:tr>
      <w:tr w:rsidR="00D36C1C" w:rsidRPr="00D36C1C" w14:paraId="08A6E194" w14:textId="77777777" w:rsidTr="00D36C1C">
        <w:tc>
          <w:tcPr>
            <w:tcW w:w="3964" w:type="dxa"/>
            <w:hideMark/>
          </w:tcPr>
          <w:p w14:paraId="2E606750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xOffset_g</w:t>
            </w:r>
            <w:proofErr w:type="spellEnd"/>
            <w:r w:rsidRPr="00D36C1C">
              <w:t xml:space="preserve">, </w:t>
            </w:r>
            <w:proofErr w:type="spellStart"/>
            <w:r w:rsidRPr="00D36C1C">
              <w:t>yOffset_g</w:t>
            </w:r>
            <w:proofErr w:type="spellEnd"/>
            <w:r w:rsidRPr="00D36C1C">
              <w:t xml:space="preserve">, </w:t>
            </w:r>
            <w:proofErr w:type="spellStart"/>
            <w:r w:rsidRPr="00D36C1C">
              <w:t>zOffset_g</w:t>
            </w:r>
            <w:proofErr w:type="spellEnd"/>
          </w:p>
        </w:tc>
        <w:tc>
          <w:tcPr>
            <w:tcW w:w="1843" w:type="dxa"/>
            <w:hideMark/>
          </w:tcPr>
          <w:p w14:paraId="4368438D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float</w:t>
            </w:r>
          </w:p>
        </w:tc>
        <w:tc>
          <w:tcPr>
            <w:tcW w:w="980" w:type="dxa"/>
            <w:hideMark/>
          </w:tcPr>
          <w:p w14:paraId="11F449BF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g</w:t>
            </w:r>
          </w:p>
        </w:tc>
        <w:tc>
          <w:tcPr>
            <w:tcW w:w="2229" w:type="dxa"/>
            <w:hideMark/>
          </w:tcPr>
          <w:p w14:paraId="63BDEFD6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Axis-specific bias terms from sphere-fit calibration. Optional device-bias covariates; drop if they don’t change results.</w:t>
            </w:r>
          </w:p>
        </w:tc>
      </w:tr>
      <w:tr w:rsidR="00D36C1C" w:rsidRPr="00D36C1C" w14:paraId="4481EBE4" w14:textId="77777777" w:rsidTr="00D36C1C">
        <w:tc>
          <w:tcPr>
            <w:tcW w:w="3964" w:type="dxa"/>
            <w:hideMark/>
          </w:tcPr>
          <w:p w14:paraId="05288F69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clipsBefore</w:t>
            </w:r>
            <w:proofErr w:type="spellEnd"/>
            <w:r w:rsidRPr="00D36C1C">
              <w:t xml:space="preserve">, </w:t>
            </w:r>
            <w:proofErr w:type="spellStart"/>
            <w:r w:rsidRPr="00D36C1C">
              <w:t>clipsAfter</w:t>
            </w:r>
            <w:proofErr w:type="spellEnd"/>
          </w:p>
        </w:tc>
        <w:tc>
          <w:tcPr>
            <w:tcW w:w="1843" w:type="dxa"/>
            <w:hideMark/>
          </w:tcPr>
          <w:p w14:paraId="00125BCE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int</w:t>
            </w:r>
          </w:p>
        </w:tc>
        <w:tc>
          <w:tcPr>
            <w:tcW w:w="980" w:type="dxa"/>
            <w:hideMark/>
          </w:tcPr>
          <w:p w14:paraId="5B58AB33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count</w:t>
            </w:r>
          </w:p>
        </w:tc>
        <w:tc>
          <w:tcPr>
            <w:tcW w:w="2229" w:type="dxa"/>
            <w:hideMark/>
          </w:tcPr>
          <w:p w14:paraId="73ACBAA9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File-level sums of saturated readings. High counts suggest impacts or cracked casing; often filtered at &gt;500.</w:t>
            </w:r>
          </w:p>
        </w:tc>
      </w:tr>
      <w:tr w:rsidR="00D36C1C" w:rsidRPr="00D36C1C" w14:paraId="5D698B07" w14:textId="77777777" w:rsidTr="00D36C1C">
        <w:tc>
          <w:tcPr>
            <w:tcW w:w="3964" w:type="dxa"/>
            <w:hideMark/>
          </w:tcPr>
          <w:p w14:paraId="47436577" w14:textId="77777777" w:rsidR="00D36C1C" w:rsidRPr="00D36C1C" w:rsidRDefault="00D36C1C" w:rsidP="00D36C1C">
            <w:pPr>
              <w:spacing w:after="160" w:line="278" w:lineRule="auto"/>
            </w:pPr>
            <w:proofErr w:type="spellStart"/>
            <w:r w:rsidRPr="00D36C1C">
              <w:t>startTime</w:t>
            </w:r>
            <w:proofErr w:type="spellEnd"/>
            <w:r w:rsidRPr="00D36C1C">
              <w:t xml:space="preserve">, </w:t>
            </w:r>
            <w:proofErr w:type="spellStart"/>
            <w:r w:rsidRPr="00D36C1C">
              <w:t>endTime</w:t>
            </w:r>
            <w:proofErr w:type="spellEnd"/>
          </w:p>
        </w:tc>
        <w:tc>
          <w:tcPr>
            <w:tcW w:w="1843" w:type="dxa"/>
            <w:hideMark/>
          </w:tcPr>
          <w:p w14:paraId="7F9865B0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ISO 8601 string</w:t>
            </w:r>
          </w:p>
        </w:tc>
        <w:tc>
          <w:tcPr>
            <w:tcW w:w="980" w:type="dxa"/>
            <w:hideMark/>
          </w:tcPr>
          <w:p w14:paraId="1481FA84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>–</w:t>
            </w:r>
          </w:p>
        </w:tc>
        <w:tc>
          <w:tcPr>
            <w:tcW w:w="2229" w:type="dxa"/>
            <w:hideMark/>
          </w:tcPr>
          <w:p w14:paraId="59744AE1" w14:textId="77777777" w:rsidR="00D36C1C" w:rsidRPr="00D36C1C" w:rsidRDefault="00D36C1C" w:rsidP="00D36C1C">
            <w:pPr>
              <w:spacing w:after="160" w:line="278" w:lineRule="auto"/>
            </w:pPr>
            <w:r w:rsidRPr="00D36C1C">
              <w:t xml:space="preserve">First &amp; last sample timestamps. Useful to merge with season, ambient weather, </w:t>
            </w:r>
            <w:r w:rsidRPr="00D36C1C">
              <w:lastRenderedPageBreak/>
              <w:t>or assessment-centre date.</w:t>
            </w:r>
          </w:p>
        </w:tc>
      </w:tr>
    </w:tbl>
    <w:p w14:paraId="54A93C69" w14:textId="77777777" w:rsidR="002E0ECA" w:rsidRDefault="002E0ECA"/>
    <w:sectPr w:rsidR="002E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1C"/>
    <w:rsid w:val="002E0ECA"/>
    <w:rsid w:val="00886300"/>
    <w:rsid w:val="00954AB2"/>
    <w:rsid w:val="00A84B5E"/>
    <w:rsid w:val="00BD214D"/>
    <w:rsid w:val="00D36C1C"/>
    <w:rsid w:val="00E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548B"/>
  <w15:chartTrackingRefBased/>
  <w15:docId w15:val="{512FD569-C753-5E4B-AC58-0FE313C4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C1C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36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1875</Characters>
  <Application>Microsoft Office Word</Application>
  <DocSecurity>0</DocSecurity>
  <Lines>33</Lines>
  <Paragraphs>12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Hamilton</dc:creator>
  <cp:keywords/>
  <dc:description/>
  <cp:lastModifiedBy>Fergus Hamilton</cp:lastModifiedBy>
  <cp:revision>1</cp:revision>
  <dcterms:created xsi:type="dcterms:W3CDTF">2025-07-02T07:33:00Z</dcterms:created>
  <dcterms:modified xsi:type="dcterms:W3CDTF">2025-07-02T07:34:00Z</dcterms:modified>
</cp:coreProperties>
</file>