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71F18" w14:textId="77777777" w:rsidR="00C914BF" w:rsidRDefault="00C914BF" w:rsidP="00C914BF">
      <w:pPr>
        <w:pStyle w:val="Title"/>
        <w:jc w:val="center"/>
      </w:pPr>
      <w:r>
        <w:t>Outreach Analyst Portfolio Project</w:t>
      </w:r>
    </w:p>
    <w:p w14:paraId="2F70D926" w14:textId="3EAC37D7" w:rsidR="00C914BF" w:rsidRPr="00C914BF" w:rsidRDefault="00C914BF" w:rsidP="00C914BF">
      <w:pPr>
        <w:jc w:val="center"/>
        <w:rPr>
          <w:lang w:val="es-CO"/>
        </w:rPr>
      </w:pPr>
      <w:r w:rsidRPr="00C914BF">
        <w:rPr>
          <w:b/>
          <w:lang w:val="es-CO"/>
        </w:rPr>
        <w:t>Gustavo Holguin</w:t>
      </w:r>
      <w:r w:rsidRPr="00C914BF">
        <w:rPr>
          <w:b/>
          <w:lang w:val="es-CO"/>
        </w:rPr>
        <w:br/>
        <w:t>Tamarac, Florida</w:t>
      </w:r>
      <w:r w:rsidRPr="00C914BF">
        <w:rPr>
          <w:b/>
          <w:lang w:val="es-CO"/>
        </w:rPr>
        <w:br/>
      </w:r>
      <w:proofErr w:type="spellStart"/>
      <w:r w:rsidRPr="00C914BF">
        <w:rPr>
          <w:b/>
          <w:lang w:val="es-CO"/>
        </w:rPr>
        <w:t>Phone</w:t>
      </w:r>
      <w:proofErr w:type="spellEnd"/>
      <w:r w:rsidRPr="00C914BF">
        <w:rPr>
          <w:b/>
          <w:lang w:val="es-CO"/>
        </w:rPr>
        <w:t>: 954-512-0791</w:t>
      </w:r>
      <w:r w:rsidRPr="00C914BF">
        <w:rPr>
          <w:b/>
          <w:lang w:val="es-CO"/>
        </w:rPr>
        <w:br/>
        <w:t>Email: Gustavo.villarreal1989@gmail.com</w:t>
      </w:r>
      <w:r w:rsidRPr="00C914BF">
        <w:rPr>
          <w:b/>
          <w:lang w:val="es-CO"/>
        </w:rPr>
        <w:br/>
      </w:r>
      <w:hyperlink r:id="rId6" w:history="1">
        <w:r w:rsidRPr="00C914BF">
          <w:rPr>
            <w:rStyle w:val="Hyperlink"/>
            <w:b/>
            <w:lang w:val="es-CO"/>
          </w:rPr>
          <w:t>LinkedIn</w:t>
        </w:r>
      </w:hyperlink>
      <w:r w:rsidRPr="00C914BF">
        <w:rPr>
          <w:b/>
          <w:lang w:val="es-CO"/>
        </w:rPr>
        <w:t xml:space="preserve"> | </w:t>
      </w:r>
      <w:hyperlink r:id="rId7" w:history="1">
        <w:proofErr w:type="gramStart"/>
        <w:r w:rsidRPr="00E64BA4">
          <w:rPr>
            <w:rStyle w:val="Hyperlink"/>
            <w:b/>
            <w:lang w:val="es-CO"/>
          </w:rPr>
          <w:t>Portfolio</w:t>
        </w:r>
        <w:proofErr w:type="gramEnd"/>
        <w:r w:rsidRPr="00E64BA4">
          <w:rPr>
            <w:rStyle w:val="Hyperlink"/>
            <w:b/>
            <w:lang w:val="es-CO"/>
          </w:rPr>
          <w:t>-</w:t>
        </w:r>
        <w:proofErr w:type="spellStart"/>
        <w:r w:rsidRPr="00E64BA4">
          <w:rPr>
            <w:rStyle w:val="Hyperlink"/>
            <w:b/>
            <w:lang w:val="es-CO"/>
          </w:rPr>
          <w:t>Kaggle</w:t>
        </w:r>
        <w:proofErr w:type="spellEnd"/>
      </w:hyperlink>
      <w:r w:rsidR="00E64BA4">
        <w:rPr>
          <w:b/>
          <w:lang w:val="es-CO"/>
        </w:rPr>
        <w:t xml:space="preserve"> | GitHub</w:t>
      </w:r>
    </w:p>
    <w:p w14:paraId="500732AF" w14:textId="17476358" w:rsidR="00C914BF" w:rsidRPr="00C914BF" w:rsidRDefault="00C914BF" w:rsidP="00C914BF">
      <w:pPr>
        <w:pStyle w:val="Heading1"/>
        <w:jc w:val="center"/>
        <w:rPr>
          <w:lang w:val="es-CO"/>
        </w:rPr>
      </w:pPr>
      <w:r w:rsidRPr="00C914BF">
        <w:rPr>
          <w:lang w:val="es-CO"/>
        </w:rPr>
        <w:br w:type="page"/>
      </w:r>
    </w:p>
    <w:p w14:paraId="6BBACB62" w14:textId="3F303938" w:rsidR="004D6110" w:rsidRDefault="00000000" w:rsidP="004D6110">
      <w:pPr>
        <w:pStyle w:val="Heading1"/>
        <w:jc w:val="center"/>
      </w:pPr>
      <w:r>
        <w:lastRenderedPageBreak/>
        <w:t>Outreach Analyst Portfolio Project</w:t>
      </w:r>
      <w:r>
        <w:br/>
      </w:r>
      <w:r w:rsidR="004D6110">
        <w:t>Pharmacy-enabled healthcare organization</w:t>
      </w:r>
    </w:p>
    <w:p w14:paraId="62808253" w14:textId="77777777" w:rsidR="00EF3417" w:rsidRPr="00EF3417" w:rsidRDefault="00EF3417" w:rsidP="00EF3417"/>
    <w:p w14:paraId="5EBE1C41" w14:textId="158DEDCF" w:rsidR="003E1C42" w:rsidRDefault="00000000">
      <w:pPr>
        <w:pStyle w:val="Heading2"/>
      </w:pPr>
      <w:r>
        <w:t>Business Problem</w:t>
      </w:r>
    </w:p>
    <w:p w14:paraId="61BB40AD" w14:textId="77777777" w:rsidR="00C7119A" w:rsidRDefault="00C7119A" w:rsidP="000D579F">
      <w:pPr>
        <w:spacing w:after="240"/>
        <w:jc w:val="both"/>
      </w:pPr>
      <w:r w:rsidRPr="00C7119A">
        <w:t>Payer-sponsored outreach programs within an integrated healthcare services organization focus on identifying preventive care gaps, stratifying high-risk Medicaid populations, and deploying targeted outreach through pharmacy, clinical, and digital modalities. This project simulates a payer-side analytics framework that integrates HEDIS care gap identification with Social Determinants of Health (SDOH) to inform outreach prioritization.</w:t>
      </w:r>
    </w:p>
    <w:p w14:paraId="688723ED" w14:textId="3FFC48E7" w:rsidR="00C53D71" w:rsidRDefault="00C53D71" w:rsidP="00C53D71">
      <w:pPr>
        <w:pStyle w:val="Heading2"/>
      </w:pPr>
      <w:r>
        <w:t xml:space="preserve">HEDIS </w:t>
      </w:r>
      <w:r w:rsidR="001B3F41">
        <w:t>D</w:t>
      </w:r>
      <w:r>
        <w:t xml:space="preserve">escription </w:t>
      </w:r>
    </w:p>
    <w:p w14:paraId="73AB5AF3" w14:textId="738041A6" w:rsidR="001B3F41" w:rsidRDefault="001B3F41" w:rsidP="001B3F41">
      <w:pPr>
        <w:spacing w:after="240"/>
        <w:jc w:val="both"/>
      </w:pPr>
      <w:r>
        <w:t>The Healthcare Effectiveness Data and Information Set (HEDIS) is a quality improvement tool widely used in the U.S. healthcare market by providers. Including 6 main domains, such as effectiveness of care, access/availability of care, experience of care, utilization and risk-adjusted utilization, health plan descriptive information, and measures reported using electronic clinical data systems. HEDIS delivers for Medicare users a health survey through healthcare insurance and provides the support to manage and report through the NCQA (</w:t>
      </w:r>
      <w:r w:rsidRPr="001B3F41">
        <w:t>https://www.ncqa.org/hedis/</w:t>
      </w:r>
      <w:r>
        <w:t xml:space="preserve">). </w:t>
      </w:r>
    </w:p>
    <w:p w14:paraId="6FB57EE9" w14:textId="77777777" w:rsidR="003E1C42" w:rsidRDefault="00000000">
      <w:pPr>
        <w:pStyle w:val="Heading2"/>
      </w:pPr>
      <w:r>
        <w:t>Outreach Objective</w:t>
      </w:r>
    </w:p>
    <w:p w14:paraId="20D2B4E5" w14:textId="77777777" w:rsidR="003E1C42" w:rsidRDefault="00000000" w:rsidP="000D579F">
      <w:pPr>
        <w:spacing w:after="240"/>
        <w:jc w:val="both"/>
      </w:pPr>
      <w:r>
        <w:t>Maximize closure of high-impact HEDIS preventive and chronic care gaps using limited outreach resources by prioritizing members based on risk, utilization, and social barriers.</w:t>
      </w:r>
    </w:p>
    <w:p w14:paraId="4E727F98" w14:textId="77777777" w:rsidR="003E1C42" w:rsidRDefault="00000000">
      <w:pPr>
        <w:pStyle w:val="Heading2"/>
      </w:pPr>
      <w:r>
        <w:t>Data Sources &amp; Architecture</w:t>
      </w:r>
    </w:p>
    <w:p w14:paraId="1995D239" w14:textId="47486AE2" w:rsidR="003E1C42" w:rsidRDefault="00C7119A" w:rsidP="000D579F">
      <w:pPr>
        <w:spacing w:after="240"/>
        <w:jc w:val="both"/>
      </w:pPr>
      <w:r w:rsidRPr="00C7119A">
        <w:t>Synthetic payer-side datasets were developed to simulate curated data commonly provided to outreach teams operating within an integrated healthcare services model. Data sources include member demographics and enrollment information, claims-derived condition flags, healthcare utilization summaries, HEDIS care gap outputs, pharmacy dispensing activity, laboratory results, outreach interaction records, and area-level Social Determinants of Health (SDOH</w:t>
      </w:r>
      <w:r w:rsidR="00EF6376" w:rsidRPr="00C7119A">
        <w:t>)</w:t>
      </w:r>
      <w:r w:rsidRPr="00C7119A">
        <w:t xml:space="preserve"> derived from publicly available population health datasets.</w:t>
      </w:r>
    </w:p>
    <w:tbl>
      <w:tblPr>
        <w:tblStyle w:val="TableGrid"/>
        <w:tblW w:w="0" w:type="auto"/>
        <w:jc w:val="center"/>
        <w:tblLook w:val="04A0" w:firstRow="1" w:lastRow="0" w:firstColumn="1" w:lastColumn="0" w:noHBand="0" w:noVBand="1"/>
      </w:tblPr>
      <w:tblGrid>
        <w:gridCol w:w="1532"/>
        <w:gridCol w:w="2216"/>
        <w:gridCol w:w="2210"/>
      </w:tblGrid>
      <w:tr w:rsidR="00C7119A" w:rsidRPr="00C7119A" w14:paraId="3B1F2169" w14:textId="77777777" w:rsidTr="00821EF1">
        <w:trPr>
          <w:jc w:val="center"/>
        </w:trPr>
        <w:tc>
          <w:tcPr>
            <w:tcW w:w="0" w:type="auto"/>
            <w:hideMark/>
          </w:tcPr>
          <w:p w14:paraId="654679FD" w14:textId="77777777" w:rsidR="00C7119A" w:rsidRPr="000D579F" w:rsidRDefault="00C7119A" w:rsidP="00821EF1">
            <w:pPr>
              <w:jc w:val="center"/>
              <w:rPr>
                <w:b/>
                <w:bCs/>
              </w:rPr>
            </w:pPr>
            <w:r w:rsidRPr="000D579F">
              <w:rPr>
                <w:b/>
                <w:bCs/>
              </w:rPr>
              <w:t>Data Domain</w:t>
            </w:r>
          </w:p>
        </w:tc>
        <w:tc>
          <w:tcPr>
            <w:tcW w:w="0" w:type="auto"/>
            <w:hideMark/>
          </w:tcPr>
          <w:p w14:paraId="5BC2C27D" w14:textId="77777777" w:rsidR="00C7119A" w:rsidRPr="000D579F" w:rsidRDefault="00C7119A" w:rsidP="00821EF1">
            <w:pPr>
              <w:jc w:val="center"/>
              <w:rPr>
                <w:b/>
                <w:bCs/>
              </w:rPr>
            </w:pPr>
            <w:r w:rsidRPr="000D579F">
              <w:rPr>
                <w:b/>
                <w:bCs/>
              </w:rPr>
              <w:t>Description</w:t>
            </w:r>
          </w:p>
        </w:tc>
        <w:tc>
          <w:tcPr>
            <w:tcW w:w="0" w:type="auto"/>
            <w:hideMark/>
          </w:tcPr>
          <w:p w14:paraId="59AC1E9C" w14:textId="77777777" w:rsidR="00C7119A" w:rsidRPr="000D579F" w:rsidRDefault="00C7119A" w:rsidP="00821EF1">
            <w:pPr>
              <w:jc w:val="center"/>
              <w:rPr>
                <w:b/>
                <w:bCs/>
              </w:rPr>
            </w:pPr>
            <w:r w:rsidRPr="000D579F">
              <w:rPr>
                <w:b/>
                <w:bCs/>
              </w:rPr>
              <w:t>Analytical Use</w:t>
            </w:r>
          </w:p>
        </w:tc>
      </w:tr>
      <w:tr w:rsidR="00C7119A" w:rsidRPr="00C7119A" w14:paraId="543CA713" w14:textId="77777777" w:rsidTr="00821EF1">
        <w:trPr>
          <w:jc w:val="center"/>
        </w:trPr>
        <w:tc>
          <w:tcPr>
            <w:tcW w:w="0" w:type="auto"/>
            <w:hideMark/>
          </w:tcPr>
          <w:p w14:paraId="345191B6" w14:textId="77777777" w:rsidR="00C7119A" w:rsidRPr="00C7119A" w:rsidRDefault="00C7119A" w:rsidP="00821EF1">
            <w:r w:rsidRPr="00C7119A">
              <w:t>Enrollment</w:t>
            </w:r>
          </w:p>
        </w:tc>
        <w:tc>
          <w:tcPr>
            <w:tcW w:w="0" w:type="auto"/>
            <w:hideMark/>
          </w:tcPr>
          <w:p w14:paraId="384FC16B" w14:textId="77777777" w:rsidR="00C7119A" w:rsidRPr="00C7119A" w:rsidRDefault="00C7119A" w:rsidP="00821EF1">
            <w:r w:rsidRPr="00C7119A">
              <w:t>Eligibility &amp; coverage</w:t>
            </w:r>
          </w:p>
        </w:tc>
        <w:tc>
          <w:tcPr>
            <w:tcW w:w="0" w:type="auto"/>
            <w:hideMark/>
          </w:tcPr>
          <w:p w14:paraId="66BBF897" w14:textId="77777777" w:rsidR="00C7119A" w:rsidRPr="00C7119A" w:rsidRDefault="00C7119A" w:rsidP="00821EF1">
            <w:r w:rsidRPr="00C7119A">
              <w:t>HEDIS compliance</w:t>
            </w:r>
          </w:p>
        </w:tc>
      </w:tr>
      <w:tr w:rsidR="00C7119A" w:rsidRPr="00C7119A" w14:paraId="2EF28463" w14:textId="77777777" w:rsidTr="00821EF1">
        <w:trPr>
          <w:jc w:val="center"/>
        </w:trPr>
        <w:tc>
          <w:tcPr>
            <w:tcW w:w="0" w:type="auto"/>
            <w:hideMark/>
          </w:tcPr>
          <w:p w14:paraId="35E26529" w14:textId="77777777" w:rsidR="00C7119A" w:rsidRPr="00C7119A" w:rsidRDefault="00C7119A" w:rsidP="00821EF1">
            <w:r w:rsidRPr="00C7119A">
              <w:t>Conditions</w:t>
            </w:r>
          </w:p>
        </w:tc>
        <w:tc>
          <w:tcPr>
            <w:tcW w:w="0" w:type="auto"/>
            <w:hideMark/>
          </w:tcPr>
          <w:p w14:paraId="494FA6E4" w14:textId="77777777" w:rsidR="00C7119A" w:rsidRPr="00C7119A" w:rsidRDefault="00C7119A" w:rsidP="00821EF1">
            <w:proofErr w:type="gramStart"/>
            <w:r w:rsidRPr="00C7119A">
              <w:t>Claims</w:t>
            </w:r>
            <w:proofErr w:type="gramEnd"/>
            <w:r w:rsidRPr="00C7119A">
              <w:t>-derived flags</w:t>
            </w:r>
          </w:p>
        </w:tc>
        <w:tc>
          <w:tcPr>
            <w:tcW w:w="0" w:type="auto"/>
            <w:hideMark/>
          </w:tcPr>
          <w:p w14:paraId="0FC2603C" w14:textId="77777777" w:rsidR="00C7119A" w:rsidRPr="00C7119A" w:rsidRDefault="00C7119A" w:rsidP="00821EF1">
            <w:r w:rsidRPr="00C7119A">
              <w:t>Risk stratification</w:t>
            </w:r>
          </w:p>
        </w:tc>
      </w:tr>
      <w:tr w:rsidR="00C7119A" w:rsidRPr="00C7119A" w14:paraId="747F5F60" w14:textId="77777777" w:rsidTr="00821EF1">
        <w:trPr>
          <w:jc w:val="center"/>
        </w:trPr>
        <w:tc>
          <w:tcPr>
            <w:tcW w:w="0" w:type="auto"/>
            <w:hideMark/>
          </w:tcPr>
          <w:p w14:paraId="28CD9259" w14:textId="77777777" w:rsidR="00C7119A" w:rsidRPr="00C7119A" w:rsidRDefault="00C7119A" w:rsidP="00821EF1">
            <w:r w:rsidRPr="00C7119A">
              <w:t>Utilization</w:t>
            </w:r>
          </w:p>
        </w:tc>
        <w:tc>
          <w:tcPr>
            <w:tcW w:w="0" w:type="auto"/>
            <w:hideMark/>
          </w:tcPr>
          <w:p w14:paraId="717425A3" w14:textId="77777777" w:rsidR="00C7119A" w:rsidRPr="00C7119A" w:rsidRDefault="00C7119A" w:rsidP="00821EF1">
            <w:r w:rsidRPr="00C7119A">
              <w:t>ED/IP/OP metrics</w:t>
            </w:r>
          </w:p>
        </w:tc>
        <w:tc>
          <w:tcPr>
            <w:tcW w:w="0" w:type="auto"/>
            <w:hideMark/>
          </w:tcPr>
          <w:p w14:paraId="0FD4DF18" w14:textId="77777777" w:rsidR="00C7119A" w:rsidRPr="00C7119A" w:rsidRDefault="00C7119A" w:rsidP="00821EF1">
            <w:r w:rsidRPr="00C7119A">
              <w:t>Priority scoring</w:t>
            </w:r>
          </w:p>
        </w:tc>
      </w:tr>
      <w:tr w:rsidR="00C7119A" w:rsidRPr="00C7119A" w14:paraId="18A3A001" w14:textId="77777777" w:rsidTr="00821EF1">
        <w:trPr>
          <w:jc w:val="center"/>
        </w:trPr>
        <w:tc>
          <w:tcPr>
            <w:tcW w:w="0" w:type="auto"/>
            <w:hideMark/>
          </w:tcPr>
          <w:p w14:paraId="557AE6E7" w14:textId="77777777" w:rsidR="00C7119A" w:rsidRPr="00C7119A" w:rsidRDefault="00C7119A" w:rsidP="00821EF1">
            <w:r w:rsidRPr="00C7119A">
              <w:t>HEDIS Gaps</w:t>
            </w:r>
          </w:p>
        </w:tc>
        <w:tc>
          <w:tcPr>
            <w:tcW w:w="0" w:type="auto"/>
            <w:hideMark/>
          </w:tcPr>
          <w:p w14:paraId="66F8FDAA" w14:textId="77777777" w:rsidR="00C7119A" w:rsidRPr="00C7119A" w:rsidRDefault="00C7119A" w:rsidP="00821EF1">
            <w:r w:rsidRPr="00C7119A">
              <w:t>Open measures</w:t>
            </w:r>
          </w:p>
        </w:tc>
        <w:tc>
          <w:tcPr>
            <w:tcW w:w="0" w:type="auto"/>
            <w:hideMark/>
          </w:tcPr>
          <w:p w14:paraId="7928431D" w14:textId="77777777" w:rsidR="00C7119A" w:rsidRPr="00C7119A" w:rsidRDefault="00C7119A" w:rsidP="00821EF1">
            <w:r w:rsidRPr="00C7119A">
              <w:t>Outreach targeting</w:t>
            </w:r>
          </w:p>
        </w:tc>
      </w:tr>
      <w:tr w:rsidR="00C7119A" w:rsidRPr="00C7119A" w14:paraId="3B2777B7" w14:textId="77777777" w:rsidTr="00821EF1">
        <w:trPr>
          <w:jc w:val="center"/>
        </w:trPr>
        <w:tc>
          <w:tcPr>
            <w:tcW w:w="0" w:type="auto"/>
            <w:hideMark/>
          </w:tcPr>
          <w:p w14:paraId="583E1290" w14:textId="77777777" w:rsidR="00C7119A" w:rsidRPr="00C7119A" w:rsidRDefault="00C7119A" w:rsidP="00821EF1">
            <w:r w:rsidRPr="00C7119A">
              <w:t>Pharmacy</w:t>
            </w:r>
          </w:p>
        </w:tc>
        <w:tc>
          <w:tcPr>
            <w:tcW w:w="0" w:type="auto"/>
            <w:hideMark/>
          </w:tcPr>
          <w:p w14:paraId="605B1419" w14:textId="77777777" w:rsidR="00C7119A" w:rsidRPr="00C7119A" w:rsidRDefault="00C7119A" w:rsidP="00821EF1">
            <w:r w:rsidRPr="00C7119A">
              <w:t>Rx &amp; immunizations</w:t>
            </w:r>
          </w:p>
        </w:tc>
        <w:tc>
          <w:tcPr>
            <w:tcW w:w="0" w:type="auto"/>
            <w:hideMark/>
          </w:tcPr>
          <w:p w14:paraId="211EF19A" w14:textId="77777777" w:rsidR="00C7119A" w:rsidRPr="00C7119A" w:rsidRDefault="00C7119A" w:rsidP="00821EF1">
            <w:r w:rsidRPr="00C7119A">
              <w:t>Channel routing</w:t>
            </w:r>
          </w:p>
        </w:tc>
      </w:tr>
      <w:tr w:rsidR="00C7119A" w:rsidRPr="00C7119A" w14:paraId="53D3EDAA" w14:textId="77777777" w:rsidTr="00821EF1">
        <w:trPr>
          <w:jc w:val="center"/>
        </w:trPr>
        <w:tc>
          <w:tcPr>
            <w:tcW w:w="0" w:type="auto"/>
            <w:hideMark/>
          </w:tcPr>
          <w:p w14:paraId="742867FE" w14:textId="77777777" w:rsidR="00C7119A" w:rsidRPr="00C7119A" w:rsidRDefault="00C7119A" w:rsidP="00821EF1">
            <w:r w:rsidRPr="00C7119A">
              <w:t>Labs</w:t>
            </w:r>
          </w:p>
        </w:tc>
        <w:tc>
          <w:tcPr>
            <w:tcW w:w="0" w:type="auto"/>
            <w:hideMark/>
          </w:tcPr>
          <w:p w14:paraId="4D2A642C" w14:textId="77777777" w:rsidR="00C7119A" w:rsidRPr="00C7119A" w:rsidRDefault="00C7119A" w:rsidP="00821EF1">
            <w:r w:rsidRPr="00C7119A">
              <w:t>Clinical values</w:t>
            </w:r>
          </w:p>
        </w:tc>
        <w:tc>
          <w:tcPr>
            <w:tcW w:w="0" w:type="auto"/>
            <w:hideMark/>
          </w:tcPr>
          <w:p w14:paraId="6E51D136" w14:textId="77777777" w:rsidR="00C7119A" w:rsidRPr="00C7119A" w:rsidRDefault="00C7119A" w:rsidP="00821EF1">
            <w:r w:rsidRPr="00C7119A">
              <w:t>Measure validation</w:t>
            </w:r>
          </w:p>
        </w:tc>
      </w:tr>
      <w:tr w:rsidR="00C7119A" w:rsidRPr="00C7119A" w14:paraId="18116788" w14:textId="77777777" w:rsidTr="00821EF1">
        <w:trPr>
          <w:jc w:val="center"/>
        </w:trPr>
        <w:tc>
          <w:tcPr>
            <w:tcW w:w="0" w:type="auto"/>
            <w:hideMark/>
          </w:tcPr>
          <w:p w14:paraId="04518614" w14:textId="77777777" w:rsidR="00C7119A" w:rsidRPr="00C7119A" w:rsidRDefault="00C7119A" w:rsidP="00821EF1">
            <w:r w:rsidRPr="00C7119A">
              <w:t>Outreach</w:t>
            </w:r>
          </w:p>
        </w:tc>
        <w:tc>
          <w:tcPr>
            <w:tcW w:w="0" w:type="auto"/>
            <w:hideMark/>
          </w:tcPr>
          <w:p w14:paraId="46914F48" w14:textId="77777777" w:rsidR="00C7119A" w:rsidRPr="00C7119A" w:rsidRDefault="00C7119A" w:rsidP="00821EF1">
            <w:r w:rsidRPr="00C7119A">
              <w:t>Contact attempts</w:t>
            </w:r>
          </w:p>
        </w:tc>
        <w:tc>
          <w:tcPr>
            <w:tcW w:w="0" w:type="auto"/>
            <w:hideMark/>
          </w:tcPr>
          <w:p w14:paraId="4F9B68D4" w14:textId="77777777" w:rsidR="00C7119A" w:rsidRPr="00C7119A" w:rsidRDefault="00C7119A" w:rsidP="00821EF1">
            <w:r w:rsidRPr="00C7119A">
              <w:t>Effectiveness metrics</w:t>
            </w:r>
          </w:p>
        </w:tc>
      </w:tr>
      <w:tr w:rsidR="00C7119A" w:rsidRPr="00C7119A" w14:paraId="5378B6A1" w14:textId="77777777" w:rsidTr="00821EF1">
        <w:trPr>
          <w:jc w:val="center"/>
        </w:trPr>
        <w:tc>
          <w:tcPr>
            <w:tcW w:w="0" w:type="auto"/>
            <w:hideMark/>
          </w:tcPr>
          <w:p w14:paraId="6EBD9010" w14:textId="77777777" w:rsidR="00C7119A" w:rsidRPr="00C7119A" w:rsidRDefault="00C7119A" w:rsidP="00821EF1">
            <w:r w:rsidRPr="00C7119A">
              <w:t>SDOH</w:t>
            </w:r>
          </w:p>
        </w:tc>
        <w:tc>
          <w:tcPr>
            <w:tcW w:w="0" w:type="auto"/>
            <w:hideMark/>
          </w:tcPr>
          <w:p w14:paraId="794CB6D6" w14:textId="77777777" w:rsidR="00C7119A" w:rsidRPr="00C7119A" w:rsidRDefault="00C7119A" w:rsidP="00821EF1">
            <w:r w:rsidRPr="00C7119A">
              <w:t>Area-level risk</w:t>
            </w:r>
          </w:p>
        </w:tc>
        <w:tc>
          <w:tcPr>
            <w:tcW w:w="0" w:type="auto"/>
            <w:hideMark/>
          </w:tcPr>
          <w:p w14:paraId="0F0F27DB" w14:textId="77777777" w:rsidR="00C7119A" w:rsidRPr="00C7119A" w:rsidRDefault="00C7119A" w:rsidP="00821EF1">
            <w:r w:rsidRPr="00C7119A">
              <w:t>Equity analysis</w:t>
            </w:r>
          </w:p>
        </w:tc>
      </w:tr>
    </w:tbl>
    <w:p w14:paraId="14D0B1FC" w14:textId="77777777" w:rsidR="00C7119A" w:rsidRDefault="00C7119A">
      <w:pPr>
        <w:spacing w:after="240"/>
      </w:pPr>
    </w:p>
    <w:p w14:paraId="5F27665B" w14:textId="1EE9D418" w:rsidR="00EF6376" w:rsidRDefault="00997B58" w:rsidP="00EF6376">
      <w:pPr>
        <w:pStyle w:val="Heading2"/>
      </w:pPr>
      <w:r>
        <w:lastRenderedPageBreak/>
        <w:t>Database-based</w:t>
      </w:r>
      <w:r w:rsidR="00EF6376">
        <w:t xml:space="preserve"> characteristics </w:t>
      </w:r>
    </w:p>
    <w:p w14:paraId="058E8E0C" w14:textId="2526AAA3" w:rsidR="00EF6376" w:rsidRDefault="00EF6376" w:rsidP="00EF6376">
      <w:pPr>
        <w:spacing w:after="240"/>
        <w:jc w:val="both"/>
      </w:pPr>
      <w:r>
        <w:t xml:space="preserve">The synthetic database contains 5000 de-identify patient’s information in the Medicaid table, including </w:t>
      </w:r>
      <w:r w:rsidR="00997B58">
        <w:t>socio-demographic</w:t>
      </w:r>
      <w:r>
        <w:t xml:space="preserve"> information such as age, sex, zip-code, plan type, dual eligibility, Primary Care Physician PCP, and </w:t>
      </w:r>
      <w:r w:rsidR="00997B58">
        <w:t>enrollment</w:t>
      </w:r>
      <w:r>
        <w:t xml:space="preserve"> months.   The database contains a sex distribution female 55.5% and male 44.4%, and around 61.2% of patient speaks English, </w:t>
      </w:r>
      <w:r w:rsidR="00997B58">
        <w:t>followed</w:t>
      </w:r>
      <w:r>
        <w:t xml:space="preserve"> by 25.3% speaks Spanish, and Haitian and Portuguese 9.3% and 4.14%, respectfully.  On the other hand, all of them are enrolled in Medicaid with different enrollment months from 6 to 59 months. </w:t>
      </w:r>
    </w:p>
    <w:p w14:paraId="48EC25CB" w14:textId="0EEC95D9" w:rsidR="00EF6376" w:rsidRDefault="00EF6376" w:rsidP="00EF6376">
      <w:pPr>
        <w:spacing w:after="240"/>
        <w:jc w:val="both"/>
      </w:pPr>
      <w:r>
        <w:t xml:space="preserve">The utilization of the services in the last 12 months is composed </w:t>
      </w:r>
      <w:r w:rsidR="00997B58">
        <w:t>of</w:t>
      </w:r>
      <w:r>
        <w:t xml:space="preserve"> PCP visits, s</w:t>
      </w:r>
      <w:r w:rsidRPr="00336740">
        <w:t>pecialist</w:t>
      </w:r>
      <w:r>
        <w:t xml:space="preserve"> </w:t>
      </w:r>
      <w:r w:rsidRPr="00336740">
        <w:t>visits</w:t>
      </w:r>
      <w:r>
        <w:t>,</w:t>
      </w:r>
      <w:r w:rsidR="00E64BA4">
        <w:t xml:space="preserve"> </w:t>
      </w:r>
      <w:r>
        <w:t xml:space="preserve">emergency department visits, inpatient services, </w:t>
      </w:r>
      <w:r w:rsidR="00997B58">
        <w:t xml:space="preserve">and </w:t>
      </w:r>
      <w:r>
        <w:t xml:space="preserve">urgent care, among others. For instance, PCP visits have a concentration of 10% to 15% between 3 to 4 visits in the last 12 months. On the other hand, the specialist visits around 12-15% of patients go 2-5 times per year, and similar </w:t>
      </w:r>
      <w:proofErr w:type="gramStart"/>
      <w:r>
        <w:t>stats</w:t>
      </w:r>
      <w:proofErr w:type="gramEnd"/>
      <w:r>
        <w:t xml:space="preserve"> have emergency department visits. </w:t>
      </w:r>
    </w:p>
    <w:p w14:paraId="075256E5" w14:textId="344A577A" w:rsidR="000661E4" w:rsidRDefault="00EF6376" w:rsidP="000661E4">
      <w:pPr>
        <w:spacing w:after="240"/>
        <w:jc w:val="both"/>
      </w:pPr>
      <w:r>
        <w:t>The outreach team used different ways to communicate with the patients, including email (25.6%), phone (</w:t>
      </w:r>
      <w:r>
        <w:t>25.6%)</w:t>
      </w:r>
      <w:r>
        <w:t xml:space="preserve">, SMS (24.5%), and Mail (24.3%). As a result, 17.3% of the </w:t>
      </w:r>
      <w:r w:rsidR="000661E4">
        <w:t>patients</w:t>
      </w:r>
      <w:r>
        <w:t xml:space="preserve"> did </w:t>
      </w:r>
      <w:r w:rsidR="000661E4">
        <w:t>not</w:t>
      </w:r>
      <w:r>
        <w:t xml:space="preserve"> answer </w:t>
      </w:r>
      <w:r w:rsidR="000661E4">
        <w:t xml:space="preserve">the </w:t>
      </w:r>
      <w:r>
        <w:t>phone, 17% completed the service gap, 16.7% were reached, 16.5% were scheduled, and finally, 16.4% optout from the service.</w:t>
      </w:r>
      <w:r w:rsidR="000661E4">
        <w:t xml:space="preserve"> In this sense, covering the patients who have not completed the gap is the main purpose of the outreach team. One of the reasons why there were patients without completing the service is that most of them were reached at the first time (49.9%), compared with the second (33.3%) and third attempt (16.8%). </w:t>
      </w:r>
    </w:p>
    <w:p w14:paraId="22778B4A" w14:textId="1BB2EDEB" w:rsidR="00EF6376" w:rsidRDefault="000661E4" w:rsidP="000661E4">
      <w:pPr>
        <w:spacing w:after="240"/>
        <w:jc w:val="both"/>
      </w:pPr>
      <w:r>
        <w:t xml:space="preserve">Regarding the conditions, almost 50% of the patients were diagnosed with hypertension, and the other non-communicable diseases, such as diabetes, COPD, depression, and obesity, have a rate between 10% to 30%. Most of </w:t>
      </w:r>
      <w:r w:rsidR="00C53D71">
        <w:t>these patients</w:t>
      </w:r>
      <w:r>
        <w:t xml:space="preserve"> were reported </w:t>
      </w:r>
      <w:r w:rsidR="00C53D71">
        <w:t>to have gone</w:t>
      </w:r>
      <w:r>
        <w:t xml:space="preserve"> to the PCP appointment (26%), family medicine (14.5%), </w:t>
      </w:r>
      <w:r w:rsidR="00C53D71">
        <w:t xml:space="preserve">internal medicine (13%), and pediatrics (13%). Other specialties, including endocrinology, OB/GYN, cardiology, pulmonology, behavioral health, and ophthalmology, have a lower rate between 3% to 9%. </w:t>
      </w:r>
      <w:r>
        <w:t xml:space="preserve"> </w:t>
      </w:r>
      <w:r w:rsidR="00EF6376">
        <w:t xml:space="preserve"> </w:t>
      </w:r>
    </w:p>
    <w:p w14:paraId="23AE8CAE" w14:textId="77777777" w:rsidR="003E1C42" w:rsidRDefault="00000000">
      <w:pPr>
        <w:pStyle w:val="Heading2"/>
      </w:pPr>
      <w:r>
        <w:t>Analytical Approach</w:t>
      </w:r>
    </w:p>
    <w:p w14:paraId="719BC920" w14:textId="7979C0E1" w:rsidR="000202B8" w:rsidRDefault="000202B8" w:rsidP="000202B8">
      <w:pPr>
        <w:spacing w:after="240"/>
        <w:jc w:val="both"/>
      </w:pPr>
      <w:r w:rsidRPr="000202B8">
        <w:rPr>
          <w:rFonts w:ascii="Cambria" w:hAnsi="Cambria"/>
          <w:color w:val="000000"/>
        </w:rPr>
        <w:t>Members measure weight and risk score to distinguish risk levels within a population.</w:t>
      </w:r>
      <w:r>
        <w:rPr>
          <w:rFonts w:ascii="Cambria" w:hAnsi="Cambria"/>
          <w:color w:val="000000"/>
        </w:rPr>
        <w:t xml:space="preserve"> </w:t>
      </w:r>
      <w:r>
        <w:t xml:space="preserve"> The HEDIS gap database counts the number of unmet HEDIS quality measures per member, representing missed preventive services or chronic care activities. It serves as a tool for outreach teams and care coordinators to create actionable goal</w:t>
      </w:r>
      <w:r w:rsidR="00F1668E">
        <w:t xml:space="preserve">s because, through the </w:t>
      </w:r>
      <w:proofErr w:type="gramStart"/>
      <w:r w:rsidR="00F1668E">
        <w:t>measure</w:t>
      </w:r>
      <w:proofErr w:type="gramEnd"/>
      <w:r w:rsidR="00F1668E">
        <w:t xml:space="preserve"> </w:t>
      </w:r>
      <w:proofErr w:type="gramStart"/>
      <w:r w:rsidR="00F1668E">
        <w:t>weight,  it</w:t>
      </w:r>
      <w:proofErr w:type="gramEnd"/>
      <w:r w:rsidR="00F1668E">
        <w:t xml:space="preserve"> is possible to tier the patient into three levels: standard preventive, high-impact preventive, and chronic / outcome critical. </w:t>
      </w:r>
    </w:p>
    <w:p w14:paraId="7A57BCFC" w14:textId="418F2A70" w:rsidR="003E1C42" w:rsidRDefault="003E1C42" w:rsidP="000D579F">
      <w:pPr>
        <w:spacing w:after="240"/>
        <w:jc w:val="both"/>
      </w:pPr>
    </w:p>
    <w:tbl>
      <w:tblPr>
        <w:tblStyle w:val="TableGrid"/>
        <w:tblW w:w="0" w:type="auto"/>
        <w:jc w:val="center"/>
        <w:tblLook w:val="04A0" w:firstRow="1" w:lastRow="0" w:firstColumn="1" w:lastColumn="0" w:noHBand="0" w:noVBand="1"/>
      </w:tblPr>
      <w:tblGrid>
        <w:gridCol w:w="963"/>
        <w:gridCol w:w="2856"/>
        <w:gridCol w:w="3322"/>
      </w:tblGrid>
      <w:tr w:rsidR="00444BCF" w:rsidRPr="00444BCF" w14:paraId="15386F65" w14:textId="77777777" w:rsidTr="000D579F">
        <w:trPr>
          <w:jc w:val="center"/>
        </w:trPr>
        <w:tc>
          <w:tcPr>
            <w:tcW w:w="0" w:type="auto"/>
            <w:hideMark/>
          </w:tcPr>
          <w:p w14:paraId="482134AF" w14:textId="77777777" w:rsidR="00444BCF" w:rsidRPr="00444BCF" w:rsidRDefault="00444BCF" w:rsidP="00444BCF">
            <w:pPr>
              <w:jc w:val="center"/>
              <w:rPr>
                <w:rFonts w:ascii="Times New Roman" w:eastAsia="Times New Roman" w:hAnsi="Times New Roman" w:cs="Times New Roman"/>
                <w:b/>
                <w:bCs/>
                <w:sz w:val="24"/>
                <w:szCs w:val="24"/>
              </w:rPr>
            </w:pPr>
            <w:r w:rsidRPr="00444BCF">
              <w:rPr>
                <w:rFonts w:ascii="Times New Roman" w:eastAsia="Times New Roman" w:hAnsi="Times New Roman" w:cs="Times New Roman"/>
                <w:b/>
                <w:bCs/>
                <w:sz w:val="24"/>
                <w:szCs w:val="24"/>
              </w:rPr>
              <w:t>Weight</w:t>
            </w:r>
          </w:p>
        </w:tc>
        <w:tc>
          <w:tcPr>
            <w:tcW w:w="0" w:type="auto"/>
            <w:hideMark/>
          </w:tcPr>
          <w:p w14:paraId="3CEEEC40" w14:textId="77777777" w:rsidR="00444BCF" w:rsidRPr="00444BCF" w:rsidRDefault="00444BCF" w:rsidP="00444BCF">
            <w:pPr>
              <w:jc w:val="center"/>
              <w:rPr>
                <w:rFonts w:ascii="Times New Roman" w:eastAsia="Times New Roman" w:hAnsi="Times New Roman" w:cs="Times New Roman"/>
                <w:b/>
                <w:bCs/>
                <w:sz w:val="24"/>
                <w:szCs w:val="24"/>
              </w:rPr>
            </w:pPr>
            <w:r w:rsidRPr="00444BCF">
              <w:rPr>
                <w:rFonts w:ascii="Times New Roman" w:eastAsia="Times New Roman" w:hAnsi="Times New Roman" w:cs="Times New Roman"/>
                <w:b/>
                <w:bCs/>
                <w:sz w:val="24"/>
                <w:szCs w:val="24"/>
              </w:rPr>
              <w:t>Tier</w:t>
            </w:r>
          </w:p>
        </w:tc>
        <w:tc>
          <w:tcPr>
            <w:tcW w:w="0" w:type="auto"/>
            <w:hideMark/>
          </w:tcPr>
          <w:p w14:paraId="34EA2273" w14:textId="417D0A8A" w:rsidR="00444BCF" w:rsidRPr="00444BCF" w:rsidRDefault="00444BCF" w:rsidP="00444BCF">
            <w:pPr>
              <w:jc w:val="center"/>
              <w:rPr>
                <w:rFonts w:ascii="Times New Roman" w:eastAsia="Times New Roman" w:hAnsi="Times New Roman" w:cs="Times New Roman"/>
                <w:b/>
                <w:bCs/>
                <w:sz w:val="24"/>
                <w:szCs w:val="24"/>
              </w:rPr>
            </w:pPr>
            <w:r w:rsidRPr="00444BCF">
              <w:rPr>
                <w:rFonts w:ascii="Times New Roman" w:eastAsia="Times New Roman" w:hAnsi="Times New Roman" w:cs="Times New Roman"/>
                <w:b/>
                <w:bCs/>
                <w:sz w:val="24"/>
                <w:szCs w:val="24"/>
              </w:rPr>
              <w:t>Meaning</w:t>
            </w:r>
          </w:p>
        </w:tc>
      </w:tr>
      <w:tr w:rsidR="00444BCF" w:rsidRPr="00444BCF" w14:paraId="272D7A96" w14:textId="77777777" w:rsidTr="000D579F">
        <w:trPr>
          <w:jc w:val="center"/>
        </w:trPr>
        <w:tc>
          <w:tcPr>
            <w:tcW w:w="0" w:type="auto"/>
            <w:hideMark/>
          </w:tcPr>
          <w:p w14:paraId="31163276" w14:textId="77777777" w:rsidR="00444BCF" w:rsidRPr="00444BCF" w:rsidRDefault="00444BCF" w:rsidP="00444BCF">
            <w:pPr>
              <w:rPr>
                <w:rFonts w:ascii="Times New Roman" w:eastAsia="Times New Roman" w:hAnsi="Times New Roman" w:cs="Times New Roman"/>
                <w:sz w:val="24"/>
                <w:szCs w:val="24"/>
              </w:rPr>
            </w:pPr>
            <w:r w:rsidRPr="00444BCF">
              <w:rPr>
                <w:rFonts w:ascii="Times New Roman" w:eastAsia="Times New Roman" w:hAnsi="Times New Roman" w:cs="Times New Roman"/>
                <w:b/>
                <w:bCs/>
                <w:sz w:val="24"/>
                <w:szCs w:val="24"/>
              </w:rPr>
              <w:t>2</w:t>
            </w:r>
          </w:p>
        </w:tc>
        <w:tc>
          <w:tcPr>
            <w:tcW w:w="0" w:type="auto"/>
            <w:hideMark/>
          </w:tcPr>
          <w:p w14:paraId="3B9A9842" w14:textId="77777777" w:rsidR="00444BCF" w:rsidRPr="00444BCF" w:rsidRDefault="00444BCF" w:rsidP="00444BCF">
            <w:pPr>
              <w:rPr>
                <w:rFonts w:ascii="Times New Roman" w:eastAsia="Times New Roman" w:hAnsi="Times New Roman" w:cs="Times New Roman"/>
                <w:sz w:val="24"/>
                <w:szCs w:val="24"/>
              </w:rPr>
            </w:pPr>
            <w:r w:rsidRPr="00444BCF">
              <w:rPr>
                <w:rFonts w:ascii="Times New Roman" w:eastAsia="Times New Roman" w:hAnsi="Times New Roman" w:cs="Times New Roman"/>
                <w:sz w:val="24"/>
                <w:szCs w:val="24"/>
              </w:rPr>
              <w:t>Standard Preventive</w:t>
            </w:r>
          </w:p>
        </w:tc>
        <w:tc>
          <w:tcPr>
            <w:tcW w:w="0" w:type="auto"/>
            <w:hideMark/>
          </w:tcPr>
          <w:p w14:paraId="34CFE914" w14:textId="73F687C1" w:rsidR="00444BCF" w:rsidRPr="00444BCF" w:rsidRDefault="00444BCF" w:rsidP="00444BCF">
            <w:pPr>
              <w:rPr>
                <w:rFonts w:ascii="Times New Roman" w:eastAsia="Times New Roman" w:hAnsi="Times New Roman" w:cs="Times New Roman"/>
                <w:sz w:val="24"/>
                <w:szCs w:val="24"/>
              </w:rPr>
            </w:pPr>
            <w:r w:rsidRPr="00444BCF">
              <w:rPr>
                <w:rFonts w:ascii="Times New Roman" w:eastAsia="Times New Roman" w:hAnsi="Times New Roman" w:cs="Times New Roman"/>
                <w:sz w:val="24"/>
                <w:szCs w:val="24"/>
              </w:rPr>
              <w:t>Important but lower clinical risk</w:t>
            </w:r>
          </w:p>
        </w:tc>
      </w:tr>
      <w:tr w:rsidR="00444BCF" w:rsidRPr="00444BCF" w14:paraId="0B8D9567" w14:textId="77777777" w:rsidTr="000D579F">
        <w:trPr>
          <w:jc w:val="center"/>
        </w:trPr>
        <w:tc>
          <w:tcPr>
            <w:tcW w:w="0" w:type="auto"/>
            <w:hideMark/>
          </w:tcPr>
          <w:p w14:paraId="16C48990" w14:textId="77777777" w:rsidR="00444BCF" w:rsidRPr="00444BCF" w:rsidRDefault="00444BCF" w:rsidP="00444BCF">
            <w:pPr>
              <w:rPr>
                <w:rFonts w:ascii="Times New Roman" w:eastAsia="Times New Roman" w:hAnsi="Times New Roman" w:cs="Times New Roman"/>
                <w:sz w:val="24"/>
                <w:szCs w:val="24"/>
              </w:rPr>
            </w:pPr>
            <w:r w:rsidRPr="00444BCF">
              <w:rPr>
                <w:rFonts w:ascii="Times New Roman" w:eastAsia="Times New Roman" w:hAnsi="Times New Roman" w:cs="Times New Roman"/>
                <w:b/>
                <w:bCs/>
                <w:sz w:val="24"/>
                <w:szCs w:val="24"/>
              </w:rPr>
              <w:t>3</w:t>
            </w:r>
          </w:p>
        </w:tc>
        <w:tc>
          <w:tcPr>
            <w:tcW w:w="0" w:type="auto"/>
            <w:hideMark/>
          </w:tcPr>
          <w:p w14:paraId="0CDE0E37" w14:textId="77777777" w:rsidR="00444BCF" w:rsidRPr="00444BCF" w:rsidRDefault="00444BCF" w:rsidP="00444BCF">
            <w:pPr>
              <w:rPr>
                <w:rFonts w:ascii="Times New Roman" w:eastAsia="Times New Roman" w:hAnsi="Times New Roman" w:cs="Times New Roman"/>
                <w:sz w:val="24"/>
                <w:szCs w:val="24"/>
              </w:rPr>
            </w:pPr>
            <w:r w:rsidRPr="00444BCF">
              <w:rPr>
                <w:rFonts w:ascii="Times New Roman" w:eastAsia="Times New Roman" w:hAnsi="Times New Roman" w:cs="Times New Roman"/>
                <w:sz w:val="24"/>
                <w:szCs w:val="24"/>
              </w:rPr>
              <w:t>High-Impact Preventive</w:t>
            </w:r>
          </w:p>
        </w:tc>
        <w:tc>
          <w:tcPr>
            <w:tcW w:w="0" w:type="auto"/>
            <w:hideMark/>
          </w:tcPr>
          <w:p w14:paraId="3DD41099" w14:textId="1549922E" w:rsidR="00444BCF" w:rsidRPr="00444BCF" w:rsidRDefault="00444BCF" w:rsidP="00444BCF">
            <w:pPr>
              <w:rPr>
                <w:rFonts w:ascii="Times New Roman" w:eastAsia="Times New Roman" w:hAnsi="Times New Roman" w:cs="Times New Roman"/>
                <w:sz w:val="24"/>
                <w:szCs w:val="24"/>
              </w:rPr>
            </w:pPr>
            <w:r w:rsidRPr="00444BCF">
              <w:rPr>
                <w:rFonts w:ascii="Times New Roman" w:eastAsia="Times New Roman" w:hAnsi="Times New Roman" w:cs="Times New Roman"/>
                <w:sz w:val="24"/>
                <w:szCs w:val="24"/>
              </w:rPr>
              <w:t>Meaningful outcome impact</w:t>
            </w:r>
          </w:p>
        </w:tc>
      </w:tr>
      <w:tr w:rsidR="00444BCF" w:rsidRPr="00444BCF" w14:paraId="1762AAE9" w14:textId="77777777" w:rsidTr="000D579F">
        <w:trPr>
          <w:jc w:val="center"/>
        </w:trPr>
        <w:tc>
          <w:tcPr>
            <w:tcW w:w="0" w:type="auto"/>
            <w:hideMark/>
          </w:tcPr>
          <w:p w14:paraId="51A93F66" w14:textId="77777777" w:rsidR="00444BCF" w:rsidRPr="00444BCF" w:rsidRDefault="00444BCF" w:rsidP="00444BCF">
            <w:pPr>
              <w:rPr>
                <w:rFonts w:ascii="Times New Roman" w:eastAsia="Times New Roman" w:hAnsi="Times New Roman" w:cs="Times New Roman"/>
                <w:sz w:val="24"/>
                <w:szCs w:val="24"/>
              </w:rPr>
            </w:pPr>
            <w:r w:rsidRPr="00444BCF">
              <w:rPr>
                <w:rFonts w:ascii="Times New Roman" w:eastAsia="Times New Roman" w:hAnsi="Times New Roman" w:cs="Times New Roman"/>
                <w:b/>
                <w:bCs/>
                <w:sz w:val="24"/>
                <w:szCs w:val="24"/>
              </w:rPr>
              <w:t>4</w:t>
            </w:r>
          </w:p>
        </w:tc>
        <w:tc>
          <w:tcPr>
            <w:tcW w:w="0" w:type="auto"/>
            <w:hideMark/>
          </w:tcPr>
          <w:p w14:paraId="64F2019F" w14:textId="77777777" w:rsidR="00444BCF" w:rsidRPr="00444BCF" w:rsidRDefault="00444BCF" w:rsidP="00444BCF">
            <w:pPr>
              <w:rPr>
                <w:rFonts w:ascii="Times New Roman" w:eastAsia="Times New Roman" w:hAnsi="Times New Roman" w:cs="Times New Roman"/>
                <w:sz w:val="24"/>
                <w:szCs w:val="24"/>
              </w:rPr>
            </w:pPr>
            <w:r w:rsidRPr="00444BCF">
              <w:rPr>
                <w:rFonts w:ascii="Times New Roman" w:eastAsia="Times New Roman" w:hAnsi="Times New Roman" w:cs="Times New Roman"/>
                <w:sz w:val="24"/>
                <w:szCs w:val="24"/>
              </w:rPr>
              <w:t>Chronic / Outcome-Critical</w:t>
            </w:r>
          </w:p>
        </w:tc>
        <w:tc>
          <w:tcPr>
            <w:tcW w:w="0" w:type="auto"/>
            <w:hideMark/>
          </w:tcPr>
          <w:p w14:paraId="33351B3C" w14:textId="640F03CC" w:rsidR="00444BCF" w:rsidRPr="00444BCF" w:rsidRDefault="00444BCF" w:rsidP="00444BCF">
            <w:pPr>
              <w:rPr>
                <w:rFonts w:ascii="Times New Roman" w:eastAsia="Times New Roman" w:hAnsi="Times New Roman" w:cs="Times New Roman"/>
                <w:sz w:val="24"/>
                <w:szCs w:val="24"/>
              </w:rPr>
            </w:pPr>
            <w:r w:rsidRPr="00444BCF">
              <w:rPr>
                <w:rFonts w:ascii="Times New Roman" w:eastAsia="Times New Roman" w:hAnsi="Times New Roman" w:cs="Times New Roman"/>
                <w:sz w:val="24"/>
                <w:szCs w:val="24"/>
              </w:rPr>
              <w:t>Strong clinical &amp; cost impact</w:t>
            </w:r>
          </w:p>
        </w:tc>
      </w:tr>
    </w:tbl>
    <w:p w14:paraId="635B29F3" w14:textId="376F5431" w:rsidR="00444BCF" w:rsidRDefault="00444BCF">
      <w:pPr>
        <w:spacing w:after="240"/>
      </w:pPr>
    </w:p>
    <w:tbl>
      <w:tblPr>
        <w:tblStyle w:val="TableGrid"/>
        <w:tblpPr w:leftFromText="180" w:rightFromText="180" w:vertAnchor="text" w:tblpXSpec="center" w:tblpY="1"/>
        <w:tblOverlap w:val="never"/>
        <w:tblW w:w="5400" w:type="dxa"/>
        <w:tblLook w:val="04A0" w:firstRow="1" w:lastRow="0" w:firstColumn="1" w:lastColumn="0" w:noHBand="0" w:noVBand="1"/>
      </w:tblPr>
      <w:tblGrid>
        <w:gridCol w:w="2860"/>
        <w:gridCol w:w="2540"/>
      </w:tblGrid>
      <w:tr w:rsidR="007821D7" w:rsidRPr="007821D7" w14:paraId="79FFF118" w14:textId="77777777" w:rsidTr="000D579F">
        <w:trPr>
          <w:trHeight w:val="288"/>
        </w:trPr>
        <w:tc>
          <w:tcPr>
            <w:tcW w:w="2860" w:type="dxa"/>
            <w:noWrap/>
            <w:hideMark/>
          </w:tcPr>
          <w:p w14:paraId="5878213C" w14:textId="77777777" w:rsidR="007821D7" w:rsidRPr="007821D7" w:rsidRDefault="007821D7" w:rsidP="00CF3202">
            <w:pPr>
              <w:jc w:val="center"/>
              <w:rPr>
                <w:b/>
                <w:bCs/>
              </w:rPr>
            </w:pPr>
            <w:r w:rsidRPr="007821D7">
              <w:rPr>
                <w:b/>
                <w:bCs/>
              </w:rPr>
              <w:t>Measure name</w:t>
            </w:r>
          </w:p>
        </w:tc>
        <w:tc>
          <w:tcPr>
            <w:tcW w:w="2540" w:type="dxa"/>
            <w:noWrap/>
            <w:hideMark/>
          </w:tcPr>
          <w:p w14:paraId="139FF17C" w14:textId="77777777" w:rsidR="007821D7" w:rsidRPr="007821D7" w:rsidRDefault="007821D7" w:rsidP="00CF3202">
            <w:pPr>
              <w:jc w:val="center"/>
              <w:rPr>
                <w:b/>
                <w:bCs/>
              </w:rPr>
            </w:pPr>
            <w:r w:rsidRPr="007821D7">
              <w:rPr>
                <w:b/>
                <w:bCs/>
              </w:rPr>
              <w:t>measure weight assigned</w:t>
            </w:r>
          </w:p>
        </w:tc>
      </w:tr>
      <w:tr w:rsidR="007821D7" w:rsidRPr="007821D7" w14:paraId="1A2821A7" w14:textId="77777777" w:rsidTr="000D579F">
        <w:trPr>
          <w:trHeight w:val="288"/>
        </w:trPr>
        <w:tc>
          <w:tcPr>
            <w:tcW w:w="2860" w:type="dxa"/>
            <w:noWrap/>
            <w:hideMark/>
          </w:tcPr>
          <w:p w14:paraId="6AD117C2" w14:textId="77777777" w:rsidR="007821D7" w:rsidRPr="007821D7" w:rsidRDefault="007821D7" w:rsidP="00CF3202">
            <w:r w:rsidRPr="007821D7">
              <w:t>Adult Access to Preventive Care</w:t>
            </w:r>
          </w:p>
        </w:tc>
        <w:tc>
          <w:tcPr>
            <w:tcW w:w="2540" w:type="dxa"/>
            <w:noWrap/>
            <w:hideMark/>
          </w:tcPr>
          <w:p w14:paraId="728958FF" w14:textId="77777777" w:rsidR="007821D7" w:rsidRPr="007821D7" w:rsidRDefault="007821D7" w:rsidP="00CF3202">
            <w:pPr>
              <w:jc w:val="center"/>
            </w:pPr>
            <w:r w:rsidRPr="007821D7">
              <w:t>2</w:t>
            </w:r>
          </w:p>
        </w:tc>
      </w:tr>
      <w:tr w:rsidR="007821D7" w:rsidRPr="007821D7" w14:paraId="16926402" w14:textId="77777777" w:rsidTr="000D579F">
        <w:trPr>
          <w:trHeight w:val="288"/>
        </w:trPr>
        <w:tc>
          <w:tcPr>
            <w:tcW w:w="2860" w:type="dxa"/>
            <w:noWrap/>
            <w:hideMark/>
          </w:tcPr>
          <w:p w14:paraId="109FD69E" w14:textId="77777777" w:rsidR="007821D7" w:rsidRPr="007821D7" w:rsidRDefault="007821D7" w:rsidP="00CF3202">
            <w:r w:rsidRPr="007821D7">
              <w:t>Annual Wellness Visit</w:t>
            </w:r>
          </w:p>
        </w:tc>
        <w:tc>
          <w:tcPr>
            <w:tcW w:w="2540" w:type="dxa"/>
            <w:noWrap/>
            <w:hideMark/>
          </w:tcPr>
          <w:p w14:paraId="5EF921CB" w14:textId="77777777" w:rsidR="007821D7" w:rsidRPr="007821D7" w:rsidRDefault="007821D7" w:rsidP="00CF3202">
            <w:pPr>
              <w:jc w:val="center"/>
            </w:pPr>
            <w:r w:rsidRPr="007821D7">
              <w:t>2</w:t>
            </w:r>
          </w:p>
        </w:tc>
      </w:tr>
      <w:tr w:rsidR="007821D7" w:rsidRPr="007821D7" w14:paraId="33A372F7" w14:textId="77777777" w:rsidTr="000D579F">
        <w:trPr>
          <w:trHeight w:val="288"/>
        </w:trPr>
        <w:tc>
          <w:tcPr>
            <w:tcW w:w="2860" w:type="dxa"/>
            <w:noWrap/>
            <w:hideMark/>
          </w:tcPr>
          <w:p w14:paraId="09134C7D" w14:textId="77777777" w:rsidR="007821D7" w:rsidRPr="007821D7" w:rsidRDefault="007821D7" w:rsidP="00CF3202">
            <w:r w:rsidRPr="007821D7">
              <w:t>Breast Cancer Screening</w:t>
            </w:r>
          </w:p>
        </w:tc>
        <w:tc>
          <w:tcPr>
            <w:tcW w:w="2540" w:type="dxa"/>
            <w:noWrap/>
            <w:hideMark/>
          </w:tcPr>
          <w:p w14:paraId="446A0DE2" w14:textId="77777777" w:rsidR="007821D7" w:rsidRPr="007821D7" w:rsidRDefault="007821D7" w:rsidP="00CF3202">
            <w:pPr>
              <w:jc w:val="center"/>
            </w:pPr>
            <w:r w:rsidRPr="007821D7">
              <w:t>3</w:t>
            </w:r>
          </w:p>
        </w:tc>
      </w:tr>
      <w:tr w:rsidR="007821D7" w:rsidRPr="007821D7" w14:paraId="444A2DC8" w14:textId="77777777" w:rsidTr="000D579F">
        <w:trPr>
          <w:trHeight w:val="288"/>
        </w:trPr>
        <w:tc>
          <w:tcPr>
            <w:tcW w:w="2860" w:type="dxa"/>
            <w:noWrap/>
            <w:hideMark/>
          </w:tcPr>
          <w:p w14:paraId="207E3BBC" w14:textId="77777777" w:rsidR="007821D7" w:rsidRPr="007821D7" w:rsidRDefault="007821D7" w:rsidP="00CF3202">
            <w:r w:rsidRPr="007821D7">
              <w:t>Cervical Cancer Screening</w:t>
            </w:r>
          </w:p>
        </w:tc>
        <w:tc>
          <w:tcPr>
            <w:tcW w:w="2540" w:type="dxa"/>
            <w:noWrap/>
            <w:hideMark/>
          </w:tcPr>
          <w:p w14:paraId="25C65225" w14:textId="77777777" w:rsidR="007821D7" w:rsidRPr="007821D7" w:rsidRDefault="007821D7" w:rsidP="00CF3202">
            <w:pPr>
              <w:jc w:val="center"/>
            </w:pPr>
            <w:r w:rsidRPr="007821D7">
              <w:t>3</w:t>
            </w:r>
          </w:p>
        </w:tc>
      </w:tr>
      <w:tr w:rsidR="007821D7" w:rsidRPr="007821D7" w14:paraId="36F22407" w14:textId="77777777" w:rsidTr="000D579F">
        <w:trPr>
          <w:trHeight w:val="288"/>
        </w:trPr>
        <w:tc>
          <w:tcPr>
            <w:tcW w:w="2860" w:type="dxa"/>
            <w:noWrap/>
            <w:hideMark/>
          </w:tcPr>
          <w:p w14:paraId="6CCB316A" w14:textId="77777777" w:rsidR="007821D7" w:rsidRPr="007821D7" w:rsidRDefault="007821D7" w:rsidP="00CF3202">
            <w:r w:rsidRPr="007821D7">
              <w:t>Colorectal Cancer Screening</w:t>
            </w:r>
          </w:p>
        </w:tc>
        <w:tc>
          <w:tcPr>
            <w:tcW w:w="2540" w:type="dxa"/>
            <w:noWrap/>
            <w:hideMark/>
          </w:tcPr>
          <w:p w14:paraId="4A338E97" w14:textId="77777777" w:rsidR="007821D7" w:rsidRPr="007821D7" w:rsidRDefault="007821D7" w:rsidP="00CF3202">
            <w:pPr>
              <w:jc w:val="center"/>
            </w:pPr>
            <w:r w:rsidRPr="007821D7">
              <w:t>3</w:t>
            </w:r>
          </w:p>
        </w:tc>
      </w:tr>
      <w:tr w:rsidR="007821D7" w:rsidRPr="007821D7" w14:paraId="73917364" w14:textId="77777777" w:rsidTr="000D579F">
        <w:trPr>
          <w:trHeight w:val="288"/>
        </w:trPr>
        <w:tc>
          <w:tcPr>
            <w:tcW w:w="2860" w:type="dxa"/>
            <w:noWrap/>
            <w:hideMark/>
          </w:tcPr>
          <w:p w14:paraId="025CECF9" w14:textId="77777777" w:rsidR="007821D7" w:rsidRPr="007821D7" w:rsidRDefault="007821D7" w:rsidP="00CF3202">
            <w:r w:rsidRPr="007821D7">
              <w:t>Controlling High Blood Pressure</w:t>
            </w:r>
          </w:p>
        </w:tc>
        <w:tc>
          <w:tcPr>
            <w:tcW w:w="2540" w:type="dxa"/>
            <w:noWrap/>
            <w:hideMark/>
          </w:tcPr>
          <w:p w14:paraId="41FBCA6C" w14:textId="77777777" w:rsidR="007821D7" w:rsidRPr="007821D7" w:rsidRDefault="007821D7" w:rsidP="00CF3202">
            <w:pPr>
              <w:jc w:val="center"/>
            </w:pPr>
            <w:r w:rsidRPr="007821D7">
              <w:t>3</w:t>
            </w:r>
          </w:p>
        </w:tc>
      </w:tr>
      <w:tr w:rsidR="007821D7" w:rsidRPr="007821D7" w14:paraId="04DBEDEA" w14:textId="77777777" w:rsidTr="000D579F">
        <w:trPr>
          <w:trHeight w:val="288"/>
        </w:trPr>
        <w:tc>
          <w:tcPr>
            <w:tcW w:w="2860" w:type="dxa"/>
            <w:noWrap/>
            <w:hideMark/>
          </w:tcPr>
          <w:p w14:paraId="2E04B239" w14:textId="77777777" w:rsidR="007821D7" w:rsidRPr="007821D7" w:rsidRDefault="007821D7" w:rsidP="00CF3202">
            <w:r w:rsidRPr="007821D7">
              <w:t>Diabetic Eye Exam</w:t>
            </w:r>
          </w:p>
        </w:tc>
        <w:tc>
          <w:tcPr>
            <w:tcW w:w="2540" w:type="dxa"/>
            <w:noWrap/>
            <w:hideMark/>
          </w:tcPr>
          <w:p w14:paraId="053607F5" w14:textId="77777777" w:rsidR="007821D7" w:rsidRPr="007821D7" w:rsidRDefault="007821D7" w:rsidP="00CF3202">
            <w:pPr>
              <w:jc w:val="center"/>
            </w:pPr>
            <w:r w:rsidRPr="007821D7">
              <w:t>4</w:t>
            </w:r>
          </w:p>
        </w:tc>
      </w:tr>
      <w:tr w:rsidR="007821D7" w:rsidRPr="007821D7" w14:paraId="11867A87" w14:textId="77777777" w:rsidTr="000D579F">
        <w:trPr>
          <w:trHeight w:val="288"/>
        </w:trPr>
        <w:tc>
          <w:tcPr>
            <w:tcW w:w="2860" w:type="dxa"/>
            <w:noWrap/>
            <w:hideMark/>
          </w:tcPr>
          <w:p w14:paraId="0442EE6C" w14:textId="77777777" w:rsidR="007821D7" w:rsidRPr="007821D7" w:rsidRDefault="007821D7" w:rsidP="00CF3202">
            <w:r w:rsidRPr="007821D7">
              <w:t>Flu Immunization</w:t>
            </w:r>
          </w:p>
        </w:tc>
        <w:tc>
          <w:tcPr>
            <w:tcW w:w="2540" w:type="dxa"/>
            <w:noWrap/>
            <w:hideMark/>
          </w:tcPr>
          <w:p w14:paraId="16C1527E" w14:textId="77777777" w:rsidR="007821D7" w:rsidRPr="007821D7" w:rsidRDefault="007821D7" w:rsidP="00CF3202">
            <w:pPr>
              <w:jc w:val="center"/>
            </w:pPr>
            <w:r w:rsidRPr="007821D7">
              <w:t>2</w:t>
            </w:r>
          </w:p>
        </w:tc>
      </w:tr>
      <w:tr w:rsidR="007821D7" w:rsidRPr="007821D7" w14:paraId="5A7921BB" w14:textId="77777777" w:rsidTr="000D579F">
        <w:trPr>
          <w:trHeight w:val="288"/>
        </w:trPr>
        <w:tc>
          <w:tcPr>
            <w:tcW w:w="2860" w:type="dxa"/>
            <w:noWrap/>
            <w:hideMark/>
          </w:tcPr>
          <w:p w14:paraId="6F173CD8" w14:textId="77777777" w:rsidR="007821D7" w:rsidRPr="007821D7" w:rsidRDefault="007821D7" w:rsidP="00CF3202">
            <w:r w:rsidRPr="007821D7">
              <w:t>HbA1c Testing (Diabetes)</w:t>
            </w:r>
          </w:p>
        </w:tc>
        <w:tc>
          <w:tcPr>
            <w:tcW w:w="2540" w:type="dxa"/>
            <w:noWrap/>
            <w:hideMark/>
          </w:tcPr>
          <w:p w14:paraId="69862653" w14:textId="77777777" w:rsidR="007821D7" w:rsidRPr="007821D7" w:rsidRDefault="007821D7" w:rsidP="00CF3202">
            <w:pPr>
              <w:jc w:val="center"/>
            </w:pPr>
            <w:r w:rsidRPr="007821D7">
              <w:t>4</w:t>
            </w:r>
          </w:p>
        </w:tc>
      </w:tr>
      <w:tr w:rsidR="007821D7" w:rsidRPr="007821D7" w14:paraId="1063DE00" w14:textId="77777777" w:rsidTr="000D579F">
        <w:trPr>
          <w:trHeight w:val="288"/>
        </w:trPr>
        <w:tc>
          <w:tcPr>
            <w:tcW w:w="2860" w:type="dxa"/>
            <w:noWrap/>
            <w:hideMark/>
          </w:tcPr>
          <w:p w14:paraId="740FEC21" w14:textId="77777777" w:rsidR="007821D7" w:rsidRPr="007821D7" w:rsidRDefault="007821D7" w:rsidP="00CF3202">
            <w:r w:rsidRPr="007821D7">
              <w:t>Tobacco Screening &amp; Cessation</w:t>
            </w:r>
          </w:p>
        </w:tc>
        <w:tc>
          <w:tcPr>
            <w:tcW w:w="2540" w:type="dxa"/>
            <w:noWrap/>
            <w:hideMark/>
          </w:tcPr>
          <w:p w14:paraId="21E2AF18" w14:textId="77777777" w:rsidR="007821D7" w:rsidRPr="007821D7" w:rsidRDefault="007821D7" w:rsidP="00CF3202">
            <w:pPr>
              <w:jc w:val="center"/>
            </w:pPr>
            <w:r w:rsidRPr="007821D7">
              <w:t>2</w:t>
            </w:r>
          </w:p>
        </w:tc>
      </w:tr>
    </w:tbl>
    <w:p w14:paraId="16ED0572" w14:textId="53D58E0A" w:rsidR="007821D7" w:rsidRDefault="00CF3202">
      <w:pPr>
        <w:spacing w:after="240"/>
      </w:pPr>
      <w:r>
        <w:br w:type="textWrapping" w:clear="all"/>
      </w:r>
    </w:p>
    <w:p w14:paraId="1F9FB49B" w14:textId="2DF8010C" w:rsidR="00F1668E" w:rsidRDefault="00F1668E" w:rsidP="00F1668E">
      <w:pPr>
        <w:spacing w:after="240"/>
      </w:pPr>
      <w:r>
        <w:t>On the other hand, the risk score is a composite measurement that includes opens gaps and measure weight, merging the distinct HEDIS measures affected, represent complexity care, and the more measure, harder to coordinate care. As</w:t>
      </w:r>
      <w:r>
        <w:t xml:space="preserve"> a product of the risk score, it is possible to group it by cutting </w:t>
      </w:r>
      <w:proofErr w:type="gramStart"/>
      <w:r>
        <w:t>in</w:t>
      </w:r>
      <w:proofErr w:type="gramEnd"/>
      <w:r>
        <w:t xml:space="preserve"> three levels: </w:t>
      </w:r>
    </w:p>
    <w:tbl>
      <w:tblPr>
        <w:tblStyle w:val="TableGrid"/>
        <w:tblW w:w="0" w:type="auto"/>
        <w:jc w:val="center"/>
        <w:tblLook w:val="04A0" w:firstRow="1" w:lastRow="0" w:firstColumn="1" w:lastColumn="0" w:noHBand="0" w:noVBand="1"/>
      </w:tblPr>
      <w:tblGrid>
        <w:gridCol w:w="991"/>
        <w:gridCol w:w="1932"/>
        <w:gridCol w:w="2161"/>
      </w:tblGrid>
      <w:tr w:rsidR="00F1668E" w:rsidRPr="00F1668E" w14:paraId="35CA7520" w14:textId="77777777" w:rsidTr="00F1668E">
        <w:trPr>
          <w:jc w:val="center"/>
        </w:trPr>
        <w:tc>
          <w:tcPr>
            <w:tcW w:w="0" w:type="auto"/>
            <w:hideMark/>
          </w:tcPr>
          <w:p w14:paraId="71C784AA" w14:textId="77777777" w:rsidR="00F1668E" w:rsidRPr="00F1668E" w:rsidRDefault="00F1668E" w:rsidP="00F1668E">
            <w:pPr>
              <w:jc w:val="center"/>
              <w:rPr>
                <w:rFonts w:eastAsia="Times New Roman" w:cs="Times New Roman"/>
                <w:b/>
                <w:bCs/>
              </w:rPr>
            </w:pPr>
            <w:r w:rsidRPr="00F1668E">
              <w:rPr>
                <w:rFonts w:eastAsia="Times New Roman" w:cs="Times New Roman"/>
                <w:b/>
                <w:bCs/>
              </w:rPr>
              <w:t>Group</w:t>
            </w:r>
          </w:p>
        </w:tc>
        <w:tc>
          <w:tcPr>
            <w:tcW w:w="0" w:type="auto"/>
            <w:hideMark/>
          </w:tcPr>
          <w:p w14:paraId="0E396F16" w14:textId="77777777" w:rsidR="00F1668E" w:rsidRPr="00F1668E" w:rsidRDefault="00F1668E" w:rsidP="00F1668E">
            <w:pPr>
              <w:jc w:val="center"/>
              <w:rPr>
                <w:rFonts w:eastAsia="Times New Roman" w:cs="Times New Roman"/>
                <w:b/>
                <w:bCs/>
              </w:rPr>
            </w:pPr>
            <w:r w:rsidRPr="00F1668E">
              <w:rPr>
                <w:rFonts w:eastAsia="Times New Roman" w:cs="Times New Roman"/>
                <w:b/>
                <w:bCs/>
              </w:rPr>
              <w:t>Percentile Range</w:t>
            </w:r>
          </w:p>
        </w:tc>
        <w:tc>
          <w:tcPr>
            <w:tcW w:w="0" w:type="auto"/>
            <w:hideMark/>
          </w:tcPr>
          <w:p w14:paraId="4C676640" w14:textId="77777777" w:rsidR="00F1668E" w:rsidRPr="00F1668E" w:rsidRDefault="00F1668E" w:rsidP="00F1668E">
            <w:pPr>
              <w:jc w:val="center"/>
              <w:rPr>
                <w:rFonts w:eastAsia="Times New Roman" w:cs="Times New Roman"/>
                <w:b/>
                <w:bCs/>
              </w:rPr>
            </w:pPr>
            <w:r w:rsidRPr="00F1668E">
              <w:rPr>
                <w:rFonts w:eastAsia="Times New Roman" w:cs="Times New Roman"/>
                <w:b/>
                <w:bCs/>
              </w:rPr>
              <w:t>Meaning</w:t>
            </w:r>
          </w:p>
        </w:tc>
      </w:tr>
      <w:tr w:rsidR="00F1668E" w:rsidRPr="00F1668E" w14:paraId="28986D67" w14:textId="77777777" w:rsidTr="00F1668E">
        <w:trPr>
          <w:jc w:val="center"/>
        </w:trPr>
        <w:tc>
          <w:tcPr>
            <w:tcW w:w="0" w:type="auto"/>
            <w:hideMark/>
          </w:tcPr>
          <w:p w14:paraId="32FC183B" w14:textId="77777777" w:rsidR="00F1668E" w:rsidRPr="00F1668E" w:rsidRDefault="00F1668E" w:rsidP="00F1668E">
            <w:pPr>
              <w:rPr>
                <w:rFonts w:eastAsia="Times New Roman" w:cs="Times New Roman"/>
              </w:rPr>
            </w:pPr>
            <w:r w:rsidRPr="00F1668E">
              <w:rPr>
                <w:rFonts w:eastAsia="Times New Roman" w:cs="Times New Roman"/>
              </w:rPr>
              <w:t>Low</w:t>
            </w:r>
          </w:p>
        </w:tc>
        <w:tc>
          <w:tcPr>
            <w:tcW w:w="0" w:type="auto"/>
            <w:hideMark/>
          </w:tcPr>
          <w:p w14:paraId="0C3A4D7A" w14:textId="77777777" w:rsidR="00F1668E" w:rsidRPr="00F1668E" w:rsidRDefault="00F1668E" w:rsidP="00F1668E">
            <w:pPr>
              <w:rPr>
                <w:rFonts w:eastAsia="Times New Roman" w:cs="Times New Roman"/>
              </w:rPr>
            </w:pPr>
            <w:r w:rsidRPr="00F1668E">
              <w:rPr>
                <w:rFonts w:eastAsia="Times New Roman" w:cs="Times New Roman"/>
              </w:rPr>
              <w:t>0–70%</w:t>
            </w:r>
          </w:p>
        </w:tc>
        <w:tc>
          <w:tcPr>
            <w:tcW w:w="0" w:type="auto"/>
            <w:hideMark/>
          </w:tcPr>
          <w:p w14:paraId="33BB0415" w14:textId="77777777" w:rsidR="00F1668E" w:rsidRPr="00F1668E" w:rsidRDefault="00F1668E" w:rsidP="00F1668E">
            <w:pPr>
              <w:rPr>
                <w:rFonts w:eastAsia="Times New Roman" w:cs="Times New Roman"/>
              </w:rPr>
            </w:pPr>
            <w:r w:rsidRPr="00F1668E">
              <w:rPr>
                <w:rFonts w:eastAsia="Times New Roman" w:cs="Times New Roman"/>
              </w:rPr>
              <w:t>Routine monitoring</w:t>
            </w:r>
          </w:p>
        </w:tc>
      </w:tr>
      <w:tr w:rsidR="00F1668E" w:rsidRPr="00F1668E" w14:paraId="6D5BB6C7" w14:textId="77777777" w:rsidTr="00F1668E">
        <w:trPr>
          <w:jc w:val="center"/>
        </w:trPr>
        <w:tc>
          <w:tcPr>
            <w:tcW w:w="0" w:type="auto"/>
            <w:hideMark/>
          </w:tcPr>
          <w:p w14:paraId="7AA9BEBD" w14:textId="77777777" w:rsidR="00F1668E" w:rsidRPr="00F1668E" w:rsidRDefault="00F1668E" w:rsidP="00F1668E">
            <w:pPr>
              <w:rPr>
                <w:rFonts w:eastAsia="Times New Roman" w:cs="Times New Roman"/>
              </w:rPr>
            </w:pPr>
            <w:r w:rsidRPr="00F1668E">
              <w:rPr>
                <w:rFonts w:eastAsia="Times New Roman" w:cs="Times New Roman"/>
              </w:rPr>
              <w:t>Medium</w:t>
            </w:r>
          </w:p>
        </w:tc>
        <w:tc>
          <w:tcPr>
            <w:tcW w:w="0" w:type="auto"/>
            <w:hideMark/>
          </w:tcPr>
          <w:p w14:paraId="5D074CF3" w14:textId="77777777" w:rsidR="00F1668E" w:rsidRPr="00F1668E" w:rsidRDefault="00F1668E" w:rsidP="00F1668E">
            <w:pPr>
              <w:rPr>
                <w:rFonts w:eastAsia="Times New Roman" w:cs="Times New Roman"/>
              </w:rPr>
            </w:pPr>
            <w:r w:rsidRPr="00F1668E">
              <w:rPr>
                <w:rFonts w:eastAsia="Times New Roman" w:cs="Times New Roman"/>
              </w:rPr>
              <w:t>70–90%</w:t>
            </w:r>
          </w:p>
        </w:tc>
        <w:tc>
          <w:tcPr>
            <w:tcW w:w="0" w:type="auto"/>
            <w:hideMark/>
          </w:tcPr>
          <w:p w14:paraId="7C1FDC84" w14:textId="77777777" w:rsidR="00F1668E" w:rsidRPr="00F1668E" w:rsidRDefault="00F1668E" w:rsidP="00F1668E">
            <w:pPr>
              <w:rPr>
                <w:rFonts w:eastAsia="Times New Roman" w:cs="Times New Roman"/>
              </w:rPr>
            </w:pPr>
            <w:r w:rsidRPr="00F1668E">
              <w:rPr>
                <w:rFonts w:eastAsia="Times New Roman" w:cs="Times New Roman"/>
              </w:rPr>
              <w:t>Targeted outreach</w:t>
            </w:r>
          </w:p>
        </w:tc>
      </w:tr>
      <w:tr w:rsidR="00F1668E" w:rsidRPr="00F1668E" w14:paraId="038DD771" w14:textId="77777777" w:rsidTr="00F1668E">
        <w:trPr>
          <w:jc w:val="center"/>
        </w:trPr>
        <w:tc>
          <w:tcPr>
            <w:tcW w:w="0" w:type="auto"/>
            <w:hideMark/>
          </w:tcPr>
          <w:p w14:paraId="727FCFD3" w14:textId="77777777" w:rsidR="00F1668E" w:rsidRPr="00F1668E" w:rsidRDefault="00F1668E" w:rsidP="00F1668E">
            <w:pPr>
              <w:rPr>
                <w:rFonts w:eastAsia="Times New Roman" w:cs="Times New Roman"/>
              </w:rPr>
            </w:pPr>
            <w:r w:rsidRPr="00F1668E">
              <w:rPr>
                <w:rFonts w:eastAsia="Times New Roman" w:cs="Times New Roman"/>
              </w:rPr>
              <w:t>High</w:t>
            </w:r>
          </w:p>
        </w:tc>
        <w:tc>
          <w:tcPr>
            <w:tcW w:w="0" w:type="auto"/>
            <w:hideMark/>
          </w:tcPr>
          <w:p w14:paraId="2C54C245" w14:textId="77777777" w:rsidR="00F1668E" w:rsidRPr="00F1668E" w:rsidRDefault="00F1668E" w:rsidP="00F1668E">
            <w:pPr>
              <w:rPr>
                <w:rFonts w:eastAsia="Times New Roman" w:cs="Times New Roman"/>
              </w:rPr>
            </w:pPr>
            <w:r w:rsidRPr="00F1668E">
              <w:rPr>
                <w:rFonts w:eastAsia="Times New Roman" w:cs="Times New Roman"/>
              </w:rPr>
              <w:t>90–100%</w:t>
            </w:r>
          </w:p>
        </w:tc>
        <w:tc>
          <w:tcPr>
            <w:tcW w:w="0" w:type="auto"/>
            <w:hideMark/>
          </w:tcPr>
          <w:p w14:paraId="4AADAB34" w14:textId="77777777" w:rsidR="00F1668E" w:rsidRPr="00F1668E" w:rsidRDefault="00F1668E" w:rsidP="00F1668E">
            <w:pPr>
              <w:rPr>
                <w:rFonts w:eastAsia="Times New Roman" w:cs="Times New Roman"/>
              </w:rPr>
            </w:pPr>
            <w:r w:rsidRPr="00F1668E">
              <w:rPr>
                <w:rFonts w:eastAsia="Times New Roman" w:cs="Times New Roman"/>
                <w:b/>
                <w:bCs/>
              </w:rPr>
              <w:t>Immediate priority</w:t>
            </w:r>
          </w:p>
        </w:tc>
      </w:tr>
    </w:tbl>
    <w:p w14:paraId="0AD13517" w14:textId="77777777" w:rsidR="00F1668E" w:rsidRDefault="00F1668E" w:rsidP="00F1668E">
      <w:pPr>
        <w:spacing w:after="240"/>
      </w:pPr>
    </w:p>
    <w:p w14:paraId="1FDC57C4" w14:textId="77777777" w:rsidR="004A20CE" w:rsidRDefault="004A20CE" w:rsidP="00F1668E">
      <w:pPr>
        <w:spacing w:after="240"/>
      </w:pPr>
    </w:p>
    <w:p w14:paraId="551F724D" w14:textId="77777777" w:rsidR="004A20CE" w:rsidRDefault="004A20CE" w:rsidP="00F1668E">
      <w:pPr>
        <w:spacing w:after="240"/>
      </w:pPr>
    </w:p>
    <w:p w14:paraId="2B5B2455" w14:textId="77777777" w:rsidR="004A20CE" w:rsidRDefault="004A20CE" w:rsidP="00F1668E">
      <w:pPr>
        <w:spacing w:after="240"/>
      </w:pPr>
    </w:p>
    <w:p w14:paraId="6E1D9A8F" w14:textId="77777777" w:rsidR="004A20CE" w:rsidRDefault="004A20CE" w:rsidP="00F1668E">
      <w:pPr>
        <w:spacing w:after="240"/>
      </w:pPr>
    </w:p>
    <w:p w14:paraId="46C4C1EA" w14:textId="77777777" w:rsidR="004A20CE" w:rsidRDefault="004A20CE" w:rsidP="00F1668E">
      <w:pPr>
        <w:spacing w:after="240"/>
      </w:pPr>
    </w:p>
    <w:p w14:paraId="6B947E18" w14:textId="77777777" w:rsidR="004A20CE" w:rsidRDefault="004A20CE" w:rsidP="00F1668E">
      <w:pPr>
        <w:spacing w:after="240"/>
      </w:pPr>
    </w:p>
    <w:p w14:paraId="12F9FE38" w14:textId="27AC0BC0" w:rsidR="003E1C42" w:rsidRDefault="00000000">
      <w:pPr>
        <w:pStyle w:val="Heading2"/>
      </w:pPr>
      <w:r>
        <w:lastRenderedPageBreak/>
        <w:t>Outreach Segmentation Strategy</w:t>
      </w:r>
    </w:p>
    <w:p w14:paraId="6B958ED2" w14:textId="5E68FB83" w:rsidR="00F809D0" w:rsidRDefault="00E64BA4">
      <w:pPr>
        <w:spacing w:after="240"/>
      </w:pPr>
      <w:r w:rsidRPr="00553F6E">
        <w:drawing>
          <wp:anchor distT="0" distB="0" distL="114300" distR="114300" simplePos="0" relativeHeight="251613184" behindDoc="0" locked="0" layoutInCell="1" allowOverlap="1" wp14:anchorId="6877CACB" wp14:editId="2588B720">
            <wp:simplePos x="0" y="0"/>
            <wp:positionH relativeFrom="column">
              <wp:posOffset>2950210</wp:posOffset>
            </wp:positionH>
            <wp:positionV relativeFrom="paragraph">
              <wp:posOffset>1425575</wp:posOffset>
            </wp:positionV>
            <wp:extent cx="3256280" cy="1997075"/>
            <wp:effectExtent l="0" t="0" r="1270" b="3175"/>
            <wp:wrapThrough wrapText="bothSides">
              <wp:wrapPolygon edited="0">
                <wp:start x="0" y="0"/>
                <wp:lineTo x="0" y="21428"/>
                <wp:lineTo x="21482" y="21428"/>
                <wp:lineTo x="21482" y="0"/>
                <wp:lineTo x="0" y="0"/>
              </wp:wrapPolygon>
            </wp:wrapThrough>
            <wp:docPr id="383577966"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77966" name="Picture 1" descr="A graph with numbers and a bar&#10;&#10;AI-generated content may be incorrect."/>
                    <pic:cNvPicPr/>
                  </pic:nvPicPr>
                  <pic:blipFill>
                    <a:blip r:embed="rId8"/>
                    <a:stretch>
                      <a:fillRect/>
                    </a:stretch>
                  </pic:blipFill>
                  <pic:spPr>
                    <a:xfrm>
                      <a:off x="0" y="0"/>
                      <a:ext cx="3256280" cy="1997075"/>
                    </a:xfrm>
                    <a:prstGeom prst="rect">
                      <a:avLst/>
                    </a:prstGeom>
                  </pic:spPr>
                </pic:pic>
              </a:graphicData>
            </a:graphic>
            <wp14:sizeRelH relativeFrom="page">
              <wp14:pctWidth>0</wp14:pctWidth>
            </wp14:sizeRelH>
            <wp14:sizeRelV relativeFrom="page">
              <wp14:pctHeight>0</wp14:pctHeight>
            </wp14:sizeRelV>
          </wp:anchor>
        </w:drawing>
      </w:r>
      <w:r w:rsidRPr="004A20CE">
        <w:drawing>
          <wp:anchor distT="0" distB="0" distL="114300" distR="114300" simplePos="0" relativeHeight="251600896" behindDoc="0" locked="0" layoutInCell="1" allowOverlap="1" wp14:anchorId="01EA28B1" wp14:editId="7C85AF39">
            <wp:simplePos x="0" y="0"/>
            <wp:positionH relativeFrom="column">
              <wp:posOffset>-309880</wp:posOffset>
            </wp:positionH>
            <wp:positionV relativeFrom="paragraph">
              <wp:posOffset>1425575</wp:posOffset>
            </wp:positionV>
            <wp:extent cx="3385185" cy="2123440"/>
            <wp:effectExtent l="0" t="0" r="5715" b="0"/>
            <wp:wrapThrough wrapText="bothSides">
              <wp:wrapPolygon edited="0">
                <wp:start x="0" y="0"/>
                <wp:lineTo x="0" y="21316"/>
                <wp:lineTo x="21515" y="21316"/>
                <wp:lineTo x="21515" y="0"/>
                <wp:lineTo x="0" y="0"/>
              </wp:wrapPolygon>
            </wp:wrapThrough>
            <wp:docPr id="382003236"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03236" name="Picture 1" descr="A graph with numbers and a bar&#10;&#10;AI-generated content may be incorrect."/>
                    <pic:cNvPicPr/>
                  </pic:nvPicPr>
                  <pic:blipFill>
                    <a:blip r:embed="rId9"/>
                    <a:stretch>
                      <a:fillRect/>
                    </a:stretch>
                  </pic:blipFill>
                  <pic:spPr>
                    <a:xfrm>
                      <a:off x="0" y="0"/>
                      <a:ext cx="3385185" cy="2123440"/>
                    </a:xfrm>
                    <a:prstGeom prst="rect">
                      <a:avLst/>
                    </a:prstGeom>
                  </pic:spPr>
                </pic:pic>
              </a:graphicData>
            </a:graphic>
            <wp14:sizeRelH relativeFrom="page">
              <wp14:pctWidth>0</wp14:pctWidth>
            </wp14:sizeRelH>
            <wp14:sizeRelV relativeFrom="page">
              <wp14:pctHeight>0</wp14:pctHeight>
            </wp14:sizeRelV>
          </wp:anchor>
        </w:drawing>
      </w:r>
      <w:r w:rsidR="004A20CE">
        <w:t>The distribution in the open gaps is strongly concentrated for patients who have 1, 2, or 3 open gaps, getting between 21% to 30%.  In this distribution, it is possible to differentiate between patients with no gaps (7.2%) as well as patients with 4 (11.8%), 5 (4.9%), 6 (1.1%), 7 (0.4%), and 8 (0.1%) open gaps.</w:t>
      </w:r>
      <w:r w:rsidR="00553F6E">
        <w:t xml:space="preserve"> The same distribution is presented in the risk score distribution, where most of the patients with a risk score between 12, 14, and 16 obtained the same percentages, as the patient got 1, 2, or 3 open gaps. </w:t>
      </w:r>
    </w:p>
    <w:p w14:paraId="3EA07179" w14:textId="1A74920F" w:rsidR="00E64BA4" w:rsidRDefault="00E64BA4" w:rsidP="00901E0A">
      <w:pPr>
        <w:spacing w:after="240"/>
        <w:jc w:val="both"/>
      </w:pPr>
    </w:p>
    <w:p w14:paraId="359D4751" w14:textId="144491B2" w:rsidR="00E257D7" w:rsidRDefault="00901E0A" w:rsidP="00901E0A">
      <w:pPr>
        <w:spacing w:after="240"/>
        <w:jc w:val="both"/>
      </w:pPr>
      <w:r w:rsidRPr="00901E0A">
        <w:t xml:space="preserve">These two visualizations together show a clear, age-related pattern in healthcare utilization and overall risk. On the left, the boxplot of PCP encounters by age group indicates that primary care use generally increases with age: younger groups have fewer encounters and tighter distributions, while older </w:t>
      </w:r>
      <w:proofErr w:type="gramStart"/>
      <w:r w:rsidRPr="00901E0A">
        <w:t>groups—</w:t>
      </w:r>
      <w:proofErr w:type="gramEnd"/>
      <w:r w:rsidRPr="00901E0A">
        <w:t>especially ages 60 and above—show higher medians, wider variability, and more high-use outliers, reflecting greater reliance on routine and chronic care management. On the right, the risk score distribution by age demonstrates a parallel trend, with risk scores rising steadily as age increases and becoming more concentrated at higher values among older individuals. Taken together, these plots suggest that aging is associated with both increased primary care engagement and higher clinical risk, reinforcing the need for proactive care coordination and targeted outreach strategies in older populations.</w:t>
      </w:r>
    </w:p>
    <w:p w14:paraId="5DBB4DDF" w14:textId="127004BB" w:rsidR="00E257D7" w:rsidRDefault="00901E0A" w:rsidP="00901E0A">
      <w:pPr>
        <w:tabs>
          <w:tab w:val="left" w:pos="3870"/>
        </w:tabs>
        <w:spacing w:after="240"/>
        <w:jc w:val="both"/>
      </w:pPr>
      <w:r w:rsidRPr="00C0739B">
        <w:lastRenderedPageBreak/>
        <w:drawing>
          <wp:anchor distT="0" distB="0" distL="114300" distR="114300" simplePos="0" relativeHeight="251679744" behindDoc="0" locked="0" layoutInCell="1" allowOverlap="1" wp14:anchorId="5009E62B" wp14:editId="7F8FB0A3">
            <wp:simplePos x="0" y="0"/>
            <wp:positionH relativeFrom="column">
              <wp:posOffset>2794000</wp:posOffset>
            </wp:positionH>
            <wp:positionV relativeFrom="paragraph">
              <wp:posOffset>213360</wp:posOffset>
            </wp:positionV>
            <wp:extent cx="2890520" cy="2301240"/>
            <wp:effectExtent l="0" t="0" r="5080" b="3810"/>
            <wp:wrapThrough wrapText="bothSides">
              <wp:wrapPolygon edited="0">
                <wp:start x="0" y="0"/>
                <wp:lineTo x="0" y="21457"/>
                <wp:lineTo x="21496" y="21457"/>
                <wp:lineTo x="21496" y="0"/>
                <wp:lineTo x="0" y="0"/>
              </wp:wrapPolygon>
            </wp:wrapThrough>
            <wp:docPr id="1326695668" name="Picture 1" descr="A graph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95668" name="Picture 1" descr="A graph of blue rectangular objects&#10;&#10;AI-generated content may be incorrect."/>
                    <pic:cNvPicPr/>
                  </pic:nvPicPr>
                  <pic:blipFill>
                    <a:blip r:embed="rId10"/>
                    <a:stretch>
                      <a:fillRect/>
                    </a:stretch>
                  </pic:blipFill>
                  <pic:spPr>
                    <a:xfrm>
                      <a:off x="0" y="0"/>
                      <a:ext cx="2890520" cy="2301240"/>
                    </a:xfrm>
                    <a:prstGeom prst="rect">
                      <a:avLst/>
                    </a:prstGeom>
                  </pic:spPr>
                </pic:pic>
              </a:graphicData>
            </a:graphic>
            <wp14:sizeRelH relativeFrom="page">
              <wp14:pctWidth>0</wp14:pctWidth>
            </wp14:sizeRelH>
            <wp14:sizeRelV relativeFrom="page">
              <wp14:pctHeight>0</wp14:pctHeight>
            </wp14:sizeRelV>
          </wp:anchor>
        </w:drawing>
      </w:r>
      <w:r w:rsidRPr="00901E0A">
        <w:drawing>
          <wp:anchor distT="0" distB="0" distL="114300" distR="114300" simplePos="0" relativeHeight="251723776" behindDoc="0" locked="0" layoutInCell="1" allowOverlap="1" wp14:anchorId="1A3B6DA0" wp14:editId="0E7F181F">
            <wp:simplePos x="0" y="0"/>
            <wp:positionH relativeFrom="column">
              <wp:posOffset>-76200</wp:posOffset>
            </wp:positionH>
            <wp:positionV relativeFrom="paragraph">
              <wp:posOffset>85090</wp:posOffset>
            </wp:positionV>
            <wp:extent cx="2776220" cy="2123440"/>
            <wp:effectExtent l="0" t="0" r="5080" b="0"/>
            <wp:wrapThrough wrapText="bothSides">
              <wp:wrapPolygon edited="0">
                <wp:start x="0" y="0"/>
                <wp:lineTo x="0" y="21316"/>
                <wp:lineTo x="21491" y="21316"/>
                <wp:lineTo x="21491" y="0"/>
                <wp:lineTo x="0" y="0"/>
              </wp:wrapPolygon>
            </wp:wrapThrough>
            <wp:docPr id="904864362" name="Picture 1" descr="A graph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64362" name="Picture 1" descr="A graph of a number of blue squares&#10;&#10;AI-generated content may be incorrect."/>
                    <pic:cNvPicPr/>
                  </pic:nvPicPr>
                  <pic:blipFill>
                    <a:blip r:embed="rId11"/>
                    <a:stretch>
                      <a:fillRect/>
                    </a:stretch>
                  </pic:blipFill>
                  <pic:spPr>
                    <a:xfrm>
                      <a:off x="0" y="0"/>
                      <a:ext cx="2776220" cy="2123440"/>
                    </a:xfrm>
                    <a:prstGeom prst="rect">
                      <a:avLst/>
                    </a:prstGeom>
                  </pic:spPr>
                </pic:pic>
              </a:graphicData>
            </a:graphic>
            <wp14:sizeRelH relativeFrom="page">
              <wp14:pctWidth>0</wp14:pctWidth>
            </wp14:sizeRelH>
            <wp14:sizeRelV relativeFrom="page">
              <wp14:pctHeight>0</wp14:pctHeight>
            </wp14:sizeRelV>
          </wp:anchor>
        </w:drawing>
      </w:r>
    </w:p>
    <w:p w14:paraId="7DAC5B97" w14:textId="77777777" w:rsidR="00E64BA4" w:rsidRDefault="00E64BA4" w:rsidP="00E257D7">
      <w:pPr>
        <w:spacing w:after="240"/>
        <w:jc w:val="both"/>
      </w:pPr>
    </w:p>
    <w:p w14:paraId="40261EFD" w14:textId="08E6147B" w:rsidR="002E4455" w:rsidRDefault="002E4455" w:rsidP="00E257D7">
      <w:pPr>
        <w:spacing w:after="240"/>
        <w:jc w:val="both"/>
      </w:pPr>
      <w:r>
        <w:t xml:space="preserve">One of the most important predictors to separate unmeet population and </w:t>
      </w:r>
      <w:r w:rsidR="00901E0A">
        <w:t>patients</w:t>
      </w:r>
      <w:r>
        <w:t xml:space="preserve"> reached by the outreach team is by identifying the communications channels and their outcomes. For instance, there was approximately an even distribution of 25% for the different types of communications channels used to reach the patients. Including Text messages (SMS), phone, mail, and email.  </w:t>
      </w:r>
      <w:r w:rsidR="00E257D7">
        <w:t xml:space="preserve">On the other hand, almost 60% of patients were reached once, while approximately 40% of them were reached twice or three times. The results of this strategy show that 17.1% of patients have completed the gap, while the rest of the population left voicemail (15.9%), did not answer the phone (17.0%), opted out (17.1%), reached (17.3%), and scheduled (15.7%). In this sense, focusing </w:t>
      </w:r>
      <w:proofErr w:type="gramStart"/>
      <w:r w:rsidR="00E257D7">
        <w:t>in</w:t>
      </w:r>
      <w:proofErr w:type="gramEnd"/>
      <w:r w:rsidR="00E257D7">
        <w:t xml:space="preserve"> patient with the gaps still open is the main outreach strategy to implement. </w:t>
      </w:r>
    </w:p>
    <w:p w14:paraId="4EB50B8C" w14:textId="69902FD3" w:rsidR="002E4455" w:rsidRDefault="002E4455">
      <w:pPr>
        <w:spacing w:after="240"/>
      </w:pPr>
      <w:r w:rsidRPr="002E4455">
        <w:drawing>
          <wp:anchor distT="0" distB="0" distL="114300" distR="114300" simplePos="0" relativeHeight="251628544" behindDoc="0" locked="0" layoutInCell="1" allowOverlap="1" wp14:anchorId="3D562E24" wp14:editId="75FEF823">
            <wp:simplePos x="0" y="0"/>
            <wp:positionH relativeFrom="column">
              <wp:posOffset>2910840</wp:posOffset>
            </wp:positionH>
            <wp:positionV relativeFrom="paragraph">
              <wp:posOffset>311785</wp:posOffset>
            </wp:positionV>
            <wp:extent cx="3149600" cy="1930400"/>
            <wp:effectExtent l="0" t="0" r="0" b="0"/>
            <wp:wrapThrough wrapText="bothSides">
              <wp:wrapPolygon edited="0">
                <wp:start x="0" y="0"/>
                <wp:lineTo x="0" y="21316"/>
                <wp:lineTo x="21426" y="21316"/>
                <wp:lineTo x="21426" y="0"/>
                <wp:lineTo x="0" y="0"/>
              </wp:wrapPolygon>
            </wp:wrapThrough>
            <wp:docPr id="1300090097" name="Picture 1" descr="A bar graph with blue and white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90097" name="Picture 1" descr="A bar graph with blue and white stripes&#10;&#10;AI-generated content may be incorrect."/>
                    <pic:cNvPicPr/>
                  </pic:nvPicPr>
                  <pic:blipFill>
                    <a:blip r:embed="rId12"/>
                    <a:stretch>
                      <a:fillRect/>
                    </a:stretch>
                  </pic:blipFill>
                  <pic:spPr>
                    <a:xfrm>
                      <a:off x="0" y="0"/>
                      <a:ext cx="3149600" cy="1930400"/>
                    </a:xfrm>
                    <a:prstGeom prst="rect">
                      <a:avLst/>
                    </a:prstGeom>
                  </pic:spPr>
                </pic:pic>
              </a:graphicData>
            </a:graphic>
            <wp14:sizeRelH relativeFrom="page">
              <wp14:pctWidth>0</wp14:pctWidth>
            </wp14:sizeRelH>
            <wp14:sizeRelV relativeFrom="page">
              <wp14:pctHeight>0</wp14:pctHeight>
            </wp14:sizeRelV>
          </wp:anchor>
        </w:drawing>
      </w:r>
      <w:r w:rsidRPr="002E4455">
        <w:drawing>
          <wp:anchor distT="0" distB="0" distL="114300" distR="114300" simplePos="0" relativeHeight="251621376" behindDoc="0" locked="0" layoutInCell="1" allowOverlap="1" wp14:anchorId="197DE7F9" wp14:editId="24AA819A">
            <wp:simplePos x="0" y="0"/>
            <wp:positionH relativeFrom="column">
              <wp:posOffset>-441960</wp:posOffset>
            </wp:positionH>
            <wp:positionV relativeFrom="paragraph">
              <wp:posOffset>311785</wp:posOffset>
            </wp:positionV>
            <wp:extent cx="3230245" cy="1950720"/>
            <wp:effectExtent l="0" t="0" r="8255" b="0"/>
            <wp:wrapThrough wrapText="bothSides">
              <wp:wrapPolygon edited="0">
                <wp:start x="0" y="0"/>
                <wp:lineTo x="0" y="21305"/>
                <wp:lineTo x="21528" y="21305"/>
                <wp:lineTo x="21528" y="0"/>
                <wp:lineTo x="0" y="0"/>
              </wp:wrapPolygon>
            </wp:wrapThrough>
            <wp:docPr id="1566781087" name="Picture 1" descr="A blue and white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81087" name="Picture 1" descr="A blue and white bar graph&#10;&#10;AI-generated content may be incorrect."/>
                    <pic:cNvPicPr/>
                  </pic:nvPicPr>
                  <pic:blipFill>
                    <a:blip r:embed="rId13"/>
                    <a:stretch>
                      <a:fillRect/>
                    </a:stretch>
                  </pic:blipFill>
                  <pic:spPr>
                    <a:xfrm>
                      <a:off x="0" y="0"/>
                      <a:ext cx="3230245" cy="1950720"/>
                    </a:xfrm>
                    <a:prstGeom prst="rect">
                      <a:avLst/>
                    </a:prstGeom>
                  </pic:spPr>
                </pic:pic>
              </a:graphicData>
            </a:graphic>
            <wp14:sizeRelH relativeFrom="page">
              <wp14:pctWidth>0</wp14:pctWidth>
            </wp14:sizeRelH>
            <wp14:sizeRelV relativeFrom="page">
              <wp14:pctHeight>0</wp14:pctHeight>
            </wp14:sizeRelV>
          </wp:anchor>
        </w:drawing>
      </w:r>
    </w:p>
    <w:p w14:paraId="0DB1C015" w14:textId="77777777" w:rsidR="003E1C42" w:rsidRDefault="00000000">
      <w:pPr>
        <w:pStyle w:val="Heading2"/>
      </w:pPr>
      <w:r>
        <w:t>Key Metrics &amp; Evaluation</w:t>
      </w:r>
    </w:p>
    <w:p w14:paraId="3CB1F15C" w14:textId="6C98E9A3" w:rsidR="00F94CAC" w:rsidRDefault="00467808" w:rsidP="00467808">
      <w:pPr>
        <w:spacing w:after="240"/>
        <w:jc w:val="both"/>
      </w:pPr>
      <w:r>
        <w:t xml:space="preserve">Addressing patients with unmet </w:t>
      </w:r>
      <w:r w:rsidR="00F94CAC">
        <w:t xml:space="preserve">needs, it is necessary to separate those with a </w:t>
      </w:r>
      <w:proofErr w:type="gramStart"/>
      <w:r w:rsidR="00F94CAC">
        <w:t>completed</w:t>
      </w:r>
      <w:proofErr w:type="gramEnd"/>
      <w:r w:rsidR="00F94CAC">
        <w:t xml:space="preserve"> gap from patients who, for various</w:t>
      </w:r>
      <w:r>
        <w:t xml:space="preserve"> reasons, were not successfully reached.   </w:t>
      </w:r>
      <w:r w:rsidR="00D26EDE">
        <w:t>Compared</w:t>
      </w:r>
      <w:r w:rsidR="00A00DA4">
        <w:t xml:space="preserve"> with </w:t>
      </w:r>
      <w:r w:rsidR="00F94CAC">
        <w:t>non</w:t>
      </w:r>
      <w:r w:rsidR="00A00DA4">
        <w:t xml:space="preserve">-reached populations, 38.2% were reached using email, and 40% using phone and SMS. On the other hand, comparing these two groups of patients, the acute upper respiratory infection led </w:t>
      </w:r>
      <w:r w:rsidR="00A00DA4">
        <w:lastRenderedPageBreak/>
        <w:t xml:space="preserve">the rate in unreached populations by 61.5%, </w:t>
      </w:r>
      <w:r w:rsidR="00F94CAC">
        <w:t xml:space="preserve">followed by chronic kidney disease, 64%, and other non-transmissible chronic diseases. </w:t>
      </w:r>
    </w:p>
    <w:p w14:paraId="2A7C01E8" w14:textId="503CC4DC" w:rsidR="00F94CAC" w:rsidRDefault="00F94CAC" w:rsidP="00467808">
      <w:pPr>
        <w:spacing w:after="240"/>
        <w:jc w:val="both"/>
      </w:pPr>
      <w:r>
        <w:t>On the other hand, with the increase in open gaps, the unreached population also increases, marking a pattern of focusing outreach interventions on populations with more than one open gap. Regarding the association between diagnosis, risk score, and reach/unreached populations, there is a marked increase in patients with diabetes, hypertension</w:t>
      </w:r>
      <w:r w:rsidR="00D26EDE">
        <w:t>,</w:t>
      </w:r>
      <w:r>
        <w:t xml:space="preserve"> and acute upper respiratory infection with </w:t>
      </w:r>
      <w:r w:rsidR="00D26EDE">
        <w:t xml:space="preserve">a </w:t>
      </w:r>
      <w:r>
        <w:t xml:space="preserve">risk score between 18 </w:t>
      </w:r>
      <w:r w:rsidR="00D26EDE">
        <w:t>and</w:t>
      </w:r>
      <w:r>
        <w:t xml:space="preserve"> 24. </w:t>
      </w:r>
    </w:p>
    <w:p w14:paraId="0645BC2A" w14:textId="12B3F5CF" w:rsidR="00F94CAC" w:rsidRDefault="00F94CAC" w:rsidP="00F94CAC">
      <w:pPr>
        <w:spacing w:after="240"/>
        <w:jc w:val="center"/>
      </w:pPr>
    </w:p>
    <w:p w14:paraId="6E4E26D2" w14:textId="6C563214" w:rsidR="00F94CAC" w:rsidRDefault="00F94CAC" w:rsidP="00F94CAC">
      <w:pPr>
        <w:spacing w:after="240"/>
        <w:jc w:val="center"/>
      </w:pPr>
    </w:p>
    <w:p w14:paraId="5F2C77E2" w14:textId="47EBC310" w:rsidR="00467808" w:rsidRDefault="00467808">
      <w:pPr>
        <w:spacing w:after="240"/>
      </w:pPr>
    </w:p>
    <w:p w14:paraId="63C1A244" w14:textId="77777777" w:rsidR="00F94CAC" w:rsidRDefault="00F94CAC">
      <w:pPr>
        <w:spacing w:after="240"/>
      </w:pPr>
    </w:p>
    <w:p w14:paraId="03A719C9" w14:textId="77777777" w:rsidR="00F94CAC" w:rsidRDefault="00F94CAC">
      <w:pPr>
        <w:spacing w:after="240"/>
      </w:pPr>
    </w:p>
    <w:p w14:paraId="35963AED" w14:textId="7BCD0865" w:rsidR="00F94CAC" w:rsidRDefault="00F94CAC">
      <w:pPr>
        <w:spacing w:after="240"/>
      </w:pPr>
      <w:r w:rsidRPr="00F94CAC">
        <w:drawing>
          <wp:anchor distT="0" distB="0" distL="114300" distR="114300" simplePos="0" relativeHeight="251730944" behindDoc="0" locked="0" layoutInCell="1" allowOverlap="1" wp14:anchorId="33852C0B" wp14:editId="536EC5D7">
            <wp:simplePos x="0" y="0"/>
            <wp:positionH relativeFrom="column">
              <wp:posOffset>1170940</wp:posOffset>
            </wp:positionH>
            <wp:positionV relativeFrom="paragraph">
              <wp:posOffset>-466090</wp:posOffset>
            </wp:positionV>
            <wp:extent cx="3140075" cy="2458720"/>
            <wp:effectExtent l="0" t="0" r="3175" b="0"/>
            <wp:wrapThrough wrapText="bothSides">
              <wp:wrapPolygon edited="0">
                <wp:start x="0" y="0"/>
                <wp:lineTo x="0" y="21421"/>
                <wp:lineTo x="21491" y="21421"/>
                <wp:lineTo x="21491" y="0"/>
                <wp:lineTo x="0" y="0"/>
              </wp:wrapPolygon>
            </wp:wrapThrough>
            <wp:docPr id="1007426333" name="Picture 1"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26333" name="Picture 1" descr="A graph of blue and orange bars&#10;&#10;AI-generated content may be incorrect."/>
                    <pic:cNvPicPr/>
                  </pic:nvPicPr>
                  <pic:blipFill>
                    <a:blip r:embed="rId14"/>
                    <a:stretch>
                      <a:fillRect/>
                    </a:stretch>
                  </pic:blipFill>
                  <pic:spPr>
                    <a:xfrm>
                      <a:off x="0" y="0"/>
                      <a:ext cx="3140075" cy="2458720"/>
                    </a:xfrm>
                    <a:prstGeom prst="rect">
                      <a:avLst/>
                    </a:prstGeom>
                  </pic:spPr>
                </pic:pic>
              </a:graphicData>
            </a:graphic>
            <wp14:sizeRelH relativeFrom="page">
              <wp14:pctWidth>0</wp14:pctWidth>
            </wp14:sizeRelH>
            <wp14:sizeRelV relativeFrom="page">
              <wp14:pctHeight>0</wp14:pctHeight>
            </wp14:sizeRelV>
          </wp:anchor>
        </w:drawing>
      </w:r>
    </w:p>
    <w:p w14:paraId="1691E96B" w14:textId="77777777" w:rsidR="00F94CAC" w:rsidRDefault="00F94CAC">
      <w:pPr>
        <w:spacing w:after="240"/>
      </w:pPr>
    </w:p>
    <w:p w14:paraId="4F7889BB" w14:textId="77777777" w:rsidR="00F94CAC" w:rsidRDefault="00F94CAC">
      <w:pPr>
        <w:spacing w:after="240"/>
      </w:pPr>
    </w:p>
    <w:p w14:paraId="71A03B02" w14:textId="77777777" w:rsidR="00F94CAC" w:rsidRDefault="00F94CAC">
      <w:pPr>
        <w:spacing w:after="240"/>
      </w:pPr>
    </w:p>
    <w:p w14:paraId="6E7C98DC" w14:textId="68245A92" w:rsidR="00F94CAC" w:rsidRDefault="00F94CAC">
      <w:pPr>
        <w:spacing w:after="240"/>
      </w:pPr>
    </w:p>
    <w:p w14:paraId="48FCD907" w14:textId="4C7E41CC" w:rsidR="00F94CAC" w:rsidRDefault="00F94CAC">
      <w:pPr>
        <w:spacing w:after="240"/>
      </w:pPr>
      <w:r w:rsidRPr="00F94CAC">
        <w:drawing>
          <wp:anchor distT="0" distB="0" distL="114300" distR="114300" simplePos="0" relativeHeight="251732992" behindDoc="0" locked="0" layoutInCell="1" allowOverlap="1" wp14:anchorId="3DD53B58" wp14:editId="2314B68C">
            <wp:simplePos x="0" y="0"/>
            <wp:positionH relativeFrom="column">
              <wp:posOffset>0</wp:posOffset>
            </wp:positionH>
            <wp:positionV relativeFrom="paragraph">
              <wp:posOffset>445135</wp:posOffset>
            </wp:positionV>
            <wp:extent cx="5486400" cy="2694305"/>
            <wp:effectExtent l="0" t="0" r="0" b="0"/>
            <wp:wrapThrough wrapText="bothSides">
              <wp:wrapPolygon edited="0">
                <wp:start x="0" y="0"/>
                <wp:lineTo x="0" y="21381"/>
                <wp:lineTo x="21525" y="21381"/>
                <wp:lineTo x="21525" y="0"/>
                <wp:lineTo x="0" y="0"/>
              </wp:wrapPolygon>
            </wp:wrapThrough>
            <wp:docPr id="1347457400"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7400" name="Picture 1" descr="A graph with blue and orange bars&#10;&#10;AI-generated content may be incorrect."/>
                    <pic:cNvPicPr/>
                  </pic:nvPicPr>
                  <pic:blipFill>
                    <a:blip r:embed="rId15"/>
                    <a:stretch>
                      <a:fillRect/>
                    </a:stretch>
                  </pic:blipFill>
                  <pic:spPr>
                    <a:xfrm>
                      <a:off x="0" y="0"/>
                      <a:ext cx="5486400" cy="2694305"/>
                    </a:xfrm>
                    <a:prstGeom prst="rect">
                      <a:avLst/>
                    </a:prstGeom>
                  </pic:spPr>
                </pic:pic>
              </a:graphicData>
            </a:graphic>
            <wp14:sizeRelH relativeFrom="page">
              <wp14:pctWidth>0</wp14:pctWidth>
            </wp14:sizeRelH>
            <wp14:sizeRelV relativeFrom="page">
              <wp14:pctHeight>0</wp14:pctHeight>
            </wp14:sizeRelV>
          </wp:anchor>
        </w:drawing>
      </w:r>
    </w:p>
    <w:p w14:paraId="5FC57EC2" w14:textId="0C91B29F" w:rsidR="00F94CAC" w:rsidRDefault="00F94CAC">
      <w:pPr>
        <w:spacing w:after="240"/>
      </w:pPr>
    </w:p>
    <w:p w14:paraId="0718DE4F" w14:textId="77777777" w:rsidR="003E1C42" w:rsidRDefault="00000000">
      <w:pPr>
        <w:pStyle w:val="Heading2"/>
      </w:pPr>
      <w:r>
        <w:t>Health Equity Lens</w:t>
      </w:r>
    </w:p>
    <w:p w14:paraId="2D7F933B" w14:textId="0659DCC2" w:rsidR="00F94CAC" w:rsidRDefault="00565EEA" w:rsidP="00927764">
      <w:pPr>
        <w:spacing w:after="240"/>
        <w:jc w:val="both"/>
      </w:pPr>
      <w:r>
        <w:t xml:space="preserve">Comparing the values obtained through the current outreach strategy, there was </w:t>
      </w:r>
      <w:proofErr w:type="spellStart"/>
      <w:proofErr w:type="gramStart"/>
      <w:r>
        <w:t>not</w:t>
      </w:r>
      <w:proofErr w:type="spellEnd"/>
      <w:proofErr w:type="gramEnd"/>
      <w:r>
        <w:t xml:space="preserve"> difference between </w:t>
      </w:r>
      <w:r w:rsidR="00927764">
        <w:t>the CDC</w:t>
      </w:r>
      <w:r>
        <w:t xml:space="preserve"> </w:t>
      </w:r>
      <w:r w:rsidR="00927764">
        <w:t xml:space="preserve">Community </w:t>
      </w:r>
      <w:r>
        <w:t xml:space="preserve">barriers and the zip code of the patients.  For instance, </w:t>
      </w:r>
      <w:r w:rsidR="00927764">
        <w:t xml:space="preserve">the </w:t>
      </w:r>
      <w:r>
        <w:t xml:space="preserve">poverty rate was 20%, high school education (28%), language isolation rate (16%), </w:t>
      </w:r>
      <w:r w:rsidR="00927764">
        <w:t>broadband</w:t>
      </w:r>
      <w:r>
        <w:t xml:space="preserve"> access rate (75%), cost barrier care rate (24%), diabetes (14%), hypertension (30%), </w:t>
      </w:r>
      <w:r w:rsidR="00927764">
        <w:t xml:space="preserve">smoking (19%), and physical inactivity (30%). Nonetheless, there is a statistical difference between the means of poverty and broadband access, making these elements one of the most important barriers to access to healthcare services. Regarding language isolation, </w:t>
      </w:r>
      <w:r w:rsidR="00D26EDE">
        <w:t>there is no</w:t>
      </w:r>
      <w:r w:rsidR="00927764">
        <w:t xml:space="preserve"> significant difference between the two groups</w:t>
      </w:r>
      <w:r w:rsidR="00E2442C">
        <w:t xml:space="preserve">. </w:t>
      </w:r>
    </w:p>
    <w:p w14:paraId="293EF081" w14:textId="42DB1BA0" w:rsidR="003E1C42" w:rsidRDefault="00000000">
      <w:pPr>
        <w:pStyle w:val="Heading2"/>
      </w:pPr>
      <w:r>
        <w:t>Business</w:t>
      </w:r>
      <w:r w:rsidR="00FD057F">
        <w:t>/Wellness</w:t>
      </w:r>
      <w:r>
        <w:t xml:space="preserve"> Recommendations</w:t>
      </w:r>
    </w:p>
    <w:p w14:paraId="087B5D3D" w14:textId="671FDB0E" w:rsidR="00D26EDE" w:rsidRDefault="00D26EDE">
      <w:pPr>
        <w:spacing w:after="240"/>
      </w:pPr>
      <w:r>
        <w:t xml:space="preserve">1. Program recommendations for the unreached patients with cardiometabolic conditions, including diabetes, hypertension, and CKD: </w:t>
      </w:r>
    </w:p>
    <w:p w14:paraId="24E863AC" w14:textId="062AAC37" w:rsidR="00D26EDE" w:rsidRDefault="00D26EDE" w:rsidP="00D26EDE">
      <w:pPr>
        <w:spacing w:after="240"/>
        <w:ind w:left="720"/>
      </w:pPr>
      <w:r>
        <w:t>Diabetes &amp; Blood Pressure Check-In Calls</w:t>
      </w:r>
      <w:r>
        <w:t xml:space="preserve">: </w:t>
      </w:r>
      <w:r>
        <w:t>Education on glucose/BP self-monitoring</w:t>
      </w:r>
      <w:r>
        <w:t xml:space="preserve">, and </w:t>
      </w:r>
      <w:r>
        <w:t>Medication adherence coaching</w:t>
      </w:r>
      <w:r>
        <w:t xml:space="preserve">. </w:t>
      </w:r>
    </w:p>
    <w:p w14:paraId="1073BB35" w14:textId="1CA9BD26" w:rsidR="00D26EDE" w:rsidRDefault="00D26EDE" w:rsidP="00D26EDE">
      <w:pPr>
        <w:spacing w:after="240"/>
        <w:ind w:left="720"/>
      </w:pPr>
      <w:r>
        <w:t>Nutrition Education Series</w:t>
      </w:r>
      <w:r>
        <w:t xml:space="preserve">: </w:t>
      </w:r>
      <w:r>
        <w:t>Simple meal planning for diabetes &amp; kidney health</w:t>
      </w:r>
      <w:r>
        <w:t>, and f</w:t>
      </w:r>
      <w:r>
        <w:t xml:space="preserve">ocus on sodium, sugar, </w:t>
      </w:r>
      <w:r>
        <w:t xml:space="preserve">and </w:t>
      </w:r>
      <w:r>
        <w:t>hydration</w:t>
      </w:r>
      <w:r>
        <w:t xml:space="preserve">. </w:t>
      </w:r>
    </w:p>
    <w:p w14:paraId="12BA8967" w14:textId="573D2221" w:rsidR="00D26EDE" w:rsidRDefault="00D26EDE" w:rsidP="00D26EDE">
      <w:pPr>
        <w:spacing w:after="240"/>
        <w:ind w:left="720"/>
      </w:pPr>
      <w:r>
        <w:t>Lab Completion Education</w:t>
      </w:r>
      <w:r>
        <w:t xml:space="preserve">: </w:t>
      </w:r>
      <w:r>
        <w:t>Why A1c, kidney labs, and BP checks matter</w:t>
      </w:r>
      <w:r>
        <w:t xml:space="preserve">, and </w:t>
      </w:r>
      <w:proofErr w:type="gramStart"/>
      <w:r>
        <w:t>How</w:t>
      </w:r>
      <w:proofErr w:type="gramEnd"/>
      <w:r>
        <w:t xml:space="preserve"> to complete labs with minimal disruption</w:t>
      </w:r>
      <w:r>
        <w:t xml:space="preserve">.  </w:t>
      </w:r>
    </w:p>
    <w:p w14:paraId="13E4C76F" w14:textId="14D8A40C" w:rsidR="00D26EDE" w:rsidRDefault="00D26EDE" w:rsidP="00D26EDE">
      <w:pPr>
        <w:spacing w:after="240"/>
      </w:pPr>
      <w:r>
        <w:t xml:space="preserve">2. Program recommendations for unreached patients with COPD, Upper Respiratory Infections, and Chronic Fatigue: </w:t>
      </w:r>
    </w:p>
    <w:p w14:paraId="711982DF" w14:textId="6CE92063" w:rsidR="00FD057F" w:rsidRDefault="00FD057F" w:rsidP="00FD057F">
      <w:pPr>
        <w:spacing w:after="240"/>
        <w:ind w:left="720"/>
      </w:pPr>
      <w:r>
        <w:t>Breathing &amp; Energy Conservation Education</w:t>
      </w:r>
      <w:r>
        <w:t>: p</w:t>
      </w:r>
      <w:r>
        <w:t>ursed-lip breathing</w:t>
      </w:r>
      <w:r>
        <w:t xml:space="preserve"> and r</w:t>
      </w:r>
      <w:r>
        <w:t>ecognizing early exacerbation signs</w:t>
      </w:r>
      <w:r>
        <w:t xml:space="preserve">. </w:t>
      </w:r>
    </w:p>
    <w:p w14:paraId="256508E5" w14:textId="6B8EA466" w:rsidR="00FD057F" w:rsidRDefault="00FD057F" w:rsidP="00FD057F">
      <w:pPr>
        <w:spacing w:after="240"/>
        <w:ind w:left="720"/>
      </w:pPr>
      <w:r>
        <w:t>Smoking Cessation &amp; Air Quality Education</w:t>
      </w:r>
      <w:r>
        <w:t>: s</w:t>
      </w:r>
      <w:r>
        <w:t>hort, culturally adapted materials</w:t>
      </w:r>
    </w:p>
    <w:p w14:paraId="7B678B4B" w14:textId="505A67A9" w:rsidR="00D26EDE" w:rsidRDefault="00FD057F" w:rsidP="00FD057F">
      <w:pPr>
        <w:spacing w:after="240"/>
        <w:ind w:left="720"/>
      </w:pPr>
      <w:r>
        <w:t>Low-Impact Physical Activity Guidance</w:t>
      </w:r>
      <w:r>
        <w:t xml:space="preserve">: </w:t>
      </w:r>
      <w:r>
        <w:t>Chair exercises, walking plans</w:t>
      </w:r>
      <w:r>
        <w:t xml:space="preserve">. </w:t>
      </w:r>
    </w:p>
    <w:p w14:paraId="23CA4998" w14:textId="373DA382" w:rsidR="00CF698D" w:rsidRDefault="00FD057F" w:rsidP="00FD057F">
      <w:pPr>
        <w:spacing w:after="240"/>
      </w:pPr>
      <w:r>
        <w:t xml:space="preserve">3. </w:t>
      </w:r>
      <w:r w:rsidR="00CF698D">
        <w:t xml:space="preserve">Program recommendations for unreached patients with musculoskeletal pain: </w:t>
      </w:r>
    </w:p>
    <w:p w14:paraId="5B5FFC96" w14:textId="77777777" w:rsidR="00CF698D" w:rsidRDefault="00CF698D" w:rsidP="00CF698D">
      <w:pPr>
        <w:spacing w:after="240"/>
        <w:ind w:left="720"/>
      </w:pPr>
      <w:r>
        <w:t>Back-Care Education</w:t>
      </w:r>
      <w:r>
        <w:t>: s</w:t>
      </w:r>
      <w:r>
        <w:t>tretching and posture basics</w:t>
      </w:r>
      <w:r>
        <w:t xml:space="preserve">, </w:t>
      </w:r>
    </w:p>
    <w:p w14:paraId="42776E35" w14:textId="349194EC" w:rsidR="00CF698D" w:rsidRDefault="00CF698D" w:rsidP="00CF698D">
      <w:pPr>
        <w:spacing w:after="240"/>
        <w:ind w:left="720"/>
      </w:pPr>
      <w:r>
        <w:t>s</w:t>
      </w:r>
      <w:r>
        <w:t>afe Movement Workshops</w:t>
      </w:r>
      <w:r>
        <w:t>: p</w:t>
      </w:r>
      <w:r>
        <w:t>reventing reinjury during daily activities</w:t>
      </w:r>
      <w:r>
        <w:t xml:space="preserve">. </w:t>
      </w:r>
    </w:p>
    <w:p w14:paraId="51C1BACB" w14:textId="716DE3F4" w:rsidR="00FD057F" w:rsidRDefault="00CF698D" w:rsidP="00CF698D">
      <w:pPr>
        <w:spacing w:after="240"/>
        <w:ind w:left="720"/>
      </w:pPr>
      <w:r>
        <w:t>Non-opioid Pain Management Education</w:t>
      </w:r>
      <w:r>
        <w:t xml:space="preserve">: </w:t>
      </w:r>
      <w:r>
        <w:t>Heat/ice, physical therapy benefits</w:t>
      </w:r>
      <w:r>
        <w:t xml:space="preserve"> </w:t>
      </w:r>
    </w:p>
    <w:p w14:paraId="29BEB8F0" w14:textId="62BF77E2" w:rsidR="00CF698D" w:rsidRDefault="00CF698D" w:rsidP="00D26EDE">
      <w:pPr>
        <w:spacing w:after="240"/>
      </w:pPr>
      <w:r>
        <w:t xml:space="preserve">4. Program recommendations for unreached patients with mental health disorders/illnesses: </w:t>
      </w:r>
    </w:p>
    <w:p w14:paraId="2E93D6C4" w14:textId="722BB331" w:rsidR="00CF698D" w:rsidRDefault="00CF698D" w:rsidP="00CF698D">
      <w:pPr>
        <w:spacing w:after="240"/>
        <w:ind w:left="720"/>
      </w:pPr>
      <w:r>
        <w:lastRenderedPageBreak/>
        <w:t>Mental Wellness Check-Ins</w:t>
      </w:r>
      <w:r>
        <w:t>: b</w:t>
      </w:r>
      <w:r>
        <w:t>rief PHQ-style conversations</w:t>
      </w:r>
    </w:p>
    <w:p w14:paraId="7E4B4C99" w14:textId="381F5BB3" w:rsidR="00CF698D" w:rsidRDefault="00CF698D" w:rsidP="00CF698D">
      <w:pPr>
        <w:spacing w:after="240"/>
        <w:ind w:left="720"/>
      </w:pPr>
      <w:r>
        <w:t>Stress</w:t>
      </w:r>
      <w:r>
        <w:t xml:space="preserve"> &amp; Sleep Education</w:t>
      </w:r>
      <w:r>
        <w:t>: s</w:t>
      </w:r>
      <w:r>
        <w:t>leep hygiene, routine building</w:t>
      </w:r>
    </w:p>
    <w:p w14:paraId="7AEBDD8A" w14:textId="4E7C42A0" w:rsidR="00E64BA4" w:rsidRDefault="00CF698D" w:rsidP="00E64BA4">
      <w:pPr>
        <w:spacing w:after="240"/>
        <w:ind w:left="720"/>
      </w:pPr>
      <w:r>
        <w:t>Connection to Behavioral Health Resources</w:t>
      </w:r>
      <w:r>
        <w:t>: t</w:t>
      </w:r>
      <w:r>
        <w:t>ele-mental health when possible</w:t>
      </w:r>
    </w:p>
    <w:p w14:paraId="7CF9A1C7" w14:textId="77777777" w:rsidR="00E64BA4" w:rsidRDefault="00E64BA4">
      <w:pPr>
        <w:spacing w:after="240"/>
      </w:pPr>
    </w:p>
    <w:p w14:paraId="601B286E" w14:textId="77777777" w:rsidR="00E64BA4" w:rsidRDefault="00E64BA4">
      <w:pPr>
        <w:spacing w:after="240"/>
      </w:pPr>
    </w:p>
    <w:p w14:paraId="2CB2CBF6" w14:textId="77777777" w:rsidR="00E64BA4" w:rsidRDefault="00E64BA4">
      <w:pPr>
        <w:spacing w:after="240"/>
      </w:pPr>
    </w:p>
    <w:p w14:paraId="6755A60A" w14:textId="77777777" w:rsidR="00E64BA4" w:rsidRDefault="00E64BA4">
      <w:pPr>
        <w:spacing w:after="240"/>
      </w:pPr>
    </w:p>
    <w:p w14:paraId="4D0D0871" w14:textId="77777777" w:rsidR="00E64BA4" w:rsidRDefault="00E64BA4">
      <w:pPr>
        <w:spacing w:after="240"/>
      </w:pPr>
    </w:p>
    <w:p w14:paraId="76B44DEB" w14:textId="77777777" w:rsidR="00E64BA4" w:rsidRDefault="00E64BA4">
      <w:pPr>
        <w:spacing w:after="240"/>
      </w:pPr>
    </w:p>
    <w:p w14:paraId="68345DF8" w14:textId="77777777" w:rsidR="00E64BA4" w:rsidRDefault="00E64BA4">
      <w:pPr>
        <w:spacing w:after="240"/>
      </w:pPr>
    </w:p>
    <w:p w14:paraId="4B5EFBC3" w14:textId="77777777" w:rsidR="00E64BA4" w:rsidRDefault="00E64BA4">
      <w:pPr>
        <w:spacing w:after="240"/>
      </w:pPr>
    </w:p>
    <w:p w14:paraId="4D339CE5" w14:textId="77777777" w:rsidR="00E64BA4" w:rsidRDefault="00E64BA4">
      <w:pPr>
        <w:spacing w:after="240"/>
      </w:pPr>
    </w:p>
    <w:p w14:paraId="18CB0DFE" w14:textId="77777777" w:rsidR="00E64BA4" w:rsidRDefault="00E64BA4">
      <w:pPr>
        <w:spacing w:after="240"/>
      </w:pPr>
    </w:p>
    <w:p w14:paraId="1AC04A56" w14:textId="7A84307B" w:rsidR="00E64BA4" w:rsidRDefault="00E64BA4" w:rsidP="00E64BA4">
      <w:pPr>
        <w:pStyle w:val="Heading1"/>
        <w:jc w:val="center"/>
      </w:pPr>
      <w:r>
        <w:t>Entity relationship table</w:t>
      </w:r>
    </w:p>
    <w:p w14:paraId="377B2F8F" w14:textId="77777777" w:rsidR="00E64BA4" w:rsidRDefault="00E64BA4" w:rsidP="00E64BA4"/>
    <w:p w14:paraId="1BE2139B" w14:textId="77777777" w:rsidR="00E64BA4" w:rsidRPr="00E64BA4" w:rsidRDefault="00E64BA4" w:rsidP="00E64BA4"/>
    <w:p w14:paraId="6E2E72AF" w14:textId="77777777" w:rsidR="00E64BA4" w:rsidRDefault="00E64BA4">
      <w:pPr>
        <w:spacing w:after="240"/>
      </w:pPr>
    </w:p>
    <w:p w14:paraId="1AF75AB2" w14:textId="77777777" w:rsidR="00336740" w:rsidRDefault="00336740">
      <w:pPr>
        <w:spacing w:after="240"/>
      </w:pPr>
    </w:p>
    <w:p w14:paraId="42CE83A7" w14:textId="77777777" w:rsidR="00336740" w:rsidRDefault="00336740">
      <w:pPr>
        <w:spacing w:after="240"/>
      </w:pPr>
    </w:p>
    <w:sectPr w:rsidR="003367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1913175">
    <w:abstractNumId w:val="8"/>
  </w:num>
  <w:num w:numId="2" w16cid:durableId="625504746">
    <w:abstractNumId w:val="6"/>
  </w:num>
  <w:num w:numId="3" w16cid:durableId="1453591645">
    <w:abstractNumId w:val="5"/>
  </w:num>
  <w:num w:numId="4" w16cid:durableId="1027876939">
    <w:abstractNumId w:val="4"/>
  </w:num>
  <w:num w:numId="5" w16cid:durableId="1752578519">
    <w:abstractNumId w:val="7"/>
  </w:num>
  <w:num w:numId="6" w16cid:durableId="399408321">
    <w:abstractNumId w:val="3"/>
  </w:num>
  <w:num w:numId="7" w16cid:durableId="1772432387">
    <w:abstractNumId w:val="2"/>
  </w:num>
  <w:num w:numId="8" w16cid:durableId="573902806">
    <w:abstractNumId w:val="1"/>
  </w:num>
  <w:num w:numId="9" w16cid:durableId="1461878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2B8"/>
    <w:rsid w:val="00034616"/>
    <w:rsid w:val="0006063C"/>
    <w:rsid w:val="000661E4"/>
    <w:rsid w:val="000D579F"/>
    <w:rsid w:val="0015074B"/>
    <w:rsid w:val="001B3F41"/>
    <w:rsid w:val="002661AC"/>
    <w:rsid w:val="0029639D"/>
    <w:rsid w:val="002E4455"/>
    <w:rsid w:val="002E5127"/>
    <w:rsid w:val="00326F90"/>
    <w:rsid w:val="00336740"/>
    <w:rsid w:val="003873AF"/>
    <w:rsid w:val="003E1C42"/>
    <w:rsid w:val="00444BCF"/>
    <w:rsid w:val="00467808"/>
    <w:rsid w:val="004A20CE"/>
    <w:rsid w:val="004D6110"/>
    <w:rsid w:val="00522713"/>
    <w:rsid w:val="00553F6E"/>
    <w:rsid w:val="00565EEA"/>
    <w:rsid w:val="005B40F2"/>
    <w:rsid w:val="00616271"/>
    <w:rsid w:val="00634A17"/>
    <w:rsid w:val="006955CD"/>
    <w:rsid w:val="00705C5C"/>
    <w:rsid w:val="007821D7"/>
    <w:rsid w:val="00821EF1"/>
    <w:rsid w:val="00901E0A"/>
    <w:rsid w:val="00927764"/>
    <w:rsid w:val="00997B58"/>
    <w:rsid w:val="00A00DA4"/>
    <w:rsid w:val="00AA1D8D"/>
    <w:rsid w:val="00B47730"/>
    <w:rsid w:val="00B92582"/>
    <w:rsid w:val="00C0739B"/>
    <w:rsid w:val="00C53D71"/>
    <w:rsid w:val="00C7119A"/>
    <w:rsid w:val="00C914BF"/>
    <w:rsid w:val="00CB0664"/>
    <w:rsid w:val="00CF3202"/>
    <w:rsid w:val="00CF698D"/>
    <w:rsid w:val="00D26EDE"/>
    <w:rsid w:val="00E0243B"/>
    <w:rsid w:val="00E2442C"/>
    <w:rsid w:val="00E257D7"/>
    <w:rsid w:val="00E64BA4"/>
    <w:rsid w:val="00EF3417"/>
    <w:rsid w:val="00EF6376"/>
    <w:rsid w:val="00F1668E"/>
    <w:rsid w:val="00F809D0"/>
    <w:rsid w:val="00F94CAC"/>
    <w:rsid w:val="00FC693F"/>
    <w:rsid w:val="00FD0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4CD3D"/>
  <w14:defaultImageDpi w14:val="300"/>
  <w15:docId w15:val="{0DCFA496-E82D-4DEC-9379-EBDCD91D2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14BF"/>
    <w:rPr>
      <w:color w:val="0000FF" w:themeColor="hyperlink"/>
      <w:u w:val="single"/>
    </w:rPr>
  </w:style>
  <w:style w:type="character" w:styleId="UnresolvedMention">
    <w:name w:val="Unresolved Mention"/>
    <w:basedOn w:val="DefaultParagraphFont"/>
    <w:uiPriority w:val="99"/>
    <w:semiHidden/>
    <w:unhideWhenUsed/>
    <w:rsid w:val="00C914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www.kaggle.com/gustavoholguin"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linkedin.com/in/gus-holguin-29441048/"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9</Pages>
  <Words>1522</Words>
  <Characters>10168</Characters>
  <Application>Microsoft Office Word</Application>
  <DocSecurity>0</DocSecurity>
  <Lines>169</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Holguin</cp:lastModifiedBy>
  <cp:revision>3</cp:revision>
  <dcterms:created xsi:type="dcterms:W3CDTF">2025-12-29T18:21:00Z</dcterms:created>
  <dcterms:modified xsi:type="dcterms:W3CDTF">2025-12-29T21:19:00Z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b7146aba-0cec-4fef-8e02-63f899ca42dd</vt:lpwstr>
  </property>
</Properties>
</file>