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9.jpg" ContentType="image/jpeg"/>
  <Override PartName="/word/media/rId30.jpg" ContentType="image/jpeg"/>
  <Override PartName="/word/media/rId40.jpg" ContentType="image/jpeg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aptionedFigure"/>
      </w:pPr>
      <w:r>
        <w:drawing>
          <wp:inline>
            <wp:extent cx="1771650" cy="762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gustavo/Documentos/GitHub/posts/trabalhos/img/sena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rPr>
          <w:b/>
        </w:rPr>
        <w:t xml:space="preserve">Faculdade Senac Porto Alegre</w:t>
      </w:r>
    </w:p>
    <w:p>
      <w:pPr>
        <w:pStyle w:val="BodyText"/>
      </w:pPr>
      <w:r>
        <w:rPr>
          <w:b/>
        </w:rPr>
        <w:t xml:space="preserve">Cursos:</w:t>
      </w:r>
      <w:r>
        <w:t xml:space="preserve"> </w:t>
      </w:r>
      <w:r>
        <w:t xml:space="preserve">Superior de Tecnologia em Análise e Desenvolvimento de Sistemas e em Sistemas para Internet 1</w:t>
      </w:r>
    </w:p>
    <w:p>
      <w:pPr>
        <w:pStyle w:val="BodyText"/>
      </w:pPr>
      <w:r>
        <w:rPr>
          <w:b/>
        </w:rPr>
        <w:t xml:space="preserve">Disciplina:</w:t>
      </w:r>
      <w:r>
        <w:t xml:space="preserve"> </w:t>
      </w:r>
      <w:r>
        <w:t xml:space="preserve">Qualidade de Software</w:t>
      </w:r>
    </w:p>
    <w:p>
      <w:pPr>
        <w:pStyle w:val="BodyText"/>
      </w:pPr>
      <w:r>
        <w:rPr>
          <w:b/>
        </w:rPr>
        <w:t xml:space="preserve">Professora:</w:t>
      </w:r>
      <w:r>
        <w:t xml:space="preserve"> </w:t>
      </w:r>
      <w:r>
        <w:t xml:space="preserve">Sirlei Sulzbach</w:t>
      </w:r>
    </w:p>
    <w:p>
      <w:pPr>
        <w:pStyle w:val="Heading1"/>
      </w:pPr>
      <w:bookmarkStart w:id="21" w:name="header-n587"/>
      <w:r>
        <w:t xml:space="preserve">Etapas na criação de uma norma</w:t>
      </w:r>
      <w:bookmarkEnd w:id="21"/>
    </w:p>
    <w:p>
      <w:pPr>
        <w:pStyle w:val="FirstParagraph"/>
      </w:pPr>
    </w:p>
    <w:p>
      <w:pPr>
        <w:pStyle w:val="Heading2"/>
      </w:pPr>
      <w:bookmarkStart w:id="22" w:name="header-n858"/>
      <w:r>
        <w:t xml:space="preserve">Grupo</w:t>
      </w:r>
      <w:bookmarkEnd w:id="22"/>
    </w:p>
    <w:p>
      <w:pPr>
        <w:pStyle w:val="FirstParagraph"/>
      </w:pPr>
      <w:r>
        <w:t xml:space="preserve">Gustavo Leão Nogueira de Oliveira, Marcus Badiale, Antonio Tietz e Bruno</w:t>
      </w:r>
    </w:p>
    <w:p>
      <w:pPr>
        <w:pStyle w:val="BodyText"/>
      </w:pPr>
    </w:p>
    <w:p>
      <w:pPr>
        <w:pStyle w:val="Heading2"/>
      </w:pPr>
      <w:bookmarkStart w:id="23" w:name="header-n857"/>
      <w:r>
        <w:t xml:space="preserve">Sumário</w:t>
      </w:r>
      <w:bookmarkEnd w:id="23"/>
    </w:p>
    <w:bookmarkStart w:id="24" w:name="toc"/>
    <w:p>
      <w:pPr>
        <w:pStyle w:val="FirstParagraph"/>
      </w:pPr>
      <w:hyperlink w:anchor="header-n587">
        <w:r>
          <w:rPr>
            <w:rStyle w:val="Hyperlink"/>
          </w:rPr>
          <w:t xml:space="preserve">Etapas na criação de uma norma</w:t>
        </w:r>
      </w:hyperlink>
      <w:r>
        <w:br w:type="textWrapping"/>
      </w:r>
      <w:r>
        <w:t xml:space="preserve">	</w:t>
      </w:r>
      <w:hyperlink w:anchor="header-n858">
        <w:r>
          <w:rPr>
            <w:rStyle w:val="Hyperlink"/>
          </w:rPr>
          <w:t xml:space="preserve">Grupo</w:t>
        </w:r>
      </w:hyperlink>
      <w:r>
        <w:br w:type="textWrapping"/>
      </w:r>
      <w:r>
        <w:t xml:space="preserve">	</w:t>
      </w:r>
      <w:hyperlink w:anchor="header-n857">
        <w:r>
          <w:rPr>
            <w:rStyle w:val="Hyperlink"/>
          </w:rPr>
          <w:t xml:space="preserve">Sumário</w:t>
        </w:r>
      </w:hyperlink>
      <w:r>
        <w:br w:type="textWrapping"/>
      </w:r>
      <w:r>
        <w:t xml:space="preserve">	</w:t>
      </w:r>
      <w:hyperlink w:anchor="header-n856">
        <w:r>
          <w:rPr>
            <w:rStyle w:val="Hyperlink"/>
          </w:rPr>
          <w:t xml:space="preserve">Desenvolvimento</w:t>
        </w:r>
      </w:hyperlink>
      <w:r>
        <w:br w:type="textWrapping"/>
      </w:r>
      <w:r>
        <w:t xml:space="preserve">		</w:t>
      </w:r>
      <w:hyperlink w:anchor="header-n593">
        <w:r>
          <w:rPr>
            <w:rStyle w:val="Hyperlink"/>
          </w:rPr>
          <w:t xml:space="preserve">Quais aspectos devem ser considerados na criação de uma norma?</w:t>
        </w:r>
      </w:hyperlink>
      <w:r>
        <w:br w:type="textWrapping"/>
      </w:r>
      <w:r>
        <w:t xml:space="preserve">		</w:t>
      </w:r>
      <w:hyperlink w:anchor="header-n612">
        <w:r>
          <w:rPr>
            <w:rStyle w:val="Hyperlink"/>
          </w:rPr>
          <w:t xml:space="preserve">Apresente e comente algumas normas correspondentes a software.</w:t>
        </w:r>
      </w:hyperlink>
      <w:r>
        <w:br w:type="textWrapping"/>
      </w:r>
      <w:r>
        <w:t xml:space="preserve">		</w:t>
      </w:r>
      <w:hyperlink w:anchor="header-n644">
        <w:r>
          <w:rPr>
            <w:rStyle w:val="Hyperlink"/>
          </w:rPr>
          <w:t xml:space="preserve">Aponte os grupos brasileiros que trabalham com os seguintes tópicos relacionados a software:</w:t>
        </w:r>
      </w:hyperlink>
      <w:r>
        <w:br w:type="textWrapping"/>
      </w:r>
      <w:r>
        <w:t xml:space="preserve">			</w:t>
      </w:r>
      <w:hyperlink w:anchor="header-n645">
        <w:r>
          <w:rPr>
            <w:rStyle w:val="Hyperlink"/>
          </w:rPr>
          <w:t xml:space="preserve">Ergonomia:</w:t>
        </w:r>
      </w:hyperlink>
      <w:r>
        <w:br w:type="textWrapping"/>
      </w:r>
      <w:r>
        <w:t xml:space="preserve">			</w:t>
      </w:r>
      <w:hyperlink w:anchor="header-n648">
        <w:r>
          <w:rPr>
            <w:rStyle w:val="Hyperlink"/>
          </w:rPr>
          <w:t xml:space="preserve">Métricas:</w:t>
        </w:r>
      </w:hyperlink>
      <w:r>
        <w:br w:type="textWrapping"/>
      </w:r>
      <w:r>
        <w:t xml:space="preserve">			</w:t>
      </w:r>
      <w:hyperlink w:anchor="header-n651">
        <w:r>
          <w:rPr>
            <w:rStyle w:val="Hyperlink"/>
          </w:rPr>
          <w:t xml:space="preserve">Verificação e validação:</w:t>
        </w:r>
      </w:hyperlink>
      <w:r>
        <w:br w:type="textWrapping"/>
      </w:r>
      <w:r>
        <w:t xml:space="preserve">		</w:t>
      </w:r>
      <w:hyperlink w:anchor="header-n670">
        <w:r>
          <w:rPr>
            <w:rStyle w:val="Hyperlink"/>
          </w:rPr>
          <w:t xml:space="preserve">Pesquise e apresente um exemplo de Histogramas (página 9)</w:t>
        </w:r>
      </w:hyperlink>
      <w:r>
        <w:br w:type="textWrapping"/>
      </w:r>
      <w:r>
        <w:t xml:space="preserve">			</w:t>
      </w:r>
      <w:hyperlink w:anchor="header-n671">
        <w:r>
          <w:rPr>
            <w:rStyle w:val="Hyperlink"/>
          </w:rPr>
          <w:t xml:space="preserve">O que é um histograma?</w:t>
        </w:r>
        <w:r>
          <w:rPr>
            <w:rStyle w:val="Hyperlink"/>
          </w:rPr>
          <w:t xml:space="preserve"> </w:t>
        </w:r>
      </w:hyperlink>
      <w:r>
        <w:br w:type="textWrapping"/>
      </w:r>
      <w:r>
        <w:t xml:space="preserve">			</w:t>
      </w:r>
      <w:hyperlink w:anchor="header-n673">
        <w:r>
          <w:rPr>
            <w:rStyle w:val="Hyperlink"/>
          </w:rPr>
          <w:t xml:space="preserve">Um exemplo</w:t>
        </w:r>
      </w:hyperlink>
      <w:r>
        <w:br w:type="textWrapping"/>
      </w:r>
      <w:r>
        <w:t xml:space="preserve">	</w:t>
      </w:r>
      <w:hyperlink w:anchor="header-n680">
        <w:r>
          <w:rPr>
            <w:rStyle w:val="Hyperlink"/>
          </w:rPr>
          <w:t xml:space="preserve">Conclusão</w:t>
        </w:r>
      </w:hyperlink>
      <w:r>
        <w:br w:type="textWrapping"/>
      </w:r>
      <w:r>
        <w:t xml:space="preserve">	</w:t>
      </w:r>
      <w:hyperlink w:anchor="header-n693">
        <w:r>
          <w:rPr>
            <w:rStyle w:val="Hyperlink"/>
          </w:rPr>
          <w:t xml:space="preserve">Referências bibliográficas</w:t>
        </w:r>
      </w:hyperlink>
    </w:p>
    <w:bookmarkEnd w:id="24"/>
    <w:p>
      <w:pPr>
        <w:pStyle w:val="BodyText"/>
      </w:pPr>
    </w:p>
    <w:p>
      <w:pPr>
        <w:pStyle w:val="Heading2"/>
      </w:pPr>
      <w:bookmarkStart w:id="25" w:name="header-n856"/>
      <w:r>
        <w:t xml:space="preserve">Desenvolvimento</w:t>
      </w:r>
      <w:bookmarkEnd w:id="25"/>
    </w:p>
    <w:p>
      <w:pPr>
        <w:pStyle w:val="Heading3"/>
      </w:pPr>
      <w:bookmarkStart w:id="26" w:name="header-n593"/>
      <w:r>
        <w:t xml:space="preserve">Quais aspectos devem ser considerados na criação de uma norma?</w:t>
      </w:r>
      <w:bookmarkEnd w:id="26"/>
    </w:p>
    <w:p>
      <w:pPr>
        <w:pStyle w:val="FirstParagraph"/>
      </w:pPr>
      <w:r>
        <w:t xml:space="preserve">Segundo a ABNT é necessário, para elaborar uma norma, que se tenha uma demanda. Essa, que deve ser apresentada pelos envolvidos no assunto, podendo assim, originar um</w:t>
      </w:r>
      <w:r>
        <w:t xml:space="preserve"> </w:t>
      </w:r>
      <w:r>
        <w:rPr>
          <w:b/>
        </w:rPr>
        <w:t xml:space="preserve">Documento Técnico ABNT</w:t>
      </w:r>
      <w:r>
        <w:t xml:space="preserve">.</w:t>
      </w:r>
      <w:r>
        <w:t xml:space="preserve"> </w:t>
      </w:r>
    </w:p>
    <w:p>
      <w:pPr>
        <w:pStyle w:val="BodyText"/>
      </w:pPr>
      <w:r>
        <w:t xml:space="preserve">Após o recebimento, a ABNT examinar a relevância da solicitação, através do</w:t>
      </w:r>
      <w:r>
        <w:t xml:space="preserve"> </w:t>
      </w:r>
      <w:r>
        <w:rPr>
          <w:b/>
        </w:rPr>
        <w:t xml:space="preserve">Comitê Técnico</w:t>
      </w:r>
      <w:r>
        <w:t xml:space="preserve">, que recebe a mesma, e insere no</w:t>
      </w:r>
      <w:r>
        <w:t xml:space="preserve"> </w:t>
      </w:r>
      <w:r>
        <w:rPr>
          <w:b/>
        </w:rPr>
        <w:t xml:space="preserve">Programa de Normalização Setorial (PNS)</w:t>
      </w:r>
      <w:r>
        <w:t xml:space="preserve">.</w:t>
      </w:r>
      <w:r>
        <w:t xml:space="preserve"> </w:t>
      </w:r>
    </w:p>
    <w:p>
      <w:pPr>
        <w:pStyle w:val="BodyText"/>
      </w:pPr>
      <w:r>
        <w:t xml:space="preserve">Se, por ventura, houver necessidade da criação de um comitê relativo ao trato de determinada questão, é proposto que seja criado um:</w:t>
      </w:r>
    </w:p>
    <w:p>
      <w:pPr>
        <w:numPr>
          <w:numId w:val="1001"/>
          <w:ilvl w:val="0"/>
        </w:numPr>
      </w:pPr>
      <w:r>
        <w:t xml:space="preserve">Comitê Brasileiro (ABNT/CB)</w:t>
      </w:r>
    </w:p>
    <w:p>
      <w:pPr>
        <w:numPr>
          <w:numId w:val="1001"/>
          <w:ilvl w:val="0"/>
        </w:numPr>
      </w:pPr>
      <w:r>
        <w:t xml:space="preserve">Organismo de Normalização Setorial (ABNT/ONS)</w:t>
      </w:r>
    </w:p>
    <w:p>
      <w:pPr>
        <w:numPr>
          <w:numId w:val="1001"/>
          <w:ilvl w:val="0"/>
        </w:numPr>
      </w:pPr>
      <w:r>
        <w:t xml:space="preserve">Comissão de Estudo Especial (ABNT/CEE)</w:t>
      </w:r>
    </w:p>
    <w:p>
      <w:pPr>
        <w:pStyle w:val="FirstParagraph"/>
      </w:pPr>
      <w:r>
        <w:t xml:space="preserve"> </w:t>
      </w:r>
      <w:r>
        <w:rPr>
          <w:b/>
        </w:rPr>
        <w:t xml:space="preserve">Comissões de estudo</w:t>
      </w:r>
      <w:r>
        <w:t xml:space="preserve">, que são responsáveis pela qualidade e pela revisão periódica de norma, juntamente quaisquer pessoas interessadas, podem opinar até que se obtenha um consenso de que seja criado o</w:t>
      </w:r>
      <w:r>
        <w:t xml:space="preserve"> </w:t>
      </w:r>
      <w:r>
        <w:rPr>
          <w:b/>
        </w:rPr>
        <w:t xml:space="preserve">Projeto de Norma</w:t>
      </w:r>
      <w:r>
        <w:t xml:space="preserve">.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Recebendo a sigla de</w:t>
      </w:r>
      <w:r>
        <w:t xml:space="preserve"> </w:t>
      </w:r>
      <w:r>
        <w:rPr>
          <w:b/>
        </w:rPr>
        <w:t xml:space="preserve">ABNT NBR</w:t>
      </w:r>
      <w:r>
        <w:t xml:space="preserve">, com seu respectivo número, e editorado, o projeto é enviado para à</w:t>
      </w:r>
      <w:r>
        <w:t xml:space="preserve"> </w:t>
      </w:r>
      <w:hyperlink r:id="rId27">
        <w:r>
          <w:rPr>
            <w:rStyle w:val="Hyperlink"/>
          </w:rPr>
          <w:t xml:space="preserve">Consulta Nacional</w:t>
        </w:r>
      </w:hyperlink>
      <w:r>
        <w:t xml:space="preserve"> </w:t>
      </w:r>
      <w:r>
        <w:t xml:space="preserve">e também publicada no</w:t>
      </w:r>
      <w:r>
        <w:t xml:space="preserve"> </w:t>
      </w:r>
      <w:hyperlink r:id="rId28">
        <w:r>
          <w:rPr>
            <w:rStyle w:val="Hyperlink"/>
          </w:rPr>
          <w:t xml:space="preserve">Diário Oficial da União</w:t>
        </w:r>
      </w:hyperlink>
      <w:r>
        <w:t xml:space="preserve">.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Na</w:t>
      </w:r>
      <w:r>
        <w:t xml:space="preserve"> </w:t>
      </w:r>
      <w:r>
        <w:rPr>
          <w:b/>
        </w:rPr>
        <w:t xml:space="preserve">Consulta Nacional</w:t>
      </w:r>
      <w:r>
        <w:t xml:space="preserve"> </w:t>
      </w:r>
      <w:r>
        <w:t xml:space="preserve">são envidados comentários e sugestões, que são avaliados pela Comissão de Estudo. Por fim, com o consenso de todos, o projeto torna-se um</w:t>
      </w:r>
      <w:r>
        <w:t xml:space="preserve"> </w:t>
      </w:r>
      <w:r>
        <w:rPr>
          <w:b/>
        </w:rPr>
        <w:t xml:space="preserve">Documento Técnico ABNT</w:t>
      </w:r>
      <w:r>
        <w:t xml:space="preserve"> </w:t>
      </w:r>
      <w:r>
        <w:t xml:space="preserve">que é homologado e publicado no</w:t>
      </w:r>
      <w:r>
        <w:t xml:space="preserve"> </w:t>
      </w:r>
      <w:hyperlink r:id="rId29">
        <w:r>
          <w:rPr>
            <w:rStyle w:val="Hyperlink"/>
          </w:rPr>
          <w:t xml:space="preserve">ABNTCatálogo</w:t>
        </w:r>
      </w:hyperlink>
      <w:r>
        <w:t xml:space="preserve">.</w:t>
      </w:r>
      <w:r>
        <w:t xml:space="preserve"> </w:t>
      </w:r>
    </w:p>
    <w:p>
      <w:pPr>
        <w:pStyle w:val="BodyText"/>
      </w:pPr>
      <w:r>
        <w:drawing>
          <wp:inline>
            <wp:extent cx="5334000" cy="3000375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/home/gustavo/Documentos/GitHub/posts/trabalhos/img/como_elaborar_norma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lockText"/>
      </w:pPr>
      <w:r>
        <w:t xml:space="preserve">A cima tem um esquema de como é feita uma norma. Incluindo o processo de avaliação, de homologação e publicação do</w:t>
      </w:r>
      <w:r>
        <w:t xml:space="preserve"> </w:t>
      </w:r>
      <w:r>
        <w:rPr>
          <w:b/>
        </w:rPr>
        <w:t xml:space="preserve">Documento Técnico ABNT</w:t>
      </w:r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1" w:name="header-n612"/>
      <w:r>
        <w:t xml:space="preserve">Apresente e comente algumas normas correspondentes a software.</w:t>
      </w:r>
      <w:bookmarkEnd w:id="31"/>
    </w:p>
    <w:p>
      <w:pPr>
        <w:pStyle w:val="FirstParagraph"/>
      </w:pPr>
      <w:r>
        <w:rPr>
          <w:b/>
        </w:rPr>
        <w:t xml:space="preserve">A série ISO 9000</w:t>
      </w:r>
    </w:p>
    <w:p>
      <w:pPr>
        <w:numPr>
          <w:numId w:val="1002"/>
          <w:ilvl w:val="0"/>
        </w:numPr>
      </w:pPr>
      <w:r>
        <w:rPr>
          <w:b/>
        </w:rPr>
        <w:t xml:space="preserve">ISO 9001:</w:t>
      </w:r>
      <w:r>
        <w:t xml:space="preserve"> </w:t>
      </w:r>
      <w:r>
        <w:t xml:space="preserve">Norma internacional que estabelece requisitos para o</w:t>
      </w:r>
      <w:r>
        <w:t xml:space="preserve"> </w:t>
      </w:r>
      <w:r>
        <w:rPr>
          <w:b/>
        </w:rPr>
        <w:t xml:space="preserve">Sistema de Gestão da Qualidade (SGQ)</w:t>
      </w:r>
      <w:r>
        <w:t xml:space="preserve">. Modelo para garantia da qualidade em projeto, desenvolvimento, produção, instalação e assistência técnica.</w:t>
      </w:r>
    </w:p>
    <w:p>
      <w:pPr>
        <w:numPr>
          <w:numId w:val="1002"/>
          <w:ilvl w:val="0"/>
        </w:numPr>
      </w:pPr>
      <w:r>
        <w:rPr>
          <w:b/>
        </w:rPr>
        <w:t xml:space="preserve">ISO 9002:</w:t>
      </w:r>
      <w:r>
        <w:t xml:space="preserve"> </w:t>
      </w:r>
      <w:r>
        <w:t xml:space="preserve">Modelo para garantia da qualidade em produção e instalação.</w:t>
      </w:r>
    </w:p>
    <w:p>
      <w:pPr>
        <w:numPr>
          <w:numId w:val="1002"/>
          <w:ilvl w:val="0"/>
        </w:numPr>
      </w:pPr>
      <w:r>
        <w:rPr>
          <w:b/>
        </w:rPr>
        <w:t xml:space="preserve">ISO 9003:</w:t>
      </w:r>
      <w:r>
        <w:t xml:space="preserve"> </w:t>
      </w:r>
      <w:r>
        <w:t xml:space="preserve">Modelo para garantia da qualidade em inspeção e dos ensaios finais.</w:t>
      </w:r>
    </w:p>
    <w:p>
      <w:pPr>
        <w:pStyle w:val="FirstParagraph"/>
      </w:pPr>
      <w:r>
        <w:rPr>
          <w:b/>
        </w:rPr>
        <w:t xml:space="preserve">NBR 13596 Versão brasileira da ISO 9126</w:t>
      </w:r>
      <w:r>
        <w:br w:type="textWrapping"/>
      </w:r>
      <w:r>
        <w:t xml:space="preserve">É dividida em seis grandes grupos de características:</w:t>
      </w:r>
    </w:p>
    <w:p>
      <w:pPr>
        <w:numPr>
          <w:numId w:val="1003"/>
          <w:ilvl w:val="0"/>
        </w:numPr>
      </w:pPr>
      <w:r>
        <w:rPr>
          <w:b/>
        </w:rPr>
        <w:t xml:space="preserve">Funcionalidade:</w:t>
      </w:r>
      <w:r>
        <w:t xml:space="preserve"> </w:t>
      </w:r>
      <w:r>
        <w:t xml:space="preserve">Satisfaz as necessidades?</w:t>
      </w:r>
    </w:p>
    <w:p>
      <w:pPr>
        <w:numPr>
          <w:numId w:val="1003"/>
          <w:ilvl w:val="0"/>
        </w:numPr>
      </w:pPr>
      <w:r>
        <w:rPr>
          <w:b/>
        </w:rPr>
        <w:t xml:space="preserve">Confiabilidade:</w:t>
      </w:r>
      <w:r>
        <w:t xml:space="preserve"> </w:t>
      </w:r>
      <w:r>
        <w:t xml:space="preserve">É imune a falhas?</w:t>
      </w:r>
    </w:p>
    <w:p>
      <w:pPr>
        <w:numPr>
          <w:numId w:val="1003"/>
          <w:ilvl w:val="0"/>
        </w:numPr>
      </w:pPr>
      <w:r>
        <w:rPr>
          <w:b/>
        </w:rPr>
        <w:t xml:space="preserve">Usabilidade:</w:t>
      </w:r>
      <w:r>
        <w:t xml:space="preserve"> </w:t>
      </w:r>
      <w:r>
        <w:t xml:space="preserve">É fácil de usar?</w:t>
      </w:r>
    </w:p>
    <w:p>
      <w:pPr>
        <w:numPr>
          <w:numId w:val="1003"/>
          <w:ilvl w:val="0"/>
        </w:numPr>
      </w:pPr>
      <w:r>
        <w:rPr>
          <w:b/>
        </w:rPr>
        <w:t xml:space="preserve">Eficiência:</w:t>
      </w:r>
      <w:r>
        <w:t xml:space="preserve"> </w:t>
      </w:r>
      <w:r>
        <w:t xml:space="preserve">É rápido e "enxuto"?</w:t>
      </w:r>
    </w:p>
    <w:p>
      <w:pPr>
        <w:numPr>
          <w:numId w:val="1003"/>
          <w:ilvl w:val="0"/>
        </w:numPr>
      </w:pPr>
      <w:r>
        <w:rPr>
          <w:b/>
        </w:rPr>
        <w:t xml:space="preserve">Manutenibilidade:</w:t>
      </w:r>
      <w:r>
        <w:t xml:space="preserve"> </w:t>
      </w:r>
      <w:r>
        <w:t xml:space="preserve">É fácil de modificar?</w:t>
      </w:r>
    </w:p>
    <w:p>
      <w:pPr>
        <w:numPr>
          <w:numId w:val="1003"/>
          <w:ilvl w:val="0"/>
        </w:numPr>
      </w:pPr>
      <w:r>
        <w:rPr>
          <w:b/>
        </w:rPr>
        <w:t xml:space="preserve">Portabilidade:</w:t>
      </w:r>
      <w:r>
        <w:t xml:space="preserve"> </w:t>
      </w:r>
      <w:r>
        <w:t xml:space="preserve">É fácil de usar em outro ambiente?</w:t>
      </w:r>
    </w:p>
    <w:p>
      <w:pPr>
        <w:pStyle w:val="FirstParagraph"/>
      </w:pPr>
      <w:r>
        <w:rPr>
          <w:b/>
        </w:rPr>
        <w:t xml:space="preserve">ISO 12207 - Processos do Ciclo de Vida do Software</w:t>
      </w:r>
      <w:r>
        <w:br w:type="textWrapping"/>
      </w:r>
      <w:r>
        <w:t xml:space="preserve">É dividida em três classes:</w:t>
      </w:r>
    </w:p>
    <w:p>
      <w:pPr>
        <w:numPr>
          <w:numId w:val="1004"/>
          <w:ilvl w:val="0"/>
        </w:numPr>
      </w:pPr>
      <w:r>
        <w:t xml:space="preserve">Processos Fundamentais</w:t>
      </w:r>
    </w:p>
    <w:p>
      <w:pPr>
        <w:numPr>
          <w:numId w:val="1004"/>
          <w:ilvl w:val="0"/>
        </w:numPr>
      </w:pPr>
      <w:r>
        <w:t xml:space="preserve">Processos de Apoio</w:t>
      </w:r>
    </w:p>
    <w:p>
      <w:pPr>
        <w:numPr>
          <w:numId w:val="1004"/>
          <w:ilvl w:val="0"/>
        </w:numPr>
      </w:pPr>
      <w:r>
        <w:t xml:space="preserve">Processos de Organizacionais.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2" w:name="header-n644"/>
      <w:r>
        <w:t xml:space="preserve">Aponte os grupos brasileiros que trabalham com os seguintes tópicos relacionados a software:</w:t>
      </w:r>
      <w:bookmarkEnd w:id="32"/>
    </w:p>
    <w:p>
      <w:pPr>
        <w:pStyle w:val="Heading4"/>
      </w:pPr>
      <w:bookmarkStart w:id="33" w:name="header-n645"/>
      <w:r>
        <w:t xml:space="preserve">Ergonomia:</w:t>
      </w:r>
      <w:bookmarkEnd w:id="33"/>
    </w:p>
    <w:p>
      <w:pPr>
        <w:pStyle w:val="FirstParagraph"/>
      </w:pPr>
      <w:r>
        <w:t xml:space="preserve">O Laboratório de Utilizabilidade (LabIUtil) foi o primeiro laboratório de ergonomia do Brasil, A ABERGO também é responsável por publicar materiais sobre a ergonomia na concepção de software, disponibilizando vários materiais para análise.</w:t>
      </w:r>
    </w:p>
    <w:p>
      <w:pPr>
        <w:pStyle w:val="Heading4"/>
      </w:pPr>
      <w:bookmarkStart w:id="34" w:name="header-n648"/>
      <w:r>
        <w:t xml:space="preserve">Métricas:</w:t>
      </w:r>
      <w:bookmarkEnd w:id="34"/>
    </w:p>
    <w:p>
      <w:pPr>
        <w:pStyle w:val="FirstParagraph"/>
      </w:pPr>
      <w:r>
        <w:t xml:space="preserve">Grupo SISO é composto de servidores comprometidos no conhecimento e na consolidação das atividades relacionadas a métricas de software, objetivando troca de informações e definição de padrões de métricas de software.</w:t>
      </w:r>
      <w:r>
        <w:t xml:space="preserve"> </w:t>
      </w:r>
    </w:p>
    <w:p>
      <w:pPr>
        <w:pStyle w:val="BodyText"/>
      </w:pPr>
      <w:r>
        <w:t xml:space="preserve">Outro grupo é o ISBSG (International Software Benchmarking Standards Group) é uma organização sem fins lucrativos que possuem um banco de dados de métricas de projetos de software, para ajudar na administração de recursos na T.I</w:t>
      </w:r>
    </w:p>
    <w:p>
      <w:pPr>
        <w:pStyle w:val="Heading4"/>
      </w:pPr>
      <w:bookmarkStart w:id="35" w:name="header-n651"/>
      <w:r>
        <w:t xml:space="preserve">Verificação e validação:</w:t>
      </w:r>
      <w:bookmarkEnd w:id="35"/>
    </w:p>
    <w:p>
      <w:pPr>
        <w:pStyle w:val="FirstParagraph"/>
      </w:pPr>
      <w:r>
        <w:t xml:space="preserve">O Grupo de Validação, Verificação e Teste de Sistema Computacionais do Instituto de Informática da UFRGS pesquisa métodos cujo propósito é a melhoria da qualidade de software. Como exemplo, podemos citar:</w:t>
      </w:r>
    </w:p>
    <w:p>
      <w:pPr>
        <w:numPr>
          <w:numId w:val="1005"/>
          <w:ilvl w:val="0"/>
        </w:numPr>
      </w:pPr>
      <w:r>
        <w:t xml:space="preserve">Critérios para construção de testes e metodologias para sua aplicação</w:t>
      </w:r>
    </w:p>
    <w:p>
      <w:pPr>
        <w:numPr>
          <w:numId w:val="1005"/>
          <w:ilvl w:val="0"/>
        </w:numPr>
      </w:pPr>
      <w:r>
        <w:t xml:space="preserve">Modelos para a representação formal do sistema, sobre os quais podemos aplicar técnicas como</w:t>
      </w:r>
    </w:p>
    <w:p>
      <w:pPr>
        <w:numPr>
          <w:numId w:val="1006"/>
          <w:ilvl w:val="1"/>
        </w:numPr>
      </w:pPr>
      <w:r>
        <w:t xml:space="preserve">Construção de provas de correção utilizando assistentes de prova (semi-automatizado)</w:t>
      </w:r>
    </w:p>
    <w:p>
      <w:pPr>
        <w:numPr>
          <w:numId w:val="1006"/>
          <w:ilvl w:val="1"/>
        </w:numPr>
      </w:pPr>
      <w:r>
        <w:t xml:space="preserve">Verificação de modelos (automatizado)</w:t>
      </w:r>
    </w:p>
    <w:p>
      <w:pPr>
        <w:numPr>
          <w:numId w:val="1005"/>
          <w:ilvl w:val="0"/>
        </w:numPr>
      </w:pPr>
      <w:r>
        <w:t xml:space="preserve">Formas de automatizar ou simplificar a construção de modelos de software</w:t>
      </w:r>
    </w:p>
    <w:p>
      <w:pPr>
        <w:numPr>
          <w:numId w:val="1005"/>
          <w:ilvl w:val="0"/>
        </w:numPr>
      </w:pPr>
      <w:r>
        <w:t xml:space="preserve">Novas técnicas de análise sobre linguagens de programação ou modelos de software</w:t>
      </w:r>
    </w:p>
    <w:p>
      <w:pPr>
        <w:numPr>
          <w:numId w:val="1005"/>
          <w:ilvl w:val="0"/>
        </w:numPr>
      </w:pPr>
      <w:r>
        <w:t xml:space="preserve">Desenvolvimento de novas ferramentas para validação e verificação de software</w:t>
      </w:r>
      <w:r>
        <w:t xml:space="preserve"> 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6" w:name="header-n670"/>
      <w:r>
        <w:t xml:space="preserve">Pesquise e apresente um exemplo de Histogramas (página 9)</w:t>
      </w:r>
      <w:bookmarkEnd w:id="36"/>
    </w:p>
    <w:p>
      <w:pPr>
        <w:pStyle w:val="Heading4"/>
      </w:pPr>
      <w:bookmarkStart w:id="37" w:name="header-n671"/>
      <w:r>
        <w:t xml:space="preserve">O que é um histograma?</w:t>
      </w:r>
      <w:r>
        <w:t xml:space="preserve"> </w:t>
      </w:r>
      <w:bookmarkEnd w:id="37"/>
    </w:p>
    <w:p>
      <w:pPr>
        <w:pStyle w:val="FirstParagraph"/>
      </w:pPr>
      <w:r>
        <w:t xml:space="preserve">Um</w:t>
      </w:r>
      <w:r>
        <w:t xml:space="preserve"> </w:t>
      </w:r>
      <w:r>
        <w:rPr>
          <w:b/>
        </w:rPr>
        <w:t xml:space="preserve">histograma</w:t>
      </w:r>
      <w:r>
        <w:t xml:space="preserve"> </w:t>
      </w:r>
      <w:r>
        <w:t xml:space="preserve">é um gráfico de frequência que tem como objetivo ilustrar como uma determinada amostra ou população de dados está distribuída.</w:t>
      </w:r>
    </w:p>
    <w:p>
      <w:pPr>
        <w:pStyle w:val="Heading4"/>
      </w:pPr>
      <w:bookmarkStart w:id="38" w:name="header-n673"/>
      <w:r>
        <w:t xml:space="preserve">Um exemplo</w:t>
      </w:r>
      <w:bookmarkEnd w:id="38"/>
    </w:p>
    <w:p>
      <w:pPr>
        <w:pStyle w:val="FirstParagraph"/>
      </w:pPr>
      <w:r>
        <w:t xml:space="preserve">Caso fosse necessário contabilizar, de forma gráfica, a altura de alunos em uma faculdade/colégio. Poderíamos fazer com um histograma.</w:t>
      </w:r>
    </w:p>
    <w:p>
      <w:pPr>
        <w:pStyle w:val="BodyText"/>
      </w:pPr>
      <w:r>
        <w:t xml:space="preserve">Primeiramente façamos uma tabela:</w:t>
      </w:r>
    </w:p>
    <w:p>
      <w:pPr>
        <w:pStyle w:val="CaptionedFigure"/>
      </w:pPr>
      <w:r>
        <w:drawing>
          <wp:inline>
            <wp:extent cx="2857500" cy="267652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gustavo/Documentos/GitHub/posts/trabalhos/img/Grafico-histograma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Convertendo para o gráfico desse tipo, ficamos com um gráfico:</w:t>
      </w:r>
    </w:p>
    <w:p>
      <w:pPr>
        <w:pStyle w:val="CaptionedFigure"/>
      </w:pPr>
      <w:r>
        <w:drawing>
          <wp:inline>
            <wp:extent cx="5334000" cy="251834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gustavo/Documentos/GitHub/posts/trabalhos/img/histograma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83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1" w:name="header-n680"/>
      <w:r>
        <w:t xml:space="preserve">Conclusão</w:t>
      </w:r>
      <w:bookmarkEnd w:id="41"/>
    </w:p>
    <w:p>
      <w:pPr>
        <w:pStyle w:val="FirstParagraph"/>
      </w:pPr>
      <w:r>
        <w:t xml:space="preserve">Dessa forma, compreendemos como uma norma, segundo a ABNT é criada. Vimos a gradual validação do projeto de norma, que inicializa com uma demanda, passando Comitês e Comissões. Após avaliações do projeto, criado anteriormente, passando pela consulta nacional.</w:t>
      </w:r>
    </w:p>
    <w:p>
      <w:pPr>
        <w:pStyle w:val="BodyText"/>
      </w:pPr>
      <w:r>
        <w:t xml:space="preserve">Vimos as série de normas 9000, NBR 13596 e NBR 13596. Essas, respectivamente, focam em:</w:t>
      </w:r>
    </w:p>
    <w:p>
      <w:pPr>
        <w:numPr>
          <w:numId w:val="1007"/>
          <w:ilvl w:val="0"/>
        </w:numPr>
      </w:pPr>
      <w:r>
        <w:t xml:space="preserve">Garantir a qualidade do software.</w:t>
      </w:r>
    </w:p>
    <w:p>
      <w:pPr>
        <w:numPr>
          <w:numId w:val="1007"/>
          <w:ilvl w:val="0"/>
        </w:numPr>
      </w:pPr>
      <w:r>
        <w:t xml:space="preserve">Definir as características para um software com qualidade.</w:t>
      </w:r>
    </w:p>
    <w:p>
      <w:pPr>
        <w:numPr>
          <w:numId w:val="1007"/>
          <w:ilvl w:val="0"/>
        </w:numPr>
      </w:pPr>
      <w:r>
        <w:t xml:space="preserve">Definir o ciclo de vida de um sistema.</w:t>
      </w:r>
    </w:p>
    <w:p>
      <w:pPr>
        <w:pStyle w:val="FirstParagraph"/>
      </w:pPr>
      <w:r>
        <w:t xml:space="preserve">Vimos também grupos que trabalham com a ergonomia de um software, como a ABERGO. O grupo SISP para métricas de software. E, também, o Grupo de Validação, Verificação e Teste de Sistema Computacionais do Instituto de Informática da UFRGS, que pesquisa métodos de melhoria da qualidade de software.</w:t>
      </w:r>
    </w:p>
    <w:p>
      <w:pPr>
        <w:pStyle w:val="BodyText"/>
      </w:pPr>
      <w:r>
        <w:t xml:space="preserve">Por fim, vimos o exemplo de histogramas aplicado em um colégio/faculdade para medir a altura de alunos.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2" w:name="header-n693"/>
      <w:r>
        <w:t xml:space="preserve">Referências bibliográficas</w:t>
      </w:r>
      <w:bookmarkEnd w:id="42"/>
    </w:p>
    <w:p>
      <w:pPr>
        <w:numPr>
          <w:numId w:val="1008"/>
          <w:ilvl w:val="0"/>
        </w:numPr>
      </w:pPr>
      <w:r>
        <w:t xml:space="preserve">ABNT.</w:t>
      </w:r>
      <w:r>
        <w:t xml:space="preserve"> </w:t>
      </w:r>
      <w:r>
        <w:rPr>
          <w:b/>
        </w:rPr>
        <w:t xml:space="preserve">Como Elaborar Normas</w:t>
      </w:r>
      <w:r>
        <w:t xml:space="preserve">. Disponível em: http://www.abnt.org.br/normalizacao/elaboracao-e-participacao/como-se-elaboram</w:t>
      </w:r>
    </w:p>
    <w:p>
      <w:pPr>
        <w:numPr>
          <w:numId w:val="1008"/>
          <w:ilvl w:val="0"/>
        </w:numPr>
      </w:pPr>
      <w:r>
        <w:t xml:space="preserve">ABNTONLINE.</w:t>
      </w:r>
      <w:r>
        <w:t xml:space="preserve"> </w:t>
      </w:r>
      <w:r>
        <w:rPr>
          <w:b/>
        </w:rPr>
        <w:t xml:space="preserve">Consulta Nacional</w:t>
      </w:r>
      <w:r>
        <w:t xml:space="preserve">. Disponível em: http://www.abntonline.com.br/consultanacional/</w:t>
      </w:r>
    </w:p>
    <w:p>
      <w:pPr>
        <w:numPr>
          <w:numId w:val="1008"/>
          <w:ilvl w:val="0"/>
        </w:numPr>
      </w:pPr>
      <w:r>
        <w:t xml:space="preserve"> </w:t>
      </w:r>
      <w:r>
        <w:t xml:space="preserve">ABNTCATÁLOGO.</w:t>
      </w:r>
      <w:r>
        <w:t xml:space="preserve"> </w:t>
      </w:r>
      <w:r>
        <w:rPr>
          <w:b/>
        </w:rPr>
        <w:t xml:space="preserve">ABNTCatálogo</w:t>
      </w:r>
      <w:r>
        <w:t xml:space="preserve">. Disponível em: https://www.abntcatalogo.com.br/</w:t>
      </w:r>
    </w:p>
    <w:p>
      <w:pPr>
        <w:numPr>
          <w:numId w:val="1008"/>
          <w:ilvl w:val="0"/>
        </w:numPr>
      </w:pPr>
      <w:r>
        <w:t xml:space="preserve">ABNT.</w:t>
      </w:r>
      <w:r>
        <w:t xml:space="preserve"> </w:t>
      </w:r>
      <w:r>
        <w:rPr>
          <w:b/>
        </w:rPr>
        <w:t xml:space="preserve">Comitês Técnicos</w:t>
      </w:r>
      <w:r>
        <w:t xml:space="preserve">. Disponível em: http://www.abnt.org.br/normalizacao/comites-tecnicos</w:t>
      </w:r>
    </w:p>
    <w:p>
      <w:pPr>
        <w:numPr>
          <w:numId w:val="1008"/>
          <w:ilvl w:val="0"/>
        </w:numPr>
      </w:pPr>
      <w:r>
        <w:t xml:space="preserve">ABNT / CB-26.</w:t>
      </w:r>
      <w:r>
        <w:t xml:space="preserve"> </w:t>
      </w:r>
      <w:r>
        <w:rPr>
          <w:b/>
        </w:rPr>
        <w:t xml:space="preserve">PNS (Programa de Normalização Setorial)</w:t>
      </w:r>
      <w:r>
        <w:t xml:space="preserve">. Disponível em: https://www.cb26.org.br/pan</w:t>
      </w:r>
    </w:p>
    <w:p>
      <w:pPr>
        <w:numPr>
          <w:numId w:val="1008"/>
          <w:ilvl w:val="0"/>
        </w:numPr>
      </w:pPr>
      <w:r>
        <w:t xml:space="preserve"> </w:t>
      </w:r>
      <w:r>
        <w:t xml:space="preserve">ABNT / CB-26.</w:t>
      </w:r>
      <w:r>
        <w:t xml:space="preserve"> </w:t>
      </w:r>
      <w:r>
        <w:rPr>
          <w:b/>
        </w:rPr>
        <w:t xml:space="preserve">Comissões de Estudo</w:t>
      </w:r>
      <w:r>
        <w:t xml:space="preserve">. Disponível em: https://www.cb26.org.br/comissoes-de-estudo</w:t>
      </w:r>
    </w:p>
    <w:p>
      <w:pPr>
        <w:numPr>
          <w:numId w:val="1008"/>
          <w:ilvl w:val="0"/>
        </w:numPr>
      </w:pPr>
      <w:r>
        <w:t xml:space="preserve"> </w:t>
      </w:r>
      <w:r>
        <w:t xml:space="preserve">DIÁRIO OFICIAL DA UNIÃO.</w:t>
      </w:r>
      <w:r>
        <w:t xml:space="preserve"> </w:t>
      </w:r>
      <w:r>
        <w:rPr>
          <w:b/>
        </w:rPr>
        <w:t xml:space="preserve">Diário Oficial da União</w:t>
      </w:r>
      <w:r>
        <w:t xml:space="preserve">. Disponível em: https://www.in.gov.br/</w:t>
      </w:r>
    </w:p>
    <w:p>
      <w:pPr>
        <w:numPr>
          <w:numId w:val="1008"/>
          <w:ilvl w:val="0"/>
        </w:numPr>
      </w:pPr>
      <w:r>
        <w:t xml:space="preserve">ABNTCATÁLOGO.</w:t>
      </w:r>
      <w:r>
        <w:t xml:space="preserve"> </w:t>
      </w:r>
      <w:r>
        <w:rPr>
          <w:b/>
        </w:rPr>
        <w:t xml:space="preserve">Norma ABNT NBR ISO 9001:2015</w:t>
      </w:r>
      <w:r>
        <w:t xml:space="preserve">. Disponível em: https://www.abntcatalogo.com.br/norma.aspx?ID=345041</w:t>
      </w:r>
    </w:p>
    <w:p>
      <w:pPr>
        <w:numPr>
          <w:numId w:val="1008"/>
          <w:ilvl w:val="0"/>
        </w:numPr>
      </w:pPr>
      <w:r>
        <w:t xml:space="preserve">TI ESPECIALISTAS.</w:t>
      </w:r>
      <w:r>
        <w:t xml:space="preserve"> </w:t>
      </w:r>
      <w:r>
        <w:rPr>
          <w:b/>
        </w:rPr>
        <w:t xml:space="preserve">Análise sobre a ISO 9126 – NBR 13596</w:t>
      </w:r>
      <w:r>
        <w:t xml:space="preserve">. Disponível em: https://www.tiespecialistas.com.br/analise-sobre-iso-9126-nbr-13596/</w:t>
      </w:r>
    </w:p>
    <w:p>
      <w:pPr>
        <w:numPr>
          <w:numId w:val="1008"/>
          <w:ilvl w:val="0"/>
        </w:numPr>
      </w:pPr>
      <w:r>
        <w:t xml:space="preserve">WIKIPEDIA.</w:t>
      </w:r>
      <w:r>
        <w:t xml:space="preserve"> </w:t>
      </w:r>
      <w:r>
        <w:rPr>
          <w:b/>
        </w:rPr>
        <w:t xml:space="preserve">ISO/IEC 9126</w:t>
      </w:r>
      <w:r>
        <w:t xml:space="preserve">. Disponível em: https://pt.wikipedia.org/wiki/ISO/IEC_9126</w:t>
      </w:r>
      <w:r>
        <w:t xml:space="preserve"> </w:t>
      </w:r>
      <w:r>
        <w:rPr>
          <w:i/>
        </w:rPr>
        <w:t xml:space="preserve">Acesso em: de junho de 2020</w:t>
      </w:r>
    </w:p>
    <w:p>
      <w:pPr>
        <w:numPr>
          <w:numId w:val="1008"/>
          <w:ilvl w:val="0"/>
        </w:numPr>
      </w:pPr>
      <w:r>
        <w:t xml:space="preserve">WIKIPEDIA.</w:t>
      </w:r>
      <w:r>
        <w:t xml:space="preserve"> </w:t>
      </w:r>
      <w:r>
        <w:rPr>
          <w:b/>
        </w:rPr>
        <w:t xml:space="preserve">ISO/IEC 12207</w:t>
      </w:r>
      <w:r>
        <w:t xml:space="preserve">. Disponível em: https://pt.wikipedia.org/wiki/ISO/IEC_12207</w:t>
      </w:r>
      <w:r>
        <w:t xml:space="preserve"> </w:t>
      </w:r>
      <w:r>
        <w:rPr>
          <w:i/>
        </w:rPr>
        <w:t xml:space="preserve">Acesso em: de junho de 2020</w:t>
      </w:r>
    </w:p>
    <w:p>
      <w:pPr>
        <w:numPr>
          <w:numId w:val="1008"/>
          <w:ilvl w:val="0"/>
        </w:numPr>
      </w:pPr>
      <w:r>
        <w:t xml:space="preserve">ABERGO.</w:t>
      </w:r>
      <w:r>
        <w:t xml:space="preserve"> </w:t>
      </w:r>
      <w:r>
        <w:rPr>
          <w:b/>
        </w:rPr>
        <w:t xml:space="preserve">Grupos Técnicos</w:t>
      </w:r>
      <w:r>
        <w:t xml:space="preserve">. Disponível em: http://www.abergo.org.br/internas.php?pg=grupos_tecnicos</w:t>
      </w:r>
      <w:r>
        <w:t xml:space="preserve"> </w:t>
      </w:r>
      <w:r>
        <w:rPr>
          <w:i/>
        </w:rPr>
        <w:t xml:space="preserve">Acesso em: de junho de 2020</w:t>
      </w:r>
    </w:p>
    <w:p>
      <w:pPr>
        <w:numPr>
          <w:numId w:val="1008"/>
          <w:ilvl w:val="0"/>
        </w:numPr>
      </w:pPr>
      <w:r>
        <w:t xml:space="preserve">SISP.</w:t>
      </w:r>
      <w:r>
        <w:t xml:space="preserve"> </w:t>
      </w:r>
      <w:r>
        <w:rPr>
          <w:b/>
        </w:rPr>
        <w:t xml:space="preserve">Grupo de Trabalho - Métricas</w:t>
      </w:r>
      <w:r>
        <w:t xml:space="preserve">. Disponível em: http://www.sisp.gov.br/ver-comunidade?community_id=10483894</w:t>
      </w:r>
      <w:r>
        <w:t xml:space="preserve"> </w:t>
      </w:r>
      <w:r>
        <w:rPr>
          <w:i/>
        </w:rPr>
        <w:t xml:space="preserve">Acesso em: de junho de 2020</w:t>
      </w:r>
    </w:p>
    <w:p>
      <w:pPr>
        <w:numPr>
          <w:numId w:val="1008"/>
          <w:ilvl w:val="0"/>
        </w:numPr>
      </w:pPr>
      <w:r>
        <w:t xml:space="preserve">UFRGS.</w:t>
      </w:r>
      <w:r>
        <w:t xml:space="preserve"> </w:t>
      </w:r>
      <w:r>
        <w:rPr>
          <w:b/>
        </w:rPr>
        <w:t xml:space="preserve">Grupo de Validação, Verificação e Teste</w:t>
      </w:r>
      <w:r>
        <w:t xml:space="preserve">. Disponível em: http://www.ufrgs.br/verites/front-page</w:t>
      </w:r>
      <w:r>
        <w:t xml:space="preserve"> </w:t>
      </w:r>
      <w:r>
        <w:rPr>
          <w:i/>
        </w:rPr>
        <w:t xml:space="preserve">Acesso em: de junho de 2020</w:t>
      </w:r>
    </w:p>
    <w:p>
      <w:pPr>
        <w:numPr>
          <w:numId w:val="1008"/>
          <w:ilvl w:val="0"/>
        </w:numPr>
      </w:pPr>
      <w:r>
        <w:t xml:space="preserve">FM2S.</w:t>
      </w:r>
      <w:r>
        <w:t xml:space="preserve"> </w:t>
      </w:r>
      <w:r>
        <w:rPr>
          <w:b/>
        </w:rPr>
        <w:t xml:space="preserve">O que é histograma? Quando utilizar? Como construir?</w:t>
      </w:r>
      <w:r>
        <w:t xml:space="preserve">. Disponível em: https://www.fm2s.com.br/histograma/</w:t>
      </w:r>
      <w:r>
        <w:t xml:space="preserve"> </w:t>
      </w:r>
      <w:r>
        <w:rPr>
          <w:i/>
        </w:rPr>
        <w:t xml:space="preserve">Acesso em: de junho de 2020</w:t>
      </w:r>
    </w:p>
    <w:p>
      <w:pPr>
        <w:numPr>
          <w:numId w:val="1008"/>
          <w:ilvl w:val="0"/>
        </w:numPr>
      </w:pPr>
      <w:r>
        <w:t xml:space="preserve">COUTINHO, THIAGO.</w:t>
      </w:r>
      <w:r>
        <w:t xml:space="preserve"> </w:t>
      </w:r>
      <w:r>
        <w:rPr>
          <w:b/>
        </w:rPr>
        <w:t xml:space="preserve">Histograma: o que é, quais tipos existem e como montar um</w:t>
      </w:r>
      <w:r>
        <w:t xml:space="preserve">. Disponível em: https://www.voitto.com.br/blog/artigo/o-que-e-um-histograma</w:t>
      </w:r>
      <w:r>
        <w:t xml:space="preserve"> </w:t>
      </w:r>
      <w:r>
        <w:rPr>
          <w:i/>
        </w:rPr>
        <w:t xml:space="preserve">Acesso em: de junho de 2020</w:t>
      </w:r>
    </w:p>
    <w:p>
      <w:pPr>
        <w:pStyle w:val="FirstParagraph"/>
      </w:pPr>
    </w:p>
    <w:p>
      <w:pPr>
        <w:pStyle w:val="BodyText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9" Target="media/rId39.jpg" /><Relationship Type="http://schemas.openxmlformats.org/officeDocument/2006/relationships/image" Id="rId30" Target="media/rId30.jpg" /><Relationship Type="http://schemas.openxmlformats.org/officeDocument/2006/relationships/image" Id="rId40" Target="media/rId40.jpg" /><Relationship Type="http://schemas.openxmlformats.org/officeDocument/2006/relationships/image" Id="rId20" Target="media/rId20.png" /><Relationship Type="http://schemas.openxmlformats.org/officeDocument/2006/relationships/hyperlink" Id="rId29" Target="http://www.abntcatalogo.com.br/" TargetMode="External" /><Relationship Type="http://schemas.openxmlformats.org/officeDocument/2006/relationships/hyperlink" Id="rId27" Target="http://www.abntonline.com.br/consultanacional/" TargetMode="External" /><Relationship Type="http://schemas.openxmlformats.org/officeDocument/2006/relationships/hyperlink" Id="rId28" Target="https://www.in.gov.br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www.abntcatalogo.com.br/" TargetMode="External" /><Relationship Type="http://schemas.openxmlformats.org/officeDocument/2006/relationships/hyperlink" Id="rId27" Target="http://www.abntonline.com.br/consultanacional/" TargetMode="External" /><Relationship Type="http://schemas.openxmlformats.org/officeDocument/2006/relationships/hyperlink" Id="rId28" Target="https://www.in.gov.br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2020-09-18T06:29:12Z</dcterms:created>
  <dcterms:modified xsi:type="dcterms:W3CDTF">2020-09-18T06:29:12Z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