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Pr>
        <w:t>INFORME 2: INSPECCIÓN FORMAL DE CÓDIGO (SEGURIDAD)</w:t>
      </w:r>
    </w:p>
    <w:p>
      <w:pPr>
        <w:jc w:val="center"/>
      </w:pPr>
      <w:r>
        <w:rPr>
          <w:i/>
        </w:rPr>
        <w:t>Basado en ISO/IEC/IEEE 29119-4, IEEE 1028 e ISO/IEC 25010</w:t>
      </w:r>
    </w:p>
    <w:p>
      <w:pPr>
        <w:pStyle w:val="Heading1"/>
      </w:pPr>
      <w:r>
        <w:t>1. Información General y Control Documental</w:t>
      </w:r>
    </w:p>
    <w:p>
      <w:pPr>
        <w:pStyle w:val="ListBullet"/>
      </w:pPr>
      <w:r>
        <w:t>Proyecto: Sistema FitZone.</w:t>
      </w:r>
    </w:p>
    <w:p>
      <w:pPr>
        <w:pStyle w:val="ListBullet"/>
      </w:pPr>
      <w:r>
        <w:t>Objetivo de la inspección: detectar defectos de seguridad y calidad en el código fuente del repositorio app-gym-main.</w:t>
      </w:r>
    </w:p>
    <w:p>
      <w:pPr>
        <w:pStyle w:val="ListBullet"/>
      </w:pPr>
      <w:r>
        <w:t>Artefacto inspeccionado: código fuente PHP MVC, controladores, modelos, vistas, configuración Docker, dependencias y archivos de datos.</w:t>
      </w:r>
    </w:p>
    <w:p>
      <w:pPr>
        <w:pStyle w:val="ListBullet"/>
      </w:pPr>
      <w:r>
        <w:t>Tamaño del artefacto: aproximadamente 1.705 líneas fuente revisadas, sin incluir vendor, node_modules ni assets compilados.</w:t>
      </w:r>
    </w:p>
    <w:p>
      <w:pPr>
        <w:pStyle w:val="ListBullet"/>
      </w:pPr>
      <w:r>
        <w:t>Fecha de emisión: 30 de mayo de 2026.</w:t>
      </w:r>
    </w:p>
    <w:p>
      <w:pPr>
        <w:pStyle w:val="Heading1"/>
      </w:pPr>
      <w:r>
        <w:t>2. Roles Asignados</w:t>
      </w:r>
    </w:p>
    <w:tbl>
      <w:tblPr>
        <w:tblStyle w:val="TableGrid"/>
        <w:tblW w:type="auto" w:w="0"/>
        <w:jc w:val="center"/>
        <w:tblLook w:firstColumn="1" w:firstRow="1" w:lastColumn="0" w:lastRow="0" w:noHBand="0" w:noVBand="1" w:val="04A0"/>
      </w:tblPr>
      <w:tblGrid>
        <w:gridCol w:w="3120"/>
        <w:gridCol w:w="3120"/>
        <w:gridCol w:w="3120"/>
      </w:tblGrid>
      <w:tr>
        <w:tc>
          <w:tcPr>
            <w:tcW w:type="dxa" w:w="1584"/>
            <w:vAlign w:val="center"/>
            <w:shd w:fill="1F4D78"/>
          </w:tcPr>
          <w:p>
            <w:pPr>
              <w:jc w:val="left"/>
            </w:pPr>
            <w:r/>
            <w:r>
              <w:rPr>
                <w:rFonts w:ascii="Calibri" w:hAnsi="Calibri"/>
                <w:b/>
                <w:color w:val="FFFFFF"/>
                <w:sz w:val="18"/>
              </w:rPr>
              <w:t>Rol</w:t>
            </w:r>
          </w:p>
        </w:tc>
        <w:tc>
          <w:tcPr>
            <w:tcW w:type="dxa" w:w="2016"/>
            <w:vAlign w:val="center"/>
            <w:shd w:fill="1F4D78"/>
          </w:tcPr>
          <w:p>
            <w:pPr>
              <w:jc w:val="left"/>
            </w:pPr>
            <w:r/>
            <w:r>
              <w:rPr>
                <w:rFonts w:ascii="Calibri" w:hAnsi="Calibri"/>
                <w:b/>
                <w:color w:val="FFFFFF"/>
                <w:sz w:val="18"/>
              </w:rPr>
              <w:t>Responsable</w:t>
            </w:r>
          </w:p>
        </w:tc>
        <w:tc>
          <w:tcPr>
            <w:tcW w:type="dxa" w:w="5760"/>
            <w:vAlign w:val="center"/>
            <w:shd w:fill="1F4D78"/>
          </w:tcPr>
          <w:p>
            <w:pPr>
              <w:jc w:val="left"/>
            </w:pPr>
            <w:r/>
            <w:r>
              <w:rPr>
                <w:rFonts w:ascii="Calibri" w:hAnsi="Calibri"/>
                <w:b/>
                <w:color w:val="FFFFFF"/>
                <w:sz w:val="18"/>
              </w:rPr>
              <w:t>Descripción de actividad</w:t>
            </w:r>
          </w:p>
        </w:tc>
      </w:tr>
      <w:tr>
        <w:tc>
          <w:tcPr>
            <w:tcW w:type="dxa" w:w="1584"/>
            <w:vAlign w:val="center"/>
          </w:tcPr>
          <w:p>
            <w:pPr>
              <w:jc w:val="left"/>
            </w:pPr>
            <w:r/>
            <w:r>
              <w:rPr>
                <w:rFonts w:ascii="Calibri" w:hAnsi="Calibri"/>
                <w:b w:val="0"/>
                <w:sz w:val="18"/>
              </w:rPr>
              <w:t>Moderador</w:t>
            </w:r>
          </w:p>
        </w:tc>
        <w:tc>
          <w:tcPr>
            <w:tcW w:type="dxa" w:w="2016"/>
            <w:vAlign w:val="center"/>
          </w:tcPr>
          <w:p>
            <w:pPr>
              <w:jc w:val="left"/>
            </w:pPr>
            <w:r/>
            <w:r>
              <w:rPr>
                <w:rFonts w:ascii="Calibri" w:hAnsi="Calibri"/>
                <w:b w:val="0"/>
                <w:sz w:val="18"/>
              </w:rPr>
              <w:t>Melissa Nessi</w:t>
            </w:r>
          </w:p>
        </w:tc>
        <w:tc>
          <w:tcPr>
            <w:tcW w:type="dxa" w:w="5760"/>
            <w:vAlign w:val="center"/>
          </w:tcPr>
          <w:p>
            <w:pPr>
              <w:jc w:val="left"/>
            </w:pPr>
            <w:r/>
            <w:r>
              <w:rPr>
                <w:rFonts w:ascii="Calibri" w:hAnsi="Calibri"/>
                <w:b w:val="0"/>
                <w:sz w:val="18"/>
              </w:rPr>
              <w:t>Dirigió la revisión y mantuvo el enfoque en los criterios de calidad.</w:t>
            </w:r>
          </w:p>
        </w:tc>
      </w:tr>
      <w:tr>
        <w:tc>
          <w:tcPr>
            <w:tcW w:type="dxa" w:w="1584"/>
            <w:vAlign w:val="center"/>
          </w:tcPr>
          <w:p>
            <w:pPr>
              <w:jc w:val="left"/>
            </w:pPr>
            <w:r/>
            <w:r>
              <w:rPr>
                <w:rFonts w:ascii="Calibri" w:hAnsi="Calibri"/>
                <w:b w:val="0"/>
                <w:sz w:val="18"/>
              </w:rPr>
              <w:t>Lector</w:t>
            </w:r>
          </w:p>
        </w:tc>
        <w:tc>
          <w:tcPr>
            <w:tcW w:type="dxa" w:w="2016"/>
            <w:vAlign w:val="center"/>
          </w:tcPr>
          <w:p>
            <w:pPr>
              <w:jc w:val="left"/>
            </w:pPr>
            <w:r/>
            <w:r>
              <w:rPr>
                <w:rFonts w:ascii="Calibri" w:hAnsi="Calibri"/>
                <w:b w:val="0"/>
                <w:sz w:val="18"/>
              </w:rPr>
              <w:t>Daniella Cruz</w:t>
            </w:r>
          </w:p>
        </w:tc>
        <w:tc>
          <w:tcPr>
            <w:tcW w:type="dxa" w:w="5760"/>
            <w:vAlign w:val="center"/>
          </w:tcPr>
          <w:p>
            <w:pPr>
              <w:jc w:val="left"/>
            </w:pPr>
            <w:r/>
            <w:r>
              <w:rPr>
                <w:rFonts w:ascii="Calibri" w:hAnsi="Calibri"/>
                <w:b w:val="0"/>
                <w:sz w:val="18"/>
              </w:rPr>
              <w:t>Recorrió el código y explicó el flujo principal de autenticación y rutas.</w:t>
            </w:r>
          </w:p>
        </w:tc>
      </w:tr>
      <w:tr>
        <w:tc>
          <w:tcPr>
            <w:tcW w:type="dxa" w:w="1584"/>
            <w:vAlign w:val="center"/>
          </w:tcPr>
          <w:p>
            <w:pPr>
              <w:jc w:val="left"/>
            </w:pPr>
            <w:r/>
            <w:r>
              <w:rPr>
                <w:rFonts w:ascii="Calibri" w:hAnsi="Calibri"/>
                <w:b w:val="0"/>
                <w:sz w:val="18"/>
              </w:rPr>
              <w:t>Autor</w:t>
            </w:r>
          </w:p>
        </w:tc>
        <w:tc>
          <w:tcPr>
            <w:tcW w:type="dxa" w:w="2016"/>
            <w:vAlign w:val="center"/>
          </w:tcPr>
          <w:p>
            <w:pPr>
              <w:jc w:val="left"/>
            </w:pPr>
            <w:r/>
            <w:r>
              <w:rPr>
                <w:rFonts w:ascii="Calibri" w:hAnsi="Calibri"/>
                <w:b w:val="0"/>
                <w:sz w:val="18"/>
              </w:rPr>
              <w:t>Christopher Acosta</w:t>
            </w:r>
          </w:p>
        </w:tc>
        <w:tc>
          <w:tcPr>
            <w:tcW w:type="dxa" w:w="5760"/>
            <w:vAlign w:val="center"/>
          </w:tcPr>
          <w:p>
            <w:pPr>
              <w:jc w:val="left"/>
            </w:pPr>
            <w:r/>
            <w:r>
              <w:rPr>
                <w:rFonts w:ascii="Calibri" w:hAnsi="Calibri"/>
                <w:b w:val="0"/>
                <w:sz w:val="18"/>
              </w:rPr>
              <w:t>Recibió los hallazgos y quedó responsable de las correcciones técnicas.</w:t>
            </w:r>
          </w:p>
        </w:tc>
      </w:tr>
      <w:tr>
        <w:tc>
          <w:tcPr>
            <w:tcW w:type="dxa" w:w="1584"/>
            <w:vAlign w:val="center"/>
          </w:tcPr>
          <w:p>
            <w:pPr>
              <w:jc w:val="left"/>
            </w:pPr>
            <w:r/>
            <w:r>
              <w:rPr>
                <w:rFonts w:ascii="Calibri" w:hAnsi="Calibri"/>
                <w:b w:val="0"/>
                <w:sz w:val="18"/>
              </w:rPr>
              <w:t>Registrador</w:t>
            </w:r>
          </w:p>
        </w:tc>
        <w:tc>
          <w:tcPr>
            <w:tcW w:type="dxa" w:w="2016"/>
            <w:vAlign w:val="center"/>
          </w:tcPr>
          <w:p>
            <w:pPr>
              <w:jc w:val="left"/>
            </w:pPr>
            <w:r/>
            <w:r>
              <w:rPr>
                <w:rFonts w:ascii="Calibri" w:hAnsi="Calibri"/>
                <w:b w:val="0"/>
                <w:sz w:val="18"/>
              </w:rPr>
              <w:t>José Oropeza</w:t>
            </w:r>
          </w:p>
        </w:tc>
        <w:tc>
          <w:tcPr>
            <w:tcW w:type="dxa" w:w="5760"/>
            <w:vAlign w:val="center"/>
          </w:tcPr>
          <w:p>
            <w:pPr>
              <w:jc w:val="left"/>
            </w:pPr>
            <w:r/>
            <w:r>
              <w:rPr>
                <w:rFonts w:ascii="Calibri" w:hAnsi="Calibri"/>
                <w:b w:val="0"/>
                <w:sz w:val="18"/>
              </w:rPr>
              <w:t>Documentó los defectos confirmados, métricas y acciones de seguimiento.</w:t>
            </w:r>
          </w:p>
        </w:tc>
      </w:tr>
      <w:tr>
        <w:tc>
          <w:tcPr>
            <w:tcW w:type="dxa" w:w="1584"/>
            <w:vAlign w:val="center"/>
          </w:tcPr>
          <w:p>
            <w:pPr>
              <w:jc w:val="left"/>
            </w:pPr>
            <w:r/>
            <w:r>
              <w:rPr>
                <w:rFonts w:ascii="Calibri" w:hAnsi="Calibri"/>
                <w:b w:val="0"/>
                <w:sz w:val="18"/>
              </w:rPr>
              <w:t>Inspectores</w:t>
            </w:r>
          </w:p>
        </w:tc>
        <w:tc>
          <w:tcPr>
            <w:tcW w:type="dxa" w:w="2016"/>
            <w:vAlign w:val="center"/>
          </w:tcPr>
          <w:p>
            <w:pPr>
              <w:jc w:val="left"/>
            </w:pPr>
            <w:r/>
            <w:r>
              <w:rPr>
                <w:rFonts w:ascii="Calibri" w:hAnsi="Calibri"/>
                <w:b w:val="0"/>
                <w:sz w:val="18"/>
              </w:rPr>
              <w:t>Todo el equipo</w:t>
            </w:r>
          </w:p>
        </w:tc>
        <w:tc>
          <w:tcPr>
            <w:tcW w:type="dxa" w:w="5760"/>
            <w:vAlign w:val="center"/>
          </w:tcPr>
          <w:p>
            <w:pPr>
              <w:jc w:val="left"/>
            </w:pPr>
            <w:r/>
            <w:r>
              <w:rPr>
                <w:rFonts w:ascii="Calibri" w:hAnsi="Calibri"/>
                <w:b w:val="0"/>
                <w:sz w:val="18"/>
              </w:rPr>
              <w:t>Revisaron el repositorio usando la lista de chequeo de seguridad.</w:t>
            </w:r>
          </w:p>
        </w:tc>
      </w:tr>
    </w:tbl>
    <w:p/>
    <w:p>
      <w:pPr>
        <w:pStyle w:val="Heading1"/>
      </w:pPr>
      <w:r>
        <w:t>3. Evidencia de Fases del Proceso</w:t>
      </w:r>
    </w:p>
    <w:p>
      <w:pPr>
        <w:pStyle w:val="ListBullet"/>
      </w:pPr>
      <w:r>
        <w:t>Preparación individual: completada. Se revisaron rutas, controladores, modelos, vistas, dependencias y configuración Docker.</w:t>
      </w:r>
    </w:p>
    <w:p>
      <w:pPr>
        <w:pStyle w:val="ListBullet"/>
      </w:pPr>
      <w:r>
        <w:t>Reunión de inspección: completada. Se consolidaron los hallazgos y se descartaron observaciones menores para dejar solo defectos relevantes.</w:t>
      </w:r>
    </w:p>
    <w:p>
      <w:pPr>
        <w:pStyle w:val="ListBullet"/>
      </w:pPr>
      <w:r>
        <w:t>Evidencia técnica usada: conteo de líneas fuente, revisión de líneas exactas, npm audit y docker compose config.</w:t>
      </w:r>
    </w:p>
    <w:p>
      <w:pPr>
        <w:pStyle w:val="Heading1"/>
      </w:pPr>
      <w:r>
        <w:t>4. Registro de Defectos Confirmados</w:t>
      </w:r>
    </w:p>
    <w:p>
      <w:r>
        <w:t>La tabla resume los defectos más importantes. Se dejaron los hallazgos más útiles para una inspección formal, evitando listar observaciones repetidas o de bajo impacto.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vAlign w:val="center"/>
            <w:shd w:fill="1F4D78"/>
          </w:tcPr>
          <w:p>
            <w:pPr>
              <w:jc w:val="left"/>
            </w:pPr>
            <w:r/>
            <w:r>
              <w:rPr>
                <w:rFonts w:ascii="Calibri" w:hAnsi="Calibri"/>
                <w:b/>
                <w:color w:val="FFFFFF"/>
                <w:sz w:val="18"/>
              </w:rPr>
              <w:t>ID Defecto</w:t>
            </w:r>
          </w:p>
        </w:tc>
        <w:tc>
          <w:tcPr>
            <w:tcW w:type="dxa" w:w="1944"/>
            <w:vAlign w:val="center"/>
            <w:shd w:fill="1F4D78"/>
          </w:tcPr>
          <w:p>
            <w:pPr>
              <w:jc w:val="left"/>
            </w:pPr>
            <w:r/>
            <w:r>
              <w:rPr>
                <w:rFonts w:ascii="Calibri" w:hAnsi="Calibri"/>
                <w:b/>
                <w:color w:val="FFFFFF"/>
                <w:sz w:val="18"/>
              </w:rPr>
              <w:t>Atributo ISO 25010</w:t>
            </w:r>
          </w:p>
        </w:tc>
        <w:tc>
          <w:tcPr>
            <w:tcW w:type="dxa" w:w="5400"/>
            <w:vAlign w:val="center"/>
            <w:shd w:fill="1F4D78"/>
          </w:tcPr>
          <w:p>
            <w:pPr>
              <w:jc w:val="left"/>
            </w:pPr>
            <w:r/>
            <w:r>
              <w:rPr>
                <w:rFonts w:ascii="Calibri" w:hAnsi="Calibri"/>
                <w:b/>
                <w:color w:val="FFFFFF"/>
                <w:sz w:val="18"/>
              </w:rPr>
              <w:t>Descripción técnica del defecto</w:t>
            </w:r>
          </w:p>
        </w:tc>
        <w:tc>
          <w:tcPr>
            <w:tcW w:type="dxa" w:w="648"/>
            <w:vAlign w:val="center"/>
            <w:shd w:fill="1F4D78"/>
          </w:tcPr>
          <w:p>
            <w:pPr>
              <w:jc w:val="left"/>
            </w:pPr>
            <w:r/>
            <w:r>
              <w:rPr>
                <w:rFonts w:ascii="Calibri" w:hAnsi="Calibri"/>
                <w:b/>
                <w:color w:val="FFFFFF"/>
                <w:sz w:val="18"/>
              </w:rPr>
              <w:t>Sev.</w:t>
            </w:r>
          </w:p>
        </w:tc>
      </w:tr>
      <w:tr>
        <w:tc>
          <w:tcPr>
            <w:tcW w:type="dxa" w:w="1440"/>
            <w:vAlign w:val="center"/>
          </w:tcPr>
          <w:p>
            <w:pPr>
              <w:jc w:val="left"/>
            </w:pPr>
            <w:r/>
            <w:r>
              <w:rPr>
                <w:rFonts w:ascii="Calibri" w:hAnsi="Calibri"/>
                <w:b w:val="0"/>
                <w:sz w:val="18"/>
              </w:rPr>
              <w:t>DEF-SEG-01</w:t>
            </w:r>
          </w:p>
        </w:tc>
        <w:tc>
          <w:tcPr>
            <w:tcW w:type="dxa" w:w="1944"/>
            <w:vAlign w:val="center"/>
          </w:tcPr>
          <w:p>
            <w:pPr>
              <w:jc w:val="left"/>
            </w:pPr>
            <w:r/>
            <w:r>
              <w:rPr>
                <w:rFonts w:ascii="Calibri" w:hAnsi="Calibri"/>
                <w:b w:val="0"/>
                <w:sz w:val="18"/>
              </w:rPr>
              <w:t>Seguridad</w:t>
            </w:r>
          </w:p>
        </w:tc>
        <w:tc>
          <w:tcPr>
            <w:tcW w:type="dxa" w:w="5400"/>
            <w:vAlign w:val="center"/>
          </w:tcPr>
          <w:p>
            <w:pPr>
              <w:jc w:val="left"/>
            </w:pPr>
            <w:r/>
            <w:r>
              <w:rPr>
                <w:rFonts w:ascii="Calibri" w:hAnsi="Calibri"/>
                <w:b w:val="0"/>
                <w:sz w:val="18"/>
              </w:rPr>
              <w:t>Rutas internas sin protección real. /inicio-admin, /administrarPlanes y rutas de usuario pueden invocarse directamente si se conoce la URL. Evidencia: Router.php:23-31 y public/index.php:39-48.</w:t>
            </w:r>
          </w:p>
        </w:tc>
        <w:tc>
          <w:tcPr>
            <w:tcW w:type="dxa" w:w="648"/>
            <w:vAlign w:val="center"/>
          </w:tcPr>
          <w:p>
            <w:pPr>
              <w:jc w:val="left"/>
            </w:pPr>
            <w:r/>
            <w:r>
              <w:rPr>
                <w:rFonts w:ascii="Calibri" w:hAnsi="Calibri"/>
                <w:b w:val="0"/>
                <w:sz w:val="18"/>
              </w:rPr>
              <w:t>5</w:t>
            </w:r>
          </w:p>
        </w:tc>
      </w:tr>
      <w:tr>
        <w:tc>
          <w:tcPr>
            <w:tcW w:type="dxa" w:w="1440"/>
            <w:vAlign w:val="center"/>
          </w:tcPr>
          <w:p>
            <w:pPr>
              <w:jc w:val="left"/>
            </w:pPr>
            <w:r/>
            <w:r>
              <w:rPr>
                <w:rFonts w:ascii="Calibri" w:hAnsi="Calibri"/>
                <w:b w:val="0"/>
                <w:sz w:val="18"/>
              </w:rPr>
              <w:t>DEF-SEG-02</w:t>
            </w:r>
          </w:p>
        </w:tc>
        <w:tc>
          <w:tcPr>
            <w:tcW w:type="dxa" w:w="1944"/>
            <w:vAlign w:val="center"/>
          </w:tcPr>
          <w:p>
            <w:pPr>
              <w:jc w:val="left"/>
            </w:pPr>
            <w:r/>
            <w:r>
              <w:rPr>
                <w:rFonts w:ascii="Calibri" w:hAnsi="Calibri"/>
                <w:b w:val="0"/>
                <w:sz w:val="18"/>
              </w:rPr>
              <w:t>Confiabilidad / Funcionalidad</w:t>
            </w:r>
          </w:p>
        </w:tc>
        <w:tc>
          <w:tcPr>
            <w:tcW w:type="dxa" w:w="5400"/>
            <w:vAlign w:val="center"/>
          </w:tcPr>
          <w:p>
            <w:pPr>
              <w:jc w:val="left"/>
            </w:pPr>
            <w:r/>
            <w:r>
              <w:rPr>
                <w:rFonts w:ascii="Calibri" w:hAnsi="Calibri"/>
                <w:b w:val="0"/>
                <w:sz w:val="18"/>
              </w:rPr>
              <w:t>El registro llama a sincronizar(), pero ese método no existe. El alta de usuarios falla en tiempo de ejecución. Evidencia: controllers/LoginController.php:88-95.</w:t>
            </w:r>
          </w:p>
        </w:tc>
        <w:tc>
          <w:tcPr>
            <w:tcW w:type="dxa" w:w="648"/>
            <w:vAlign w:val="center"/>
          </w:tcPr>
          <w:p>
            <w:pPr>
              <w:jc w:val="left"/>
            </w:pPr>
            <w:r/>
            <w:r>
              <w:rPr>
                <w:rFonts w:ascii="Calibri" w:hAnsi="Calibri"/>
                <w:b w:val="0"/>
                <w:sz w:val="18"/>
              </w:rPr>
              <w:t>5</w:t>
            </w:r>
          </w:p>
        </w:tc>
      </w:tr>
      <w:tr>
        <w:tc>
          <w:tcPr>
            <w:tcW w:type="dxa" w:w="1440"/>
            <w:vAlign w:val="center"/>
          </w:tcPr>
          <w:p>
            <w:pPr>
              <w:jc w:val="left"/>
            </w:pPr>
            <w:r/>
            <w:r>
              <w:rPr>
                <w:rFonts w:ascii="Calibri" w:hAnsi="Calibri"/>
                <w:b w:val="0"/>
                <w:sz w:val="18"/>
              </w:rPr>
              <w:t>DEF-SEG-03</w:t>
            </w:r>
          </w:p>
        </w:tc>
        <w:tc>
          <w:tcPr>
            <w:tcW w:type="dxa" w:w="1944"/>
            <w:vAlign w:val="center"/>
          </w:tcPr>
          <w:p>
            <w:pPr>
              <w:jc w:val="left"/>
            </w:pPr>
            <w:r/>
            <w:r>
              <w:rPr>
                <w:rFonts w:ascii="Calibri" w:hAnsi="Calibri"/>
                <w:b w:val="0"/>
                <w:sz w:val="18"/>
              </w:rPr>
              <w:t>Seguridad</w:t>
            </w:r>
          </w:p>
        </w:tc>
        <w:tc>
          <w:tcPr>
            <w:tcW w:type="dxa" w:w="5400"/>
            <w:vAlign w:val="center"/>
          </w:tcPr>
          <w:p>
            <w:pPr>
              <w:jc w:val="left"/>
            </w:pPr>
            <w:r/>
            <w:r>
              <w:rPr>
                <w:rFonts w:ascii="Calibri" w:hAnsi="Calibri"/>
                <w:b w:val="0"/>
                <w:sz w:val="18"/>
              </w:rPr>
              <w:t>El login no regenera el ID de sesión después de autenticar. Esto deja riesgo de session fixation. Evidencia: controllers/LoginController.php:21-33.</w:t>
            </w:r>
          </w:p>
        </w:tc>
        <w:tc>
          <w:tcPr>
            <w:tcW w:type="dxa" w:w="648"/>
            <w:vAlign w:val="center"/>
          </w:tcPr>
          <w:p>
            <w:pPr>
              <w:jc w:val="left"/>
            </w:pPr>
            <w:r/>
            <w:r>
              <w:rPr>
                <w:rFonts w:ascii="Calibri" w:hAnsi="Calibri"/>
                <w:b w:val="0"/>
                <w:sz w:val="18"/>
              </w:rPr>
              <w:t>4</w:t>
            </w:r>
          </w:p>
        </w:tc>
      </w:tr>
      <w:tr>
        <w:tc>
          <w:tcPr>
            <w:tcW w:type="dxa" w:w="1440"/>
            <w:vAlign w:val="center"/>
          </w:tcPr>
          <w:p>
            <w:pPr>
              <w:jc w:val="left"/>
            </w:pPr>
            <w:r/>
            <w:r>
              <w:rPr>
                <w:rFonts w:ascii="Calibri" w:hAnsi="Calibri"/>
                <w:b w:val="0"/>
                <w:sz w:val="18"/>
              </w:rPr>
              <w:t>DEF-SEG-04</w:t>
            </w:r>
          </w:p>
        </w:tc>
        <w:tc>
          <w:tcPr>
            <w:tcW w:type="dxa" w:w="1944"/>
            <w:vAlign w:val="center"/>
          </w:tcPr>
          <w:p>
            <w:pPr>
              <w:jc w:val="left"/>
            </w:pPr>
            <w:r/>
            <w:r>
              <w:rPr>
                <w:rFonts w:ascii="Calibri" w:hAnsi="Calibri"/>
                <w:b w:val="0"/>
                <w:sz w:val="18"/>
              </w:rPr>
              <w:t>Seguridad</w:t>
            </w:r>
          </w:p>
        </w:tc>
        <w:tc>
          <w:tcPr>
            <w:tcW w:type="dxa" w:w="5400"/>
            <w:vAlign w:val="center"/>
          </w:tcPr>
          <w:p>
            <w:pPr>
              <w:jc w:val="left"/>
            </w:pPr>
            <w:r/>
            <w:r>
              <w:rPr>
                <w:rFonts w:ascii="Calibri" w:hAnsi="Calibri"/>
                <w:b w:val="0"/>
                <w:sz w:val="18"/>
              </w:rPr>
              <w:t>Los formularios POST no usan token CSRF. Evidencia: views/auth/login.php, crear-cuenta.php y olvide-password.php.</w:t>
            </w:r>
          </w:p>
        </w:tc>
        <w:tc>
          <w:tcPr>
            <w:tcW w:type="dxa" w:w="648"/>
            <w:vAlign w:val="center"/>
          </w:tcPr>
          <w:p>
            <w:pPr>
              <w:jc w:val="left"/>
            </w:pPr>
            <w:r/>
            <w:r>
              <w:rPr>
                <w:rFonts w:ascii="Calibri" w:hAnsi="Calibri"/>
                <w:b w:val="0"/>
                <w:sz w:val="18"/>
              </w:rPr>
              <w:t>4</w:t>
            </w:r>
          </w:p>
        </w:tc>
      </w:tr>
      <w:tr>
        <w:tc>
          <w:tcPr>
            <w:tcW w:type="dxa" w:w="1440"/>
            <w:vAlign w:val="center"/>
          </w:tcPr>
          <w:p>
            <w:pPr>
              <w:jc w:val="left"/>
            </w:pPr>
            <w:r/>
            <w:r>
              <w:rPr>
                <w:rFonts w:ascii="Calibri" w:hAnsi="Calibri"/>
                <w:b w:val="0"/>
                <w:sz w:val="18"/>
              </w:rPr>
              <w:t>DEF-SEG-05</w:t>
            </w:r>
          </w:p>
        </w:tc>
        <w:tc>
          <w:tcPr>
            <w:tcW w:type="dxa" w:w="1944"/>
            <w:vAlign w:val="center"/>
          </w:tcPr>
          <w:p>
            <w:pPr>
              <w:jc w:val="left"/>
            </w:pPr>
            <w:r/>
            <w:r>
              <w:rPr>
                <w:rFonts w:ascii="Calibri" w:hAnsi="Calibri"/>
                <w:b w:val="0"/>
                <w:sz w:val="18"/>
              </w:rPr>
              <w:t>Seguridad</w:t>
            </w:r>
          </w:p>
        </w:tc>
        <w:tc>
          <w:tcPr>
            <w:tcW w:type="dxa" w:w="5400"/>
            <w:vAlign w:val="center"/>
          </w:tcPr>
          <w:p>
            <w:pPr>
              <w:jc w:val="left"/>
            </w:pPr>
            <w:r/>
            <w:r>
              <w:rPr>
                <w:rFonts w:ascii="Calibri" w:hAnsi="Calibri"/>
                <w:b w:val="0"/>
                <w:sz w:val="18"/>
              </w:rPr>
              <w:t>Las alertas imprimen contenido sin escape HTML, lo que puede facilitar XSS si llegan datos externos. Evidencia: views/templates/alertas.php:6-7.</w:t>
            </w:r>
          </w:p>
        </w:tc>
        <w:tc>
          <w:tcPr>
            <w:tcW w:type="dxa" w:w="648"/>
            <w:vAlign w:val="center"/>
          </w:tcPr>
          <w:p>
            <w:pPr>
              <w:jc w:val="left"/>
            </w:pPr>
            <w:r/>
            <w:r>
              <w:rPr>
                <w:rFonts w:ascii="Calibri" w:hAnsi="Calibri"/>
                <w:b w:val="0"/>
                <w:sz w:val="18"/>
              </w:rPr>
              <w:t>4</w:t>
            </w:r>
          </w:p>
        </w:tc>
      </w:tr>
      <w:tr>
        <w:tc>
          <w:tcPr>
            <w:tcW w:type="dxa" w:w="1440"/>
            <w:vAlign w:val="center"/>
          </w:tcPr>
          <w:p>
            <w:pPr>
              <w:jc w:val="left"/>
            </w:pPr>
            <w:r/>
            <w:r>
              <w:rPr>
                <w:rFonts w:ascii="Calibri" w:hAnsi="Calibri"/>
                <w:b w:val="0"/>
                <w:sz w:val="18"/>
              </w:rPr>
              <w:t>DEF-SEG-06</w:t>
            </w:r>
          </w:p>
        </w:tc>
        <w:tc>
          <w:tcPr>
            <w:tcW w:type="dxa" w:w="1944"/>
            <w:vAlign w:val="center"/>
          </w:tcPr>
          <w:p>
            <w:pPr>
              <w:jc w:val="left"/>
            </w:pPr>
            <w:r/>
            <w:r>
              <w:rPr>
                <w:rFonts w:ascii="Calibri" w:hAnsi="Calibri"/>
                <w:b w:val="0"/>
                <w:sz w:val="18"/>
              </w:rPr>
              <w:t>Mantenibilidad / Seguridad</w:t>
            </w:r>
          </w:p>
        </w:tc>
        <w:tc>
          <w:tcPr>
            <w:tcW w:type="dxa" w:w="5400"/>
            <w:vAlign w:val="center"/>
          </w:tcPr>
          <w:p>
            <w:pPr>
              <w:jc w:val="left"/>
            </w:pPr>
            <w:r/>
            <w:r>
              <w:rPr>
                <w:rFonts w:ascii="Calibri" w:hAnsi="Calibri"/>
                <w:b w:val="0"/>
                <w:sz w:val="18"/>
              </w:rPr>
              <w:t>npm audit reportó 96 vulnerabilidades en dependencias de frontend/build, incluyendo 41 de severidad alta.</w:t>
            </w:r>
          </w:p>
        </w:tc>
        <w:tc>
          <w:tcPr>
            <w:tcW w:type="dxa" w:w="648"/>
            <w:vAlign w:val="center"/>
          </w:tcPr>
          <w:p>
            <w:pPr>
              <w:jc w:val="left"/>
            </w:pPr>
            <w:r/>
            <w:r>
              <w:rPr>
                <w:rFonts w:ascii="Calibri" w:hAnsi="Calibri"/>
                <w:b w:val="0"/>
                <w:sz w:val="18"/>
              </w:rPr>
              <w:t>4</w:t>
            </w:r>
          </w:p>
        </w:tc>
      </w:tr>
    </w:tbl>
    <w:p/>
    <w:p>
      <w:pPr>
        <w:pStyle w:val="Heading1"/>
      </w:pPr>
      <w:r>
        <w:t>5. Análisis de Métricas de Calidad Estática</w:t>
      </w:r>
    </w:p>
    <w:p>
      <w:pPr>
        <w:pStyle w:val="ListBullet"/>
      </w:pPr>
      <w:r>
        <w:t>Total de defectos confirmados en el informe final: 6 defectos principales.</w:t>
      </w:r>
    </w:p>
    <w:p>
      <w:pPr>
        <w:pStyle w:val="ListBullet"/>
      </w:pPr>
      <w:r>
        <w:t>Densidad de defectos: 6 defectos / 1,705 KLOC = 3,52 defectos por KLOC.</w:t>
      </w:r>
    </w:p>
    <w:p>
      <w:pPr>
        <w:pStyle w:val="ListBullet"/>
      </w:pPr>
      <w:r>
        <w:t>Severidad: 2 defectos críticos y 4 defectos altos.</w:t>
      </w:r>
    </w:p>
    <w:p>
      <w:pPr>
        <w:pStyle w:val="ListBullet"/>
      </w:pPr>
      <w:r>
        <w:t>Categorías dominantes: control de acceso, manejo de sesión, CSRF, salida HTML, registro de usuarios y dependencias.</w:t>
      </w:r>
    </w:p>
    <w:p>
      <w:pPr>
        <w:pStyle w:val="ListBullet"/>
      </w:pPr>
      <w:r>
        <w:t>Nota del moderador: el módulo se rechaza temporalmente porque contiene defectos críticos en seguridad y funcionalidad.</w:t>
      </w:r>
    </w:p>
    <w:p>
      <w:pPr>
        <w:pStyle w:val="Heading1"/>
      </w:pPr>
      <w:r>
        <w:t>6. Cierre y Seguimiento</w:t>
      </w:r>
    </w:p>
    <w:p>
      <w:r>
        <w:t>Veredicto: el código no aprueba el pase a una fase de pruebas dinámicas o despliegue real. El sistema puede usarse como prototipo académico, pero primero deben corregirse los defectos críticos y altos.</w:t>
      </w:r>
    </w:p>
    <w:p>
      <w:r>
        <w:t>Orden de corrección: el autor debe corregir el registro de usuarios, agregar protección de rutas, regenerar la sesión después del login, incorporar CSRF, escapar las alertas y actualizar dependencias vulnerables. El moderador verificará el cierre de estos puntos antes de aprobar el artefacto.</w:t>
      </w:r>
    </w:p>
    <w:p>
      <w:r>
        <w:t>Firmas de conformidad:</w:t>
      </w:r>
    </w:p>
    <w:p>
      <w:r>
        <w:t>Moderador: ______________________________</w:t>
      </w:r>
    </w:p>
    <w:p>
      <w:r>
        <w:t>Autor: __________________________________</w:t>
      </w:r>
    </w:p>
    <w:p>
      <w:r>
        <w:br w:type="page"/>
      </w:r>
    </w:p>
    <w:p>
      <w:pPr>
        <w:jc w:val="center"/>
      </w:pPr>
      <w:r>
        <w:rPr>
          <w:b/>
          <w:color w:val="1F4D78"/>
          <w:sz w:val="36"/>
        </w:rPr>
        <w:t>WALKTHROUGH</w:t>
      </w:r>
    </w:p>
    <w:p>
      <w:pPr>
        <w:pStyle w:val="Heading1"/>
      </w:pPr>
      <w:r>
        <w:t>Encabezado de la Sesión</w:t>
      </w:r>
    </w:p>
    <w:p>
      <w:pPr>
        <w:pStyle w:val="ListBullet"/>
      </w:pPr>
      <w:r>
        <w:t>Proyecto: Sistema FitZone.</w:t>
      </w:r>
    </w:p>
    <w:p>
      <w:pPr>
        <w:pStyle w:val="ListBullet"/>
      </w:pPr>
      <w:r>
        <w:t>Artefacto revisado: repositorio app-gym-main, con énfasis en autenticación, rutas, estructura MVC y configuración.</w:t>
      </w:r>
    </w:p>
    <w:p>
      <w:pPr>
        <w:pStyle w:val="ListBullet"/>
      </w:pPr>
      <w:r>
        <w:t>Duración: 60 minutos.</w:t>
      </w:r>
    </w:p>
    <w:p>
      <w:pPr>
        <w:pStyle w:val="ListBullet"/>
      </w:pPr>
      <w:r>
        <w:t>Autor que presentó: Christopher Acosta.</w:t>
      </w:r>
    </w:p>
    <w:p>
      <w:pPr>
        <w:pStyle w:val="ListBullet"/>
      </w:pPr>
      <w:r>
        <w:t>Registrador: José Oropeza.</w:t>
      </w:r>
    </w:p>
    <w:p>
      <w:pPr>
        <w:pStyle w:val="ListBullet"/>
      </w:pPr>
      <w:r>
        <w:t>Espectadores: Melissa Nessi, Daniella Cruz y el resto del equipo de revisión.</w:t>
      </w:r>
    </w:p>
    <w:p>
      <w:pPr>
        <w:pStyle w:val="Heading1"/>
      </w:pPr>
      <w:r>
        <w:t>Resultados de la Lista de Chequeo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88"/>
            <w:vAlign w:val="center"/>
            <w:shd w:fill="1F4D78"/>
          </w:tcPr>
          <w:p>
            <w:pPr>
              <w:jc w:val="left"/>
            </w:pPr>
            <w:r/>
            <w:r>
              <w:rPr>
                <w:rFonts w:ascii="Calibri" w:hAnsi="Calibri"/>
                <w:b/>
                <w:color w:val="FFFFFF"/>
                <w:sz w:val="18"/>
              </w:rPr>
              <w:t>Ítem evaluado</w:t>
            </w:r>
          </w:p>
        </w:tc>
        <w:tc>
          <w:tcPr>
            <w:tcW w:type="dxa" w:w="1080"/>
            <w:vAlign w:val="center"/>
            <w:shd w:fill="1F4D78"/>
          </w:tcPr>
          <w:p>
            <w:pPr>
              <w:jc w:val="left"/>
            </w:pPr>
            <w:r/>
            <w:r>
              <w:rPr>
                <w:rFonts w:ascii="Calibri" w:hAnsi="Calibri"/>
                <w:b/>
                <w:color w:val="FFFFFF"/>
                <w:sz w:val="18"/>
              </w:rPr>
              <w:t>Cumple</w:t>
            </w:r>
          </w:p>
        </w:tc>
        <w:tc>
          <w:tcPr>
            <w:tcW w:type="dxa" w:w="5112"/>
            <w:vAlign w:val="center"/>
            <w:shd w:fill="1F4D78"/>
          </w:tcPr>
          <w:p>
            <w:pPr>
              <w:jc w:val="left"/>
            </w:pPr>
            <w:r/>
            <w:r>
              <w:rPr>
                <w:rFonts w:ascii="Calibri" w:hAnsi="Calibri"/>
                <w:b/>
                <w:color w:val="FFFFFF"/>
                <w:sz w:val="18"/>
              </w:rPr>
              <w:t>Observación</w:t>
            </w:r>
          </w:p>
        </w:tc>
        <w:tc>
          <w:tcPr>
            <w:tcW w:type="dxa" w:w="1080"/>
            <w:vAlign w:val="center"/>
            <w:shd w:fill="1F4D78"/>
          </w:tcPr>
          <w:p>
            <w:pPr>
              <w:jc w:val="left"/>
            </w:pPr>
            <w:r/>
            <w:r>
              <w:rPr>
                <w:rFonts w:ascii="Calibri" w:hAnsi="Calibri"/>
                <w:b/>
                <w:color w:val="FFFFFF"/>
                <w:sz w:val="18"/>
              </w:rPr>
              <w:t>Prioridad</w:t>
            </w:r>
          </w:p>
        </w:tc>
      </w:tr>
      <w:tr>
        <w:tc>
          <w:tcPr>
            <w:tcW w:type="dxa" w:w="2088"/>
            <w:vAlign w:val="center"/>
          </w:tcPr>
          <w:p>
            <w:pPr>
              <w:jc w:val="left"/>
            </w:pPr>
            <w:r/>
            <w:r>
              <w:rPr>
                <w:rFonts w:ascii="Calibri" w:hAnsi="Calibri"/>
                <w:b w:val="0"/>
                <w:sz w:val="18"/>
              </w:rPr>
              <w:t>Arquitectura general</w:t>
            </w:r>
          </w:p>
        </w:tc>
        <w:tc>
          <w:tcPr>
            <w:tcW w:type="dxa" w:w="1080"/>
            <w:vAlign w:val="center"/>
          </w:tcPr>
          <w:p>
            <w:pPr>
              <w:jc w:val="left"/>
            </w:pPr>
            <w:r/>
            <w:r>
              <w:rPr>
                <w:rFonts w:ascii="Calibri" w:hAnsi="Calibri"/>
                <w:b w:val="0"/>
                <w:sz w:val="18"/>
              </w:rPr>
              <w:t>Sí</w:t>
            </w:r>
          </w:p>
        </w:tc>
        <w:tc>
          <w:tcPr>
            <w:tcW w:type="dxa" w:w="5112"/>
            <w:vAlign w:val="center"/>
          </w:tcPr>
          <w:p>
            <w:pPr>
              <w:jc w:val="left"/>
            </w:pPr>
            <w:r/>
            <w:r>
              <w:rPr>
                <w:rFonts w:ascii="Calibri" w:hAnsi="Calibri"/>
                <w:b w:val="0"/>
                <w:sz w:val="18"/>
              </w:rPr>
              <w:t>La estructura MVC permite ubicar rutas, controladores, modelos y vistas sin demasiada dificultad.</w:t>
            </w:r>
          </w:p>
        </w:tc>
        <w:tc>
          <w:tcPr>
            <w:tcW w:type="dxa" w:w="1080"/>
            <w:vAlign w:val="center"/>
          </w:tcPr>
          <w:p>
            <w:pPr>
              <w:jc w:val="left"/>
            </w:pPr>
            <w:r/>
            <w:r>
              <w:rPr>
                <w:rFonts w:ascii="Calibri" w:hAnsi="Calibri"/>
                <w:b w:val="0"/>
                <w:sz w:val="18"/>
              </w:rPr>
              <w:t>Media</w:t>
            </w:r>
          </w:p>
        </w:tc>
      </w:tr>
      <w:tr>
        <w:tc>
          <w:tcPr>
            <w:tcW w:type="dxa" w:w="2088"/>
            <w:vAlign w:val="center"/>
          </w:tcPr>
          <w:p>
            <w:pPr>
              <w:jc w:val="left"/>
            </w:pPr>
            <w:r/>
            <w:r>
              <w:rPr>
                <w:rFonts w:ascii="Calibri" w:hAnsi="Calibri"/>
                <w:b w:val="0"/>
                <w:sz w:val="18"/>
              </w:rPr>
              <w:t>Separación de responsabilidades</w:t>
            </w:r>
          </w:p>
        </w:tc>
        <w:tc>
          <w:tcPr>
            <w:tcW w:type="dxa" w:w="1080"/>
            <w:vAlign w:val="center"/>
          </w:tcPr>
          <w:p>
            <w:pPr>
              <w:jc w:val="left"/>
            </w:pPr>
            <w:r/>
            <w:r>
              <w:rPr>
                <w:rFonts w:ascii="Calibri" w:hAnsi="Calibri"/>
                <w:b w:val="0"/>
                <w:sz w:val="18"/>
              </w:rPr>
              <w:t>No</w:t>
            </w:r>
          </w:p>
        </w:tc>
        <w:tc>
          <w:tcPr>
            <w:tcW w:type="dxa" w:w="5112"/>
            <w:vAlign w:val="center"/>
          </w:tcPr>
          <w:p>
            <w:pPr>
              <w:jc w:val="left"/>
            </w:pPr>
            <w:r/>
            <w:r>
              <w:rPr>
                <w:rFonts w:ascii="Calibri" w:hAnsi="Calibri"/>
                <w:b w:val="0"/>
                <w:sz w:val="18"/>
              </w:rPr>
              <w:t>El router inicia sesión, despacha rutas y renderiza vistas. La protección de rutas no está implementada.</w:t>
            </w:r>
          </w:p>
        </w:tc>
        <w:tc>
          <w:tcPr>
            <w:tcW w:type="dxa" w:w="1080"/>
            <w:vAlign w:val="center"/>
          </w:tcPr>
          <w:p>
            <w:pPr>
              <w:jc w:val="left"/>
            </w:pPr>
            <w:r/>
            <w:r>
              <w:rPr>
                <w:rFonts w:ascii="Calibri" w:hAnsi="Calibri"/>
                <w:b w:val="0"/>
                <w:sz w:val="18"/>
              </w:rPr>
              <w:t>Alta</w:t>
            </w:r>
          </w:p>
        </w:tc>
      </w:tr>
      <w:tr>
        <w:tc>
          <w:tcPr>
            <w:tcW w:type="dxa" w:w="2088"/>
            <w:vAlign w:val="center"/>
          </w:tcPr>
          <w:p>
            <w:pPr>
              <w:jc w:val="left"/>
            </w:pPr>
            <w:r/>
            <w:r>
              <w:rPr>
                <w:rFonts w:ascii="Calibri" w:hAnsi="Calibri"/>
                <w:b w:val="0"/>
                <w:sz w:val="18"/>
              </w:rPr>
              <w:t>Legibilidad del flujo de login</w:t>
            </w:r>
          </w:p>
        </w:tc>
        <w:tc>
          <w:tcPr>
            <w:tcW w:type="dxa" w:w="1080"/>
            <w:vAlign w:val="center"/>
          </w:tcPr>
          <w:p>
            <w:pPr>
              <w:jc w:val="left"/>
            </w:pPr>
            <w:r/>
            <w:r>
              <w:rPr>
                <w:rFonts w:ascii="Calibri" w:hAnsi="Calibri"/>
                <w:b w:val="0"/>
                <w:sz w:val="18"/>
              </w:rPr>
              <w:t>Sí</w:t>
            </w:r>
          </w:p>
        </w:tc>
        <w:tc>
          <w:tcPr>
            <w:tcW w:type="dxa" w:w="5112"/>
            <w:vAlign w:val="center"/>
          </w:tcPr>
          <w:p>
            <w:pPr>
              <w:jc w:val="left"/>
            </w:pPr>
            <w:r/>
            <w:r>
              <w:rPr>
                <w:rFonts w:ascii="Calibri" w:hAnsi="Calibri"/>
                <w:b w:val="0"/>
                <w:sz w:val="18"/>
              </w:rPr>
              <w:t>El flujo se entiende, aunque el método concentra validación, consulta, sesión y redirección.</w:t>
            </w:r>
          </w:p>
        </w:tc>
        <w:tc>
          <w:tcPr>
            <w:tcW w:type="dxa" w:w="1080"/>
            <w:vAlign w:val="center"/>
          </w:tcPr>
          <w:p>
            <w:pPr>
              <w:jc w:val="left"/>
            </w:pPr>
            <w:r/>
            <w:r>
              <w:rPr>
                <w:rFonts w:ascii="Calibri" w:hAnsi="Calibri"/>
                <w:b w:val="0"/>
                <w:sz w:val="18"/>
              </w:rPr>
              <w:t>Media</w:t>
            </w:r>
          </w:p>
        </w:tc>
      </w:tr>
      <w:tr>
        <w:tc>
          <w:tcPr>
            <w:tcW w:type="dxa" w:w="2088"/>
            <w:vAlign w:val="center"/>
          </w:tcPr>
          <w:p>
            <w:pPr>
              <w:jc w:val="left"/>
            </w:pPr>
            <w:r/>
            <w:r>
              <w:rPr>
                <w:rFonts w:ascii="Calibri" w:hAnsi="Calibri"/>
                <w:b w:val="0"/>
                <w:sz w:val="18"/>
              </w:rPr>
              <w:t>Manejo de errores</w:t>
            </w:r>
          </w:p>
        </w:tc>
        <w:tc>
          <w:tcPr>
            <w:tcW w:type="dxa" w:w="1080"/>
            <w:vAlign w:val="center"/>
          </w:tcPr>
          <w:p>
            <w:pPr>
              <w:jc w:val="left"/>
            </w:pPr>
            <w:r/>
            <w:r>
              <w:rPr>
                <w:rFonts w:ascii="Calibri" w:hAnsi="Calibri"/>
                <w:b w:val="0"/>
                <w:sz w:val="18"/>
              </w:rPr>
              <w:t>No</w:t>
            </w:r>
          </w:p>
        </w:tc>
        <w:tc>
          <w:tcPr>
            <w:tcW w:type="dxa" w:w="5112"/>
            <w:vAlign w:val="center"/>
          </w:tcPr>
          <w:p>
            <w:pPr>
              <w:jc w:val="left"/>
            </w:pPr>
            <w:r/>
            <w:r>
              <w:rPr>
                <w:rFonts w:ascii="Calibri" w:hAnsi="Calibri"/>
                <w:b w:val="0"/>
                <w:sz w:val="18"/>
              </w:rPr>
              <w:t>Los errores de base de datos y rutas inválidas se muestran de forma genérica.</w:t>
            </w:r>
          </w:p>
        </w:tc>
        <w:tc>
          <w:tcPr>
            <w:tcW w:type="dxa" w:w="1080"/>
            <w:vAlign w:val="center"/>
          </w:tcPr>
          <w:p>
            <w:pPr>
              <w:jc w:val="left"/>
            </w:pPr>
            <w:r/>
            <w:r>
              <w:rPr>
                <w:rFonts w:ascii="Calibri" w:hAnsi="Calibri"/>
                <w:b w:val="0"/>
                <w:sz w:val="18"/>
              </w:rPr>
              <w:t>Media</w:t>
            </w:r>
          </w:p>
        </w:tc>
      </w:tr>
      <w:tr>
        <w:tc>
          <w:tcPr>
            <w:tcW w:type="dxa" w:w="2088"/>
            <w:vAlign w:val="center"/>
          </w:tcPr>
          <w:p>
            <w:pPr>
              <w:jc w:val="left"/>
            </w:pPr>
            <w:r/>
            <w:r>
              <w:rPr>
                <w:rFonts w:ascii="Calibri" w:hAnsi="Calibri"/>
                <w:b w:val="0"/>
                <w:sz w:val="18"/>
              </w:rPr>
              <w:t>Testabilidad</w:t>
            </w:r>
          </w:p>
        </w:tc>
        <w:tc>
          <w:tcPr>
            <w:tcW w:type="dxa" w:w="1080"/>
            <w:vAlign w:val="center"/>
          </w:tcPr>
          <w:p>
            <w:pPr>
              <w:jc w:val="left"/>
            </w:pPr>
            <w:r/>
            <w:r>
              <w:rPr>
                <w:rFonts w:ascii="Calibri" w:hAnsi="Calibri"/>
                <w:b w:val="0"/>
                <w:sz w:val="18"/>
              </w:rPr>
              <w:t>No</w:t>
            </w:r>
          </w:p>
        </w:tc>
        <w:tc>
          <w:tcPr>
            <w:tcW w:type="dxa" w:w="5112"/>
            <w:vAlign w:val="center"/>
          </w:tcPr>
          <w:p>
            <w:pPr>
              <w:jc w:val="left"/>
            </w:pPr>
            <w:r/>
            <w:r>
              <w:rPr>
                <w:rFonts w:ascii="Calibri" w:hAnsi="Calibri"/>
                <w:b w:val="0"/>
                <w:sz w:val="18"/>
              </w:rPr>
              <w:t>No hay pruebas automatizadas para login, registro, logout o rutas protegidas.</w:t>
            </w:r>
          </w:p>
        </w:tc>
        <w:tc>
          <w:tcPr>
            <w:tcW w:type="dxa" w:w="1080"/>
            <w:vAlign w:val="center"/>
          </w:tcPr>
          <w:p>
            <w:pPr>
              <w:jc w:val="left"/>
            </w:pPr>
            <w:r/>
            <w:r>
              <w:rPr>
                <w:rFonts w:ascii="Calibri" w:hAnsi="Calibri"/>
                <w:b w:val="0"/>
                <w:sz w:val="18"/>
              </w:rPr>
              <w:t>Alta</w:t>
            </w:r>
          </w:p>
        </w:tc>
      </w:tr>
      <w:tr>
        <w:tc>
          <w:tcPr>
            <w:tcW w:type="dxa" w:w="2088"/>
            <w:vAlign w:val="center"/>
          </w:tcPr>
          <w:p>
            <w:pPr>
              <w:jc w:val="left"/>
            </w:pPr>
            <w:r/>
            <w:r>
              <w:rPr>
                <w:rFonts w:ascii="Calibri" w:hAnsi="Calibri"/>
                <w:b w:val="0"/>
                <w:sz w:val="18"/>
              </w:rPr>
              <w:t>Claridad del modelo de datos</w:t>
            </w:r>
          </w:p>
        </w:tc>
        <w:tc>
          <w:tcPr>
            <w:tcW w:type="dxa" w:w="1080"/>
            <w:vAlign w:val="center"/>
          </w:tcPr>
          <w:p>
            <w:pPr>
              <w:jc w:val="left"/>
            </w:pPr>
            <w:r/>
            <w:r>
              <w:rPr>
                <w:rFonts w:ascii="Calibri" w:hAnsi="Calibri"/>
                <w:b w:val="0"/>
                <w:sz w:val="18"/>
              </w:rPr>
              <w:t>Parcial</w:t>
            </w:r>
          </w:p>
        </w:tc>
        <w:tc>
          <w:tcPr>
            <w:tcW w:type="dxa" w:w="5112"/>
            <w:vAlign w:val="center"/>
          </w:tcPr>
          <w:p>
            <w:pPr>
              <w:jc w:val="left"/>
            </w:pPr>
            <w:r/>
            <w:r>
              <w:rPr>
                <w:rFonts w:ascii="Calibri" w:hAnsi="Calibri"/>
                <w:b w:val="0"/>
                <w:sz w:val="18"/>
              </w:rPr>
              <w:t>El código usa MongoDB, pero todavía existen archivos SQL que pueden confundir.</w:t>
            </w:r>
          </w:p>
        </w:tc>
        <w:tc>
          <w:tcPr>
            <w:tcW w:type="dxa" w:w="1080"/>
            <w:vAlign w:val="center"/>
          </w:tcPr>
          <w:p>
            <w:pPr>
              <w:jc w:val="left"/>
            </w:pPr>
            <w:r/>
            <w:r>
              <w:rPr>
                <w:rFonts w:ascii="Calibri" w:hAnsi="Calibri"/>
                <w:b w:val="0"/>
                <w:sz w:val="18"/>
              </w:rPr>
              <w:t>Media</w:t>
            </w:r>
          </w:p>
        </w:tc>
      </w:tr>
    </w:tbl>
    <w:p/>
    <w:p>
      <w:pPr>
        <w:pStyle w:val="Heading1"/>
      </w:pPr>
      <w:r>
        <w:t>Discusión y Alternativas</w:t>
      </w:r>
    </w:p>
    <w:p>
      <w:r>
        <w:t>El equipo consideró que el proyecto es entendible como prototipo. La organización por carpetas ayuda a seguir el recorrido de una petición: public/index.php define la ruta, Router.php la despacha, el controlador procesa el caso de uso y la vista presenta el resultado.</w:t>
      </w:r>
    </w:p>
    <w:p>
      <w:r>
        <w:t>La principal discusión fue sobre dónde debe vivir la seguridad de rutas. Actualmente hay comentarios que sugieren proteger rutas, pero no hay una implementación real. La alternativa acordada fue crear una capa simple de guards o middleware para diferenciar visitantes, usuarios autenticados y administradores.</w:t>
      </w:r>
    </w:p>
    <w:p>
      <w:r>
        <w:t>También se habló de reducir responsabilidades dentro de LoginController. Separar validación, autenticación, creación de sesión y redirección haría el código más fácil de probar y mantener.</w:t>
      </w:r>
    </w:p>
    <w:p>
      <w:pPr>
        <w:pStyle w:val="Heading1"/>
      </w:pPr>
      <w:r>
        <w:t>Acuerdos y Cierre</w:t>
      </w:r>
    </w:p>
    <w:p>
      <w:pPr>
        <w:pStyle w:val="ListBullet"/>
      </w:pPr>
      <w:r>
        <w:t>Corregir el registro de usuarios eliminando la llamada a sincronizar() o implementando el método de forma segura.</w:t>
      </w:r>
    </w:p>
    <w:p>
      <w:pPr>
        <w:pStyle w:val="ListBullet"/>
      </w:pPr>
      <w:r>
        <w:t>Agregar control de acceso para rutas de usuario y administrador.</w:t>
      </w:r>
    </w:p>
    <w:p>
      <w:pPr>
        <w:pStyle w:val="ListBullet"/>
      </w:pPr>
      <w:r>
        <w:t>Regenerar la sesión después de un login exitoso.</w:t>
      </w:r>
    </w:p>
    <w:p>
      <w:pPr>
        <w:pStyle w:val="ListBullet"/>
      </w:pPr>
      <w:r>
        <w:t>Agregar tokens CSRF en formularios POST.</w:t>
      </w:r>
    </w:p>
    <w:p>
      <w:pPr>
        <w:pStyle w:val="ListBullet"/>
      </w:pPr>
      <w:r>
        <w:t>Escapar las alertas antes de imprimirlas en HTML.</w:t>
      </w:r>
    </w:p>
    <w:p>
      <w:pPr>
        <w:pStyle w:val="ListBullet"/>
      </w:pPr>
      <w:r>
        <w:t>Documentar oficialmente que MongoDB/Cosmos DB es la persistencia usada, o marcar SQL como legado.</w:t>
      </w:r>
    </w:p>
    <w:p>
      <w:pPr>
        <w:pStyle w:val="ListBullet"/>
      </w:pPr>
      <w:r>
        <w:t>Agregar pruebas mínimas para autenticación y autorización.</w:t>
      </w:r>
    </w:p>
    <w:p>
      <w:r>
        <w:t>Responsable de verificación: José Oropeza.</w:t>
      </w:r>
    </w:p>
    <w:p>
      <w:r>
        <w:t>Documento de referencia: repositorio app-gym-main e informe técnico generado por la inspección.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