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Plan de Pruebas y Casos de Prueba</w:t>
      </w:r>
    </w:p>
    <w:p>
      <w:pPr>
        <w:spacing w:after="240"/>
        <w:jc w:val="center"/>
      </w:pPr>
      <w:r>
        <w:rPr>
          <w:i/>
        </w:rPr>
        <w:t>Proyecto FitZone / app-gym-main</w:t>
      </w:r>
    </w:p>
    <w:p>
      <w:pPr>
        <w:pStyle w:val="Heading1"/>
      </w:pPr>
      <w:r>
        <w:t>1. Identificación</w:t>
      </w:r>
    </w:p>
    <w:p>
      <w:r>
        <w:t>Proyecto: FitZone / app-gym-main</w:t>
      </w:r>
    </w:p>
    <w:p>
      <w:r>
        <w:t>Módulo evaluado: autenticación de usuarios</w:t>
      </w:r>
    </w:p>
    <w:p>
      <w:r>
        <w:t>Característica de calidad: Adecuación funcional</w:t>
      </w:r>
    </w:p>
    <w:p>
      <w:r>
        <w:t>Subcaracterística principal: Corrección funcional</w:t>
      </w:r>
    </w:p>
    <w:p>
      <w:r>
        <w:t>Normas de referencia: ISO/IEC 25010:2023, ISO/IEC/IEEE 29119-4, IEEE 730-2014, IEEE 1012-2024, IEEE 1061-1998</w:t>
      </w:r>
    </w:p>
    <w:p>
      <w:pPr>
        <w:pStyle w:val="Heading1"/>
      </w:pPr>
      <w:r>
        <w:t>2. Objetivo</w:t>
      </w:r>
    </w:p>
    <w:p>
      <w:r>
        <w:t>Verificar que el módulo de autenticación implemente correctamente las funciones de inicio de sesión, registro, cierre de sesión y redirección por rol, produciendo resultados correctos ante entradas válidas e inválidas.</w:t>
      </w:r>
    </w:p>
    <w:p>
      <w:pPr>
        <w:pStyle w:val="Heading1"/>
      </w:pPr>
      <w:r>
        <w:t>3. Alcance</w:t>
      </w:r>
    </w:p>
    <w:p>
      <w:r>
        <w:t>Incluye las rutas /login, /crear-cuenta y /logout, así como la redirección a /inicio-admin y /inicio-user.</w:t>
      </w:r>
    </w:p>
    <w:p>
      <w:r>
        <w:t>Se excluyen la recuperación de contraseña, la evaluación de seguridad profunda y las pruebas de rendimiento y usabilidad.</w:t>
      </w:r>
    </w:p>
    <w:p>
      <w:pPr>
        <w:pStyle w:val="Heading1"/>
      </w:pPr>
      <w:r>
        <w:t>4. Base de diseño</w:t>
      </w:r>
    </w:p>
    <w:p>
      <w:pPr>
        <w:pStyle w:val="ListBullet"/>
        <w:spacing w:after="80"/>
      </w:pPr>
      <w:r>
        <w:t>ISO/IEC 25010:2023: selección de la característica Adecuación funcional y la subcaracterística Corrección funcional.</w:t>
      </w:r>
    </w:p>
    <w:p>
      <w:pPr>
        <w:pStyle w:val="ListBullet"/>
        <w:spacing w:after="80"/>
      </w:pPr>
      <w:r>
        <w:t>ISO/IEC/IEEE 29119-4: aplicación de partición de equivalencia, valores límite y tabla de decisión.</w:t>
      </w:r>
    </w:p>
    <w:p>
      <w:pPr>
        <w:pStyle w:val="ListBullet"/>
        <w:spacing w:after="80"/>
      </w:pPr>
      <w:r>
        <w:t>IEEE 730-2014: estructura del plan de pruebas.</w:t>
      </w:r>
    </w:p>
    <w:p>
      <w:pPr>
        <w:pStyle w:val="ListBullet"/>
        <w:spacing w:after="80"/>
      </w:pPr>
      <w:r>
        <w:t>IEEE 1012-2024: distinción entre verificación y validación.</w:t>
      </w:r>
    </w:p>
    <w:p>
      <w:pPr>
        <w:pStyle w:val="ListBullet"/>
        <w:spacing w:after="80"/>
      </w:pPr>
      <w:r>
        <w:t>IEEE 1061-1998: definición de métricas de cobertura y efectividad.</w:t>
      </w:r>
    </w:p>
    <w:p>
      <w:pPr>
        <w:pStyle w:val="Heading1"/>
      </w:pPr>
      <w:r>
        <w:t>5. Ítems bajo prueba</w:t>
      </w:r>
    </w:p>
    <w:p>
      <w:pPr>
        <w:pStyle w:val="ListBullet"/>
        <w:spacing w:after="80"/>
      </w:pPr>
      <w:r>
        <w:t>public/index.php</w:t>
      </w:r>
    </w:p>
    <w:p>
      <w:pPr>
        <w:pStyle w:val="ListBullet"/>
        <w:spacing w:after="80"/>
      </w:pPr>
      <w:r>
        <w:t>controllers/LoginController.php</w:t>
      </w:r>
    </w:p>
    <w:p>
      <w:pPr>
        <w:pStyle w:val="ListBullet"/>
        <w:spacing w:after="80"/>
      </w:pPr>
      <w:r>
        <w:t>models/Usuario.php</w:t>
      </w:r>
    </w:p>
    <w:p>
      <w:pPr>
        <w:pStyle w:val="Heading1"/>
      </w:pPr>
      <w:r>
        <w:t>6. Estrategia de prueba</w:t>
      </w:r>
    </w:p>
    <w:p>
      <w:pPr>
        <w:pStyle w:val="ListBullet"/>
        <w:spacing w:after="80"/>
      </w:pPr>
      <w:r>
        <w:t>Pruebas funcionales dinámicas sobre formularios y rutas.</w:t>
      </w:r>
    </w:p>
    <w:p>
      <w:pPr>
        <w:pStyle w:val="ListBullet"/>
        <w:spacing w:after="80"/>
      </w:pPr>
      <w:r>
        <w:t>Ejecución manual o automatizada según disponibilidad del entorno.</w:t>
      </w:r>
    </w:p>
    <w:p>
      <w:pPr>
        <w:pStyle w:val="ListBullet"/>
        <w:spacing w:after="80"/>
      </w:pPr>
      <w:r>
        <w:t>Validación de mensajes, redirecciones y comportamiento esperado.</w:t>
      </w:r>
    </w:p>
    <w:p>
      <w:pPr>
        <w:pStyle w:val="Heading1"/>
      </w:pPr>
      <w:r>
        <w:t>7. Criterios de entrada</w:t>
      </w:r>
    </w:p>
    <w:p>
      <w:pPr>
        <w:pStyle w:val="ListBullet"/>
        <w:spacing w:after="80"/>
      </w:pPr>
      <w:r>
        <w:t>Aplicación desplegada y accesible.</w:t>
      </w:r>
    </w:p>
    <w:p>
      <w:pPr>
        <w:pStyle w:val="ListBullet"/>
        <w:spacing w:after="80"/>
      </w:pPr>
      <w:r>
        <w:t>Base de datos disponible.</w:t>
      </w:r>
    </w:p>
    <w:p>
      <w:pPr>
        <w:pStyle w:val="ListBullet"/>
        <w:spacing w:after="80"/>
      </w:pPr>
      <w:r>
        <w:t>Usuarios de prueba cargados.</w:t>
      </w:r>
    </w:p>
    <w:p>
      <w:pPr>
        <w:pStyle w:val="ListBullet"/>
        <w:spacing w:after="80"/>
      </w:pPr>
      <w:r>
        <w:t>Navegador o entorno de automatización listo.</w:t>
      </w:r>
    </w:p>
    <w:p>
      <w:pPr>
        <w:pStyle w:val="Heading1"/>
      </w:pPr>
      <w:r>
        <w:t>8. Criterios de salida</w:t>
      </w:r>
    </w:p>
    <w:p>
      <w:pPr>
        <w:pStyle w:val="ListBullet"/>
        <w:spacing w:after="80"/>
      </w:pPr>
      <w:r>
        <w:t>Todos los casos críticos ejecutados.</w:t>
      </w:r>
    </w:p>
    <w:p>
      <w:pPr>
        <w:pStyle w:val="ListBullet"/>
        <w:spacing w:after="80"/>
      </w:pPr>
      <w:r>
        <w:t>Resultados documentados.</w:t>
      </w:r>
    </w:p>
    <w:p>
      <w:pPr>
        <w:pStyle w:val="ListBullet"/>
        <w:spacing w:after="80"/>
      </w:pPr>
      <w:r>
        <w:t>Defectos funcionales registrados.</w:t>
      </w:r>
    </w:p>
    <w:p>
      <w:pPr>
        <w:pStyle w:val="Heading1"/>
      </w:pPr>
      <w:r>
        <w:t>9. Criterios de aceptación</w:t>
      </w:r>
    </w:p>
    <w:p>
      <w:pPr>
        <w:pStyle w:val="ListBullet"/>
        <w:spacing w:after="80"/>
      </w:pPr>
      <w:r>
        <w:t>El sistema acepta credenciales válidas.</w:t>
      </w:r>
    </w:p>
    <w:p>
      <w:pPr>
        <w:pStyle w:val="ListBullet"/>
        <w:spacing w:after="80"/>
      </w:pPr>
      <w:r>
        <w:t>El sistema rechaza entradas inválidas.</w:t>
      </w:r>
    </w:p>
    <w:p>
      <w:pPr>
        <w:pStyle w:val="ListBullet"/>
        <w:spacing w:after="80"/>
      </w:pPr>
      <w:r>
        <w:t>El registro funciona con datos válidos.</w:t>
      </w:r>
    </w:p>
    <w:p>
      <w:pPr>
        <w:pStyle w:val="ListBullet"/>
        <w:spacing w:after="80"/>
      </w:pPr>
      <w:r>
        <w:t>La contraseña corta se rechaza.</w:t>
      </w:r>
    </w:p>
    <w:p>
      <w:pPr>
        <w:pStyle w:val="ListBullet"/>
        <w:spacing w:after="80"/>
      </w:pPr>
      <w:r>
        <w:t>La redirección por rol ocurre correctamente.</w:t>
      </w:r>
    </w:p>
    <w:p>
      <w:pPr>
        <w:pStyle w:val="ListBullet"/>
        <w:spacing w:after="80"/>
      </w:pPr>
      <w:r>
        <w:t>Logout destruye la sesión y redirige correctamente.</w:t>
      </w:r>
    </w:p>
    <w:p>
      <w:pPr>
        <w:pStyle w:val="Heading1"/>
      </w:pPr>
      <w:r>
        <w:t>10. Riesgos</w:t>
      </w:r>
    </w:p>
    <w:p>
      <w:pPr>
        <w:pStyle w:val="ListBullet"/>
        <w:spacing w:after="80"/>
      </w:pPr>
      <w:r>
        <w:t>Dependencia de conexión a la base de datos.</w:t>
      </w:r>
    </w:p>
    <w:p>
      <w:pPr>
        <w:pStyle w:val="ListBullet"/>
        <w:spacing w:after="80"/>
      </w:pPr>
      <w:r>
        <w:t>Los datos de prueba pueden variar entre ejecuciones.</w:t>
      </w:r>
    </w:p>
    <w:p>
      <w:pPr>
        <w:pStyle w:val="ListBullet"/>
        <w:spacing w:after="80"/>
      </w:pPr>
      <w:r>
        <w:t>No existe suite automatizada previa en el repositorio.</w:t>
      </w:r>
    </w:p>
    <w:p>
      <w:pPr>
        <w:pStyle w:val="Heading1"/>
      </w:pPr>
      <w:r>
        <w:t>11. Métricas</w:t>
      </w:r>
    </w:p>
    <w:p>
      <w:pPr>
        <w:pStyle w:val="ListBullet"/>
        <w:spacing w:after="80"/>
      </w:pPr>
      <w:r>
        <w:t>Cobertura de casos = casos ejecutados / casos planificados.</w:t>
      </w:r>
    </w:p>
    <w:p>
      <w:pPr>
        <w:pStyle w:val="ListBullet"/>
        <w:spacing w:after="80"/>
      </w:pPr>
      <w:r>
        <w:t>Tasa de aprobación = casos aprobados / casos ejecutados.</w:t>
      </w:r>
    </w:p>
    <w:p>
      <w:pPr>
        <w:pStyle w:val="ListBullet"/>
        <w:spacing w:after="80"/>
      </w:pPr>
      <w:r>
        <w:t>Densidad de defectos = defectos encontrados / casos ejecutados.</w:t>
      </w:r>
    </w:p>
    <w:p>
      <w:pPr>
        <w:pStyle w:val="Heading1"/>
      </w:pPr>
      <w:r>
        <w:t>Casos de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440"/>
        <w:gridCol w:w="1656"/>
        <w:gridCol w:w="1440"/>
        <w:gridCol w:w="1440"/>
        <w:gridCol w:w="1728"/>
        <w:gridCol w:w="1296"/>
        <w:gridCol w:w="2376"/>
      </w:tblGrid>
      <w:tr>
        <w:trPr>
          <w:tblHeader w:val="true"/>
        </w:trPr>
        <w:tc>
          <w:tcPr>
            <w:tcW w:type="dxa" w:w="11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11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Nombre</w:t>
            </w:r>
          </w:p>
        </w:tc>
        <w:tc>
          <w:tcPr>
            <w:tcW w:type="dxa" w:w="11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Objetivo</w:t>
            </w:r>
          </w:p>
        </w:tc>
        <w:tc>
          <w:tcPr>
            <w:tcW w:type="dxa" w:w="11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Técnica</w:t>
            </w:r>
          </w:p>
        </w:tc>
        <w:tc>
          <w:tcPr>
            <w:tcW w:type="dxa" w:w="11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Precondición</w:t>
            </w:r>
          </w:p>
        </w:tc>
        <w:tc>
          <w:tcPr>
            <w:tcW w:type="dxa" w:w="11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Pasos</w:t>
            </w:r>
          </w:p>
        </w:tc>
        <w:tc>
          <w:tcPr>
            <w:tcW w:type="dxa" w:w="11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Datos</w:t>
            </w:r>
          </w:p>
        </w:tc>
        <w:tc>
          <w:tcPr>
            <w:tcW w:type="dxa" w:w="11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CP-01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Login vacío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Validar campos obligatorios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Partición de equivalencia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Aplicación disponible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1. Ir a /login</w:t>
              <w:br/>
              <w:t>2. Enviar formulario vacío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email vacío</w:t>
              <w:br/>
              <w:t>password vacía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Se muestra alerta de campos obligatorios y no se inicia sesión.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CP-02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Usuario inexistente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Rechazar usuario no registrado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Partición de equivalencia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Aplicación disponible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1. Ir a /login</w:t>
              <w:br/>
              <w:t>2. Ingresar credenciales</w:t>
              <w:br/>
              <w:t>3. Enviar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noexiste@test.com</w:t>
              <w:br/>
              <w:t>12345678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Se rechaza el acceso y se muestra mensaje de error.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CP-03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Password incorrecta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Rechazar contraseña inválida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Tabla de decisión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Usuario existente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1. Ir a /login</w:t>
              <w:br/>
              <w:t>2. Ingresar email válido</w:t>
              <w:br/>
              <w:t>3. Ingresar clave errónea</w:t>
              <w:br/>
              <w:t>4. Enviar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user@example.com</w:t>
              <w:br/>
              <w:t>claveerrada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Se rechaza el acceso y se informa error de contraseña.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CP-04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Login usuario válido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Permitir acceso a usuario normal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Tabla de decisión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Usuario de prueba cargado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1. Ir a /login</w:t>
              <w:br/>
              <w:t>2. Ingresar credenciales válidas</w:t>
              <w:br/>
              <w:t>3. Enviar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user@example.com</w:t>
              <w:br/>
              <w:t>123456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Inicia sesión y redirige a /inicio-user.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CP-05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Login admin válido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Permitir acceso a administrador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Tabla de decisión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Admin de prueba cargado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1. Ir a /login</w:t>
              <w:br/>
              <w:t>2. Ingresar credenciales válidas</w:t>
              <w:br/>
              <w:t>3. Enviar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admin@example.com</w:t>
              <w:br/>
              <w:t>123456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Inicia sesión y redirige a /inicio-admin.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CP-06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Registro vacío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Validar campos obligatorios del registro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Partición de equivalencia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Aplicación disponible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1. Ir a /crear-cuenta</w:t>
              <w:br/>
              <w:t>2. Enviar sin datos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Todos los campos vacíos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Se muestra alerta de campos obligatorios.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CP-07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Contraseña corta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Validar longitud mínima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Valor límite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Aplicación disponible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1. Ir a /crear-cuenta</w:t>
              <w:br/>
              <w:t>2. Completar formulario</w:t>
              <w:br/>
              <w:t>3. Enviar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password de 7 caracteres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Se rechaza el registro e informa mínimo de 8 caracteres.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CP-08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Correo duplicado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Evitar duplicidad de usuario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Partición de equivalencia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Existe usuario previo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1. Ir a /crear-cuenta</w:t>
              <w:br/>
              <w:t>2. Ingresar correo existente</w:t>
              <w:br/>
              <w:t>3. Enviar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user@example.com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Se rechaza el registro e informa que el usuario ya existe.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CP-09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Registro válido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Permitir creación de cuenta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Partición de equivalencia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Aplicación disponible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1. Ir a /crear-cuenta</w:t>
              <w:br/>
              <w:t>2. Completar datos válidos</w:t>
              <w:br/>
              <w:t>3. Enviar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Nombre, apellido, correo nuevo, password &gt;= 8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Se crea la cuenta y redirige a /login.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CP-10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Logout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Cerrar sesión correctamente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Prueba basada en estado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Sesión iniciada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1. Iniciar sesión</w:t>
              <w:br/>
              <w:t>2. Ir a /logout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Usuario válido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La sesión se destruye y redirige a /.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CP-11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Persistencia de sesión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Verificar continuidad tras login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Prueba basada en estado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Credenciales válidas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1. Iniciar sesión</w:t>
              <w:br/>
              <w:t>2. Navegar a pantalla inicial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Usuario/admin válido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La sesión permanece activa durante la navegación esperada.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CP-12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Rutas principales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Verificar disponibilidad funcional básica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t>Tabla de decisión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Aplicación disponible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1. Acceder a rutas principales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/</w:t>
              <w:br/>
              <w:t>/login</w:t>
              <w:br/>
              <w:t>/crear-cuenta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t>Las rutas responden sin fallo funcional.</w:t>
            </w:r>
          </w:p>
        </w:tc>
      </w:tr>
    </w:tbl>
    <w:p>
      <w:pPr>
        <w:pStyle w:val="Heading1"/>
      </w:pPr>
      <w:r>
        <w:t>Matriz de trazabilidad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5472"/>
        <w:gridCol w:w="1872"/>
      </w:tblGrid>
      <w:tr>
        <w:trPr>
          <w:tblHeader w:val="true"/>
        </w:trP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Función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Código relacionado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Casos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Login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controllers/LoginController.php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CP-01 a CP-05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Registro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controllers/LoginController.php y models/Usuario.php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CP-06 a CP-09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Logout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controllers/LoginController.php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CP-10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Redirección por rol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controllers/LoginController.php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CP-04 y CP-05</w:t>
            </w:r>
          </w:p>
        </w:tc>
      </w:tr>
    </w:tbl>
    <w:p>
      <w:pPr>
        <w:pStyle w:val="Heading1"/>
      </w:pPr>
      <w:r>
        <w:t>12. Conclusión</w:t>
      </w:r>
    </w:p>
    <w:p>
      <w:r>
        <w:t>El presente plan de pruebas permite evaluar la corrección funcional del módulo de autenticación de FitZone mediante casos observables, repetibles y alineados con normas reconocidas de calidad, prueba y verificación de software.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64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2E74B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