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FADF8" w14:textId="141E1463" w:rsidR="00A7276F" w:rsidRDefault="00A7276F" w:rsidP="00466CF1">
      <w:pPr>
        <w:jc w:val="both"/>
        <w:rPr>
          <w:b/>
          <w:bCs/>
        </w:rPr>
      </w:pPr>
      <w:r>
        <w:rPr>
          <w:b/>
          <w:bCs/>
          <w:noProof/>
        </w:rPr>
        <mc:AlternateContent>
          <mc:Choice Requires="wps">
            <w:drawing>
              <wp:anchor distT="0" distB="0" distL="114300" distR="114300" simplePos="0" relativeHeight="251659264" behindDoc="0" locked="0" layoutInCell="1" allowOverlap="1" wp14:anchorId="0B109FAF" wp14:editId="79BEB839">
                <wp:simplePos x="0" y="0"/>
                <wp:positionH relativeFrom="page">
                  <wp:align>left</wp:align>
                </wp:positionH>
                <wp:positionV relativeFrom="paragraph">
                  <wp:posOffset>-899795</wp:posOffset>
                </wp:positionV>
                <wp:extent cx="7863840" cy="914400"/>
                <wp:effectExtent l="0" t="0" r="3810" b="0"/>
                <wp:wrapNone/>
                <wp:docPr id="1040837155" name="Cuadro de texto 3"/>
                <wp:cNvGraphicFramePr/>
                <a:graphic xmlns:a="http://schemas.openxmlformats.org/drawingml/2006/main">
                  <a:graphicData uri="http://schemas.microsoft.com/office/word/2010/wordprocessingShape">
                    <wps:wsp>
                      <wps:cNvSpPr txBox="1"/>
                      <wps:spPr>
                        <a:xfrm>
                          <a:off x="0" y="0"/>
                          <a:ext cx="7863840" cy="914400"/>
                        </a:xfrm>
                        <a:prstGeom prst="rect">
                          <a:avLst/>
                        </a:prstGeom>
                        <a:solidFill>
                          <a:schemeClr val="tx2">
                            <a:lumMod val="90000"/>
                            <a:lumOff val="10000"/>
                          </a:schemeClr>
                        </a:solidFill>
                        <a:ln w="6350">
                          <a:noFill/>
                        </a:ln>
                      </wps:spPr>
                      <wps:txbx>
                        <w:txbxContent>
                          <w:p w14:paraId="1BE28F0C" w14:textId="77777777" w:rsidR="00A7276F" w:rsidRPr="00A7276F" w:rsidRDefault="00A7276F">
                            <w:pPr>
                              <w:rPr>
                                <w:color w:val="4C94D8" w:themeColor="text2" w:themeTint="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109FAF" id="_x0000_t202" coordsize="21600,21600" o:spt="202" path="m,l,21600r21600,l21600,xe">
                <v:stroke joinstyle="miter"/>
                <v:path gradientshapeok="t" o:connecttype="rect"/>
              </v:shapetype>
              <v:shape id="Cuadro de texto 3" o:spid="_x0000_s1026" type="#_x0000_t202" style="position:absolute;left:0;text-align:left;margin-left:0;margin-top:-70.85pt;width:619.2pt;height:1in;z-index:2516592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" fillcolor="#153e64 [2911]" stroked="f" strokeweight=".5pt">
                <v:textbox>
                  <w:txbxContent>
                    <w:p w14:paraId="1BE28F0C" w14:textId="77777777" w:rsidR="00A7276F" w:rsidRPr="00A7276F" w:rsidRDefault="00A7276F">
                      <w:pPr>
                        <w:rPr>
                          <w:color w:val="4C94D8" w:themeColor="text2" w:themeTint="80"/>
                        </w:rPr>
                      </w:pPr>
                    </w:p>
                  </w:txbxContent>
                </v:textbox>
                <w10:wrap anchorx="page"/>
              </v:shape>
            </w:pict>
          </mc:Fallback>
        </mc:AlternateContent>
      </w:r>
    </w:p>
    <w:p w14:paraId="5857A745" w14:textId="3A6BB723" w:rsidR="00A7276F" w:rsidRDefault="00A7276F">
      <w:pPr>
        <w:rPr>
          <w:b/>
          <w:bCs/>
        </w:rPr>
      </w:pPr>
      <w:r>
        <w:rPr>
          <w:b/>
          <w:bCs/>
          <w:noProof/>
        </w:rPr>
        <mc:AlternateContent>
          <mc:Choice Requires="wps">
            <w:drawing>
              <wp:anchor distT="0" distB="0" distL="114300" distR="114300" simplePos="0" relativeHeight="251661312" behindDoc="0" locked="0" layoutInCell="1" allowOverlap="1" wp14:anchorId="1AE2E6E3" wp14:editId="515D96B3">
                <wp:simplePos x="0" y="0"/>
                <wp:positionH relativeFrom="page">
                  <wp:align>left</wp:align>
                </wp:positionH>
                <wp:positionV relativeFrom="paragraph">
                  <wp:posOffset>7947025</wp:posOffset>
                </wp:positionV>
                <wp:extent cx="7863840" cy="914400"/>
                <wp:effectExtent l="0" t="0" r="3810" b="0"/>
                <wp:wrapNone/>
                <wp:docPr id="1240435826" name="Cuadro de texto 3"/>
                <wp:cNvGraphicFramePr/>
                <a:graphic xmlns:a="http://schemas.openxmlformats.org/drawingml/2006/main">
                  <a:graphicData uri="http://schemas.microsoft.com/office/word/2010/wordprocessingShape">
                    <wps:wsp>
                      <wps:cNvSpPr txBox="1"/>
                      <wps:spPr>
                        <a:xfrm>
                          <a:off x="0" y="0"/>
                          <a:ext cx="7863840" cy="914400"/>
                        </a:xfrm>
                        <a:prstGeom prst="rect">
                          <a:avLst/>
                        </a:prstGeom>
                        <a:solidFill>
                          <a:schemeClr val="tx2">
                            <a:lumMod val="90000"/>
                            <a:lumOff val="10000"/>
                          </a:schemeClr>
                        </a:solidFill>
                        <a:ln w="6350">
                          <a:noFill/>
                        </a:ln>
                      </wps:spPr>
                      <wps:txbx>
                        <w:txbxContent>
                          <w:p w14:paraId="09E5D75A" w14:textId="77777777" w:rsidR="00A7276F" w:rsidRPr="00A7276F" w:rsidRDefault="00A7276F" w:rsidP="00A7276F">
                            <w:pPr>
                              <w:rPr>
                                <w:color w:val="4C94D8" w:themeColor="text2" w:themeTint="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E2E6E3" id="_x0000_s1027" type="#_x0000_t202" style="position:absolute;margin-left:0;margin-top:625.75pt;width:619.2pt;height:1in;z-index:2516613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" fillcolor="#153e64 [2911]" stroked="f" strokeweight=".5pt">
                <v:textbox>
                  <w:txbxContent>
                    <w:p w14:paraId="09E5D75A" w14:textId="77777777" w:rsidR="00A7276F" w:rsidRPr="00A7276F" w:rsidRDefault="00A7276F" w:rsidP="00A7276F">
                      <w:pPr>
                        <w:rPr>
                          <w:color w:val="4C94D8" w:themeColor="text2" w:themeTint="80"/>
                        </w:rPr>
                      </w:pPr>
                    </w:p>
                  </w:txbxContent>
                </v:textbox>
                <w10:wrap anchorx="page"/>
              </v:shape>
            </w:pict>
          </mc:Fallback>
        </mc:AlternateContent>
      </w:r>
      <w:r>
        <w:rPr>
          <w:b/>
          <w:bCs/>
          <w:noProof/>
        </w:rPr>
        <mc:AlternateContent>
          <mc:Choice Requires="wps">
            <w:drawing>
              <wp:anchor distT="0" distB="0" distL="114300" distR="114300" simplePos="0" relativeHeight="251662336" behindDoc="0" locked="0" layoutInCell="1" allowOverlap="1" wp14:anchorId="496B19FE" wp14:editId="52482487">
                <wp:simplePos x="0" y="0"/>
                <wp:positionH relativeFrom="column">
                  <wp:posOffset>106408</wp:posOffset>
                </wp:positionH>
                <wp:positionV relativeFrom="paragraph">
                  <wp:posOffset>4725398</wp:posOffset>
                </wp:positionV>
                <wp:extent cx="5442857" cy="2656114"/>
                <wp:effectExtent l="0" t="0" r="5715" b="0"/>
                <wp:wrapNone/>
                <wp:docPr id="583420062" name="Cuadro de texto 4"/>
                <wp:cNvGraphicFramePr/>
                <a:graphic xmlns:a="http://schemas.openxmlformats.org/drawingml/2006/main">
                  <a:graphicData uri="http://schemas.microsoft.com/office/word/2010/wordprocessingShape">
                    <wps:wsp>
                      <wps:cNvSpPr txBox="1"/>
                      <wps:spPr>
                        <a:xfrm>
                          <a:off x="0" y="0"/>
                          <a:ext cx="5442857" cy="2656114"/>
                        </a:xfrm>
                        <a:prstGeom prst="rect">
                          <a:avLst/>
                        </a:prstGeom>
                        <a:solidFill>
                          <a:schemeClr val="lt1"/>
                        </a:solidFill>
                        <a:ln w="6350">
                          <a:noFill/>
                        </a:ln>
                      </wps:spPr>
                      <wps:txbx>
                        <w:txbxContent>
                          <w:p w14:paraId="59CD6B6D" w14:textId="1E09598A" w:rsidR="00A7276F" w:rsidRPr="00A7276F" w:rsidRDefault="00A7276F" w:rsidP="00A7276F">
                            <w:pPr>
                              <w:jc w:val="center"/>
                              <w:rPr>
                                <w:b/>
                                <w:bCs/>
                                <w:color w:val="153D63" w:themeColor="text2" w:themeTint="E6"/>
                                <w:sz w:val="48"/>
                                <w:szCs w:val="48"/>
                              </w:rPr>
                            </w:pPr>
                            <w:r w:rsidRPr="00A7276F">
                              <w:rPr>
                                <w:b/>
                                <w:bCs/>
                                <w:color w:val="153D63" w:themeColor="text2" w:themeTint="E6"/>
                                <w:sz w:val="48"/>
                                <w:szCs w:val="48"/>
                              </w:rPr>
                              <w:t>EQUIPO 1</w:t>
                            </w:r>
                          </w:p>
                          <w:p w14:paraId="516AE5AA" w14:textId="1092FF01" w:rsidR="00A7276F" w:rsidRPr="00A7276F" w:rsidRDefault="00A7276F" w:rsidP="00A7276F">
                            <w:pPr>
                              <w:jc w:val="center"/>
                              <w:rPr>
                                <w:b/>
                                <w:bCs/>
                                <w:color w:val="153D63" w:themeColor="text2" w:themeTint="E6"/>
                                <w:sz w:val="48"/>
                                <w:szCs w:val="48"/>
                              </w:rPr>
                            </w:pPr>
                            <w:r w:rsidRPr="00A7276F">
                              <w:rPr>
                                <w:b/>
                                <w:bCs/>
                                <w:color w:val="153D63" w:themeColor="text2" w:themeTint="E6"/>
                                <w:sz w:val="48"/>
                                <w:szCs w:val="48"/>
                              </w:rPr>
                              <w:t>PROYECTO 2</w:t>
                            </w:r>
                          </w:p>
                          <w:p w14:paraId="2427F9D8" w14:textId="417446B6" w:rsidR="00A7276F" w:rsidRDefault="00A7276F" w:rsidP="00A7276F">
                            <w:pPr>
                              <w:jc w:val="center"/>
                            </w:pPr>
                          </w:p>
                          <w:p w14:paraId="2A0752A4" w14:textId="77777777" w:rsidR="00A7276F" w:rsidRPr="00A7276F" w:rsidRDefault="00A7276F" w:rsidP="00A7276F">
                            <w:pPr>
                              <w:jc w:val="center"/>
                              <w:rPr>
                                <w:b/>
                                <w:bCs/>
                                <w:sz w:val="24"/>
                                <w:szCs w:val="24"/>
                              </w:rPr>
                            </w:pPr>
                            <w:r w:rsidRPr="00A7276F">
                              <w:rPr>
                                <w:b/>
                                <w:bCs/>
                                <w:sz w:val="24"/>
                                <w:szCs w:val="24"/>
                              </w:rPr>
                              <w:t>Jimena Guzmán Cacho 202039642</w:t>
                            </w:r>
                          </w:p>
                          <w:p w14:paraId="75FA28E1" w14:textId="77777777" w:rsidR="00A7276F" w:rsidRPr="00A7276F" w:rsidRDefault="00A7276F" w:rsidP="00A7276F">
                            <w:pPr>
                              <w:jc w:val="center"/>
                              <w:rPr>
                                <w:b/>
                                <w:bCs/>
                                <w:sz w:val="24"/>
                                <w:szCs w:val="24"/>
                              </w:rPr>
                            </w:pPr>
                            <w:r w:rsidRPr="00A7276F">
                              <w:rPr>
                                <w:b/>
                                <w:bCs/>
                                <w:sz w:val="24"/>
                                <w:szCs w:val="24"/>
                              </w:rPr>
                              <w:t>Citlali Yotzel Castro Zamora. 202031417</w:t>
                            </w:r>
                          </w:p>
                          <w:p w14:paraId="18FF2EA3" w14:textId="45C90E45" w:rsidR="00A7276F" w:rsidRPr="00A7276F" w:rsidRDefault="00A7276F" w:rsidP="00A7276F">
                            <w:pPr>
                              <w:jc w:val="center"/>
                              <w:rPr>
                                <w:b/>
                                <w:bCs/>
                                <w:sz w:val="24"/>
                                <w:szCs w:val="24"/>
                              </w:rPr>
                            </w:pPr>
                            <w:r w:rsidRPr="00A7276F">
                              <w:rPr>
                                <w:b/>
                                <w:bCs/>
                                <w:sz w:val="24"/>
                                <w:szCs w:val="24"/>
                              </w:rPr>
                              <w:t>Gustavo Montes Díaz</w:t>
                            </w:r>
                            <w:r>
                              <w:rPr>
                                <w:b/>
                                <w:bCs/>
                                <w:sz w:val="24"/>
                                <w:szCs w:val="24"/>
                              </w:rPr>
                              <w:t xml:space="preserve"> </w:t>
                            </w:r>
                            <w:r w:rsidRPr="00A7276F">
                              <w:rPr>
                                <w:b/>
                                <w:bCs/>
                                <w:sz w:val="24"/>
                                <w:szCs w:val="24"/>
                              </w:rPr>
                              <w:t>202071520</w:t>
                            </w:r>
                          </w:p>
                          <w:p w14:paraId="6149B957" w14:textId="10ACD01A" w:rsidR="00A7276F" w:rsidRPr="00A7276F" w:rsidRDefault="00A7276F" w:rsidP="00A7276F">
                            <w:pPr>
                              <w:jc w:val="center"/>
                              <w:rPr>
                                <w:b/>
                                <w:bCs/>
                                <w:sz w:val="24"/>
                                <w:szCs w:val="24"/>
                              </w:rPr>
                            </w:pPr>
                            <w:r w:rsidRPr="00A7276F">
                              <w:rPr>
                                <w:b/>
                                <w:bCs/>
                                <w:sz w:val="24"/>
                                <w:szCs w:val="24"/>
                              </w:rPr>
                              <w:t>Fabiola Guadalupe Cruz Castellanos 202032952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B19FE" id="Cuadro de texto 4" o:spid="_x0000_s1028" type="#_x0000_t202" style="position:absolute;margin-left:8.4pt;margin-top:372.1pt;width:428.55pt;height:209.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" fillcolor="white [3201]" stroked="f" strokeweight=".5pt">
                <v:textbox>
                  <w:txbxContent>
                    <w:p w14:paraId="59CD6B6D" w14:textId="1E09598A" w:rsidR="00A7276F" w:rsidRPr="00A7276F" w:rsidRDefault="00A7276F" w:rsidP="00A7276F">
                      <w:pPr>
                        <w:jc w:val="center"/>
                        <w:rPr>
                          <w:b/>
                          <w:bCs/>
                          <w:color w:val="153D63" w:themeColor="text2" w:themeTint="E6"/>
                          <w:sz w:val="48"/>
                          <w:szCs w:val="48"/>
                        </w:rPr>
                      </w:pPr>
                      <w:r w:rsidRPr="00A7276F">
                        <w:rPr>
                          <w:b/>
                          <w:bCs/>
                          <w:color w:val="153D63" w:themeColor="text2" w:themeTint="E6"/>
                          <w:sz w:val="48"/>
                          <w:szCs w:val="48"/>
                        </w:rPr>
                        <w:t>EQUIPO 1</w:t>
                      </w:r>
                    </w:p>
                    <w:p w14:paraId="516AE5AA" w14:textId="1092FF01" w:rsidR="00A7276F" w:rsidRPr="00A7276F" w:rsidRDefault="00A7276F" w:rsidP="00A7276F">
                      <w:pPr>
                        <w:jc w:val="center"/>
                        <w:rPr>
                          <w:b/>
                          <w:bCs/>
                          <w:color w:val="153D63" w:themeColor="text2" w:themeTint="E6"/>
                          <w:sz w:val="48"/>
                          <w:szCs w:val="48"/>
                        </w:rPr>
                      </w:pPr>
                      <w:r w:rsidRPr="00A7276F">
                        <w:rPr>
                          <w:b/>
                          <w:bCs/>
                          <w:color w:val="153D63" w:themeColor="text2" w:themeTint="E6"/>
                          <w:sz w:val="48"/>
                          <w:szCs w:val="48"/>
                        </w:rPr>
                        <w:t>PROYECTO 2</w:t>
                      </w:r>
                    </w:p>
                    <w:p w14:paraId="2427F9D8" w14:textId="417446B6" w:rsidR="00A7276F" w:rsidRDefault="00A7276F" w:rsidP="00A7276F">
                      <w:pPr>
                        <w:jc w:val="center"/>
                      </w:pPr>
                    </w:p>
                    <w:p w14:paraId="2A0752A4" w14:textId="77777777" w:rsidR="00A7276F" w:rsidRPr="00A7276F" w:rsidRDefault="00A7276F" w:rsidP="00A7276F">
                      <w:pPr>
                        <w:jc w:val="center"/>
                        <w:rPr>
                          <w:b/>
                          <w:bCs/>
                          <w:sz w:val="24"/>
                          <w:szCs w:val="24"/>
                        </w:rPr>
                      </w:pPr>
                      <w:r w:rsidRPr="00A7276F">
                        <w:rPr>
                          <w:b/>
                          <w:bCs/>
                          <w:sz w:val="24"/>
                          <w:szCs w:val="24"/>
                        </w:rPr>
                        <w:t>Jimena Guzmán Cacho 202039642</w:t>
                      </w:r>
                    </w:p>
                    <w:p w14:paraId="75FA28E1" w14:textId="77777777" w:rsidR="00A7276F" w:rsidRPr="00A7276F" w:rsidRDefault="00A7276F" w:rsidP="00A7276F">
                      <w:pPr>
                        <w:jc w:val="center"/>
                        <w:rPr>
                          <w:b/>
                          <w:bCs/>
                          <w:sz w:val="24"/>
                          <w:szCs w:val="24"/>
                        </w:rPr>
                      </w:pPr>
                      <w:r w:rsidRPr="00A7276F">
                        <w:rPr>
                          <w:b/>
                          <w:bCs/>
                          <w:sz w:val="24"/>
                          <w:szCs w:val="24"/>
                        </w:rPr>
                        <w:t>Citlali Yotzel Castro Zamora. 202031417</w:t>
                      </w:r>
                    </w:p>
                    <w:p w14:paraId="18FF2EA3" w14:textId="45C90E45" w:rsidR="00A7276F" w:rsidRPr="00A7276F" w:rsidRDefault="00A7276F" w:rsidP="00A7276F">
                      <w:pPr>
                        <w:jc w:val="center"/>
                        <w:rPr>
                          <w:b/>
                          <w:bCs/>
                          <w:sz w:val="24"/>
                          <w:szCs w:val="24"/>
                        </w:rPr>
                      </w:pPr>
                      <w:r w:rsidRPr="00A7276F">
                        <w:rPr>
                          <w:b/>
                          <w:bCs/>
                          <w:sz w:val="24"/>
                          <w:szCs w:val="24"/>
                        </w:rPr>
                        <w:t>Gustavo Montes Díaz</w:t>
                      </w:r>
                      <w:r>
                        <w:rPr>
                          <w:b/>
                          <w:bCs/>
                          <w:sz w:val="24"/>
                          <w:szCs w:val="24"/>
                        </w:rPr>
                        <w:t xml:space="preserve"> </w:t>
                      </w:r>
                      <w:r w:rsidRPr="00A7276F">
                        <w:rPr>
                          <w:b/>
                          <w:bCs/>
                          <w:sz w:val="24"/>
                          <w:szCs w:val="24"/>
                        </w:rPr>
                        <w:t>202071520</w:t>
                      </w:r>
                    </w:p>
                    <w:p w14:paraId="6149B957" w14:textId="10ACD01A" w:rsidR="00A7276F" w:rsidRPr="00A7276F" w:rsidRDefault="00A7276F" w:rsidP="00A7276F">
                      <w:pPr>
                        <w:jc w:val="center"/>
                        <w:rPr>
                          <w:b/>
                          <w:bCs/>
                          <w:sz w:val="24"/>
                          <w:szCs w:val="24"/>
                        </w:rPr>
                      </w:pPr>
                      <w:r w:rsidRPr="00A7276F">
                        <w:rPr>
                          <w:b/>
                          <w:bCs/>
                          <w:sz w:val="24"/>
                          <w:szCs w:val="24"/>
                        </w:rPr>
                        <w:t>Fabiola Guadalupe Cruz Castellanos 202032952</w:t>
                      </w:r>
                    </w:p>
                  </w:txbxContent>
                </v:textbox>
              </v:shape>
            </w:pict>
          </mc:Fallback>
        </mc:AlternateContent>
      </w:r>
      <w:r>
        <w:rPr>
          <w:b/>
          <w:bCs/>
          <w:noProof/>
        </w:rPr>
        <w:drawing>
          <wp:anchor distT="0" distB="0" distL="114300" distR="114300" simplePos="0" relativeHeight="251658240" behindDoc="0" locked="0" layoutInCell="1" allowOverlap="1" wp14:anchorId="4DEAF006" wp14:editId="0E6B3AD4">
            <wp:simplePos x="0" y="0"/>
            <wp:positionH relativeFrom="margin">
              <wp:align>center</wp:align>
            </wp:positionH>
            <wp:positionV relativeFrom="margin">
              <wp:posOffset>381000</wp:posOffset>
            </wp:positionV>
            <wp:extent cx="4236720" cy="4236720"/>
            <wp:effectExtent l="0" t="0" r="0" b="0"/>
            <wp:wrapSquare wrapText="bothSides"/>
            <wp:docPr id="2059639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36720" cy="4236720"/>
                    </a:xfrm>
                    <a:prstGeom prst="rect">
                      <a:avLst/>
                    </a:prstGeom>
                    <a:noFill/>
                  </pic:spPr>
                </pic:pic>
              </a:graphicData>
            </a:graphic>
            <wp14:sizeRelH relativeFrom="page">
              <wp14:pctWidth>0</wp14:pctWidth>
            </wp14:sizeRelH>
            <wp14:sizeRelV relativeFrom="page">
              <wp14:pctHeight>0</wp14:pctHeight>
            </wp14:sizeRelV>
          </wp:anchor>
        </w:drawing>
      </w:r>
      <w:r>
        <w:rPr>
          <w:b/>
          <w:bCs/>
        </w:rPr>
        <w:br w:type="page"/>
      </w:r>
    </w:p>
    <w:p w14:paraId="389DB941" w14:textId="3E463A6F" w:rsidR="00A7276F" w:rsidRDefault="00A7276F" w:rsidP="00466CF1">
      <w:pPr>
        <w:jc w:val="both"/>
        <w:rPr>
          <w:b/>
          <w:bCs/>
        </w:rPr>
      </w:pPr>
      <w:r>
        <w:rPr>
          <w:b/>
          <w:bCs/>
        </w:rPr>
        <w:lastRenderedPageBreak/>
        <w:t>JUSTIFICACIÓN DE VARIABLES:</w:t>
      </w:r>
    </w:p>
    <w:p w14:paraId="4811795F" w14:textId="1C31ABEF" w:rsidR="007E5040" w:rsidRPr="00EB386B" w:rsidRDefault="007E5040" w:rsidP="00466CF1">
      <w:pPr>
        <w:jc w:val="both"/>
        <w:rPr>
          <w:b/>
          <w:bCs/>
        </w:rPr>
      </w:pPr>
      <w:r w:rsidRPr="00EB386B">
        <w:rPr>
          <w:b/>
          <w:bCs/>
        </w:rPr>
        <w:t>IMORA TDC:</w:t>
      </w:r>
    </w:p>
    <w:p w14:paraId="28C598DB" w14:textId="7866E81E" w:rsidR="000C64B7" w:rsidRDefault="00EB386B" w:rsidP="00466CF1">
      <w:pPr>
        <w:jc w:val="both"/>
      </w:pPr>
      <w:r>
        <w:t>I</w:t>
      </w:r>
      <w:r w:rsidR="007E5040" w:rsidRPr="007E5040">
        <w:t xml:space="preserve">ndica el porcentaje de créditos vencidos </w:t>
      </w:r>
      <w:proofErr w:type="gramStart"/>
      <w:r w:rsidR="007E5040" w:rsidRPr="007E5040">
        <w:t>en relación al</w:t>
      </w:r>
      <w:proofErr w:type="gramEnd"/>
      <w:r w:rsidR="007E5040" w:rsidRPr="007E5040">
        <w:t xml:space="preserve"> total de tarjetas de crédito. Un aumento en este índice sugiere que más personas enfrentan dificultades para pagar sus deudas.</w:t>
      </w:r>
    </w:p>
    <w:p w14:paraId="5D314604" w14:textId="237EE4AC" w:rsidR="007E5040" w:rsidRPr="00EB386B" w:rsidRDefault="007E5040" w:rsidP="00466CF1">
      <w:pPr>
        <w:jc w:val="both"/>
        <w:rPr>
          <w:b/>
          <w:bCs/>
        </w:rPr>
      </w:pPr>
      <w:r w:rsidRPr="00EB386B">
        <w:rPr>
          <w:b/>
          <w:bCs/>
        </w:rPr>
        <w:t>INFLACIÓN:</w:t>
      </w:r>
    </w:p>
    <w:p w14:paraId="58E86A17" w14:textId="7A52132D" w:rsidR="007E5040" w:rsidRDefault="00EB386B" w:rsidP="00466CF1">
      <w:pPr>
        <w:jc w:val="both"/>
      </w:pPr>
      <w:r>
        <w:t>R</w:t>
      </w:r>
      <w:r w:rsidR="007E5040" w:rsidRPr="007E5040">
        <w:t>efleja el aumento generalizado de los precios</w:t>
      </w:r>
      <w:r>
        <w:t>, es</w:t>
      </w:r>
      <w:r w:rsidR="007E5040" w:rsidRPr="007E5040">
        <w:t>to reduce el poder adquisitivo de las personas, dificultando que puedan cumplir con sus pagos</w:t>
      </w:r>
      <w:r w:rsidR="00A913E3">
        <w:t>.</w:t>
      </w:r>
    </w:p>
    <w:p w14:paraId="152A59C6" w14:textId="39B6A9F9" w:rsidR="003C64BD" w:rsidRPr="00A913E3" w:rsidRDefault="003C64BD" w:rsidP="00466CF1">
      <w:pPr>
        <w:jc w:val="both"/>
        <w:rPr>
          <w:b/>
          <w:bCs/>
        </w:rPr>
      </w:pPr>
      <w:r w:rsidRPr="00A913E3">
        <w:rPr>
          <w:b/>
          <w:bCs/>
        </w:rPr>
        <w:t>PIB NORM</w:t>
      </w:r>
      <w:r w:rsidR="00A913E3" w:rsidRPr="00A913E3">
        <w:rPr>
          <w:b/>
          <w:bCs/>
        </w:rPr>
        <w:t>:</w:t>
      </w:r>
    </w:p>
    <w:p w14:paraId="0944BF05" w14:textId="28208CB2" w:rsidR="003C64BD" w:rsidRDefault="00A913E3" w:rsidP="00466CF1">
      <w:pPr>
        <w:jc w:val="both"/>
      </w:pPr>
      <w:r>
        <w:t>M</w:t>
      </w:r>
      <w:r w:rsidR="003C64BD" w:rsidRPr="003C64BD">
        <w:t>ide el crecimiento económico ajustado</w:t>
      </w:r>
      <w:r>
        <w:t xml:space="preserve"> por lo que u</w:t>
      </w:r>
      <w:r w:rsidR="003C64BD" w:rsidRPr="003C64BD">
        <w:t>n menor crecimiento del PIB puede reducir los ingresos y el empleo, lo que afecta la capacidad de las personas para pagar</w:t>
      </w:r>
      <w:r>
        <w:t>.</w:t>
      </w:r>
    </w:p>
    <w:p w14:paraId="5BE9B485" w14:textId="03C25A0A" w:rsidR="003C64BD" w:rsidRPr="00A913E3" w:rsidRDefault="003C64BD" w:rsidP="00466CF1">
      <w:pPr>
        <w:jc w:val="both"/>
        <w:rPr>
          <w:b/>
          <w:bCs/>
        </w:rPr>
      </w:pPr>
      <w:r w:rsidRPr="00A913E3">
        <w:rPr>
          <w:b/>
          <w:bCs/>
        </w:rPr>
        <w:t>DESEMPLEO</w:t>
      </w:r>
      <w:r w:rsidR="00A913E3" w:rsidRPr="00A913E3">
        <w:rPr>
          <w:b/>
          <w:bCs/>
        </w:rPr>
        <w:t>:</w:t>
      </w:r>
    </w:p>
    <w:p w14:paraId="6F947EAC" w14:textId="0DF29D58" w:rsidR="003C64BD" w:rsidRDefault="00A913E3" w:rsidP="00466CF1">
      <w:pPr>
        <w:jc w:val="both"/>
      </w:pPr>
      <w:r>
        <w:t>R</w:t>
      </w:r>
      <w:r w:rsidR="003C64BD" w:rsidRPr="003C64BD">
        <w:t>efleja la proporción de la población que no tiene empleo</w:t>
      </w:r>
      <w:r>
        <w:t>, u</w:t>
      </w:r>
      <w:r w:rsidR="003C64BD" w:rsidRPr="003C64BD">
        <w:t>n aumento en el desempleo reduce los ingresos de las personas</w:t>
      </w:r>
      <w:r>
        <w:t xml:space="preserve"> por lo que podría afectar sus pagos en las tarjetas de crédito.</w:t>
      </w:r>
    </w:p>
    <w:p w14:paraId="0BBAD5BC" w14:textId="2F8AE6AD" w:rsidR="003C64BD" w:rsidRPr="00A913E3" w:rsidRDefault="003C64BD" w:rsidP="00466CF1">
      <w:pPr>
        <w:jc w:val="both"/>
        <w:rPr>
          <w:b/>
          <w:bCs/>
        </w:rPr>
      </w:pPr>
      <w:r w:rsidRPr="00A913E3">
        <w:rPr>
          <w:b/>
          <w:bCs/>
        </w:rPr>
        <w:t>TIIE</w:t>
      </w:r>
      <w:r w:rsidR="00A913E3" w:rsidRPr="00A913E3">
        <w:rPr>
          <w:b/>
          <w:bCs/>
        </w:rPr>
        <w:t>:</w:t>
      </w:r>
    </w:p>
    <w:p w14:paraId="786D1E09" w14:textId="475672BF" w:rsidR="003C64BD" w:rsidRDefault="00A913E3" w:rsidP="00466CF1">
      <w:pPr>
        <w:jc w:val="both"/>
      </w:pPr>
      <w:r>
        <w:t>D</w:t>
      </w:r>
      <w:r w:rsidR="003C64BD" w:rsidRPr="003C64BD">
        <w:t xml:space="preserve">etermina el costo del crédito. Un aumento en la TIIE encarece los préstamos, lo que incrementa las cuotas de las tarjetas de crédito y dificulta el pago de </w:t>
      </w:r>
      <w:r w:rsidRPr="003C64BD">
        <w:t>estas</w:t>
      </w:r>
      <w:r w:rsidR="003C64BD" w:rsidRPr="003C64BD">
        <w:t>.</w:t>
      </w:r>
    </w:p>
    <w:p w14:paraId="0D7B73A4" w14:textId="5A7CF37C" w:rsidR="003C64BD" w:rsidRPr="00A913E3" w:rsidRDefault="003C64BD" w:rsidP="00466CF1">
      <w:pPr>
        <w:jc w:val="both"/>
        <w:rPr>
          <w:b/>
          <w:bCs/>
        </w:rPr>
      </w:pPr>
      <w:r w:rsidRPr="00A913E3">
        <w:rPr>
          <w:b/>
          <w:bCs/>
        </w:rPr>
        <w:t>DEUDA P. NORM</w:t>
      </w:r>
      <w:r w:rsidR="00A913E3" w:rsidRPr="00A913E3">
        <w:rPr>
          <w:b/>
          <w:bCs/>
        </w:rPr>
        <w:t>:</w:t>
      </w:r>
    </w:p>
    <w:p w14:paraId="5B91E99A" w14:textId="058557C0" w:rsidR="003C64BD" w:rsidRDefault="00A913E3" w:rsidP="00466CF1">
      <w:pPr>
        <w:jc w:val="both"/>
      </w:pPr>
      <w:r>
        <w:t>R</w:t>
      </w:r>
      <w:r w:rsidR="004A4E15" w:rsidRPr="004A4E15">
        <w:t>efleja el nivel de endeudamiento del gobierno</w:t>
      </w:r>
      <w:r>
        <w:t xml:space="preserve"> y el aumentarla puede </w:t>
      </w:r>
      <w:r w:rsidR="004A4E15" w:rsidRPr="004A4E15">
        <w:t>generar ajustes fiscales y económicos que afecten el ingreso disponible de los ciudadanos, complicando su capacidad de pago de tarjetas de crédito.</w:t>
      </w:r>
    </w:p>
    <w:p w14:paraId="353DDB05" w14:textId="678402D7" w:rsidR="004A4E15" w:rsidRPr="00A913E3" w:rsidRDefault="004A4E15" w:rsidP="00466CF1">
      <w:pPr>
        <w:jc w:val="both"/>
        <w:rPr>
          <w:b/>
          <w:bCs/>
        </w:rPr>
      </w:pPr>
      <w:r w:rsidRPr="00A913E3">
        <w:rPr>
          <w:b/>
          <w:bCs/>
        </w:rPr>
        <w:t>PIB LOG/100</w:t>
      </w:r>
      <w:r w:rsidR="00A913E3" w:rsidRPr="00A913E3">
        <w:rPr>
          <w:b/>
          <w:bCs/>
        </w:rPr>
        <w:t>:</w:t>
      </w:r>
    </w:p>
    <w:p w14:paraId="1E897331" w14:textId="477EDDF2" w:rsidR="004A4E15" w:rsidRDefault="00A913E3" w:rsidP="00466CF1">
      <w:pPr>
        <w:jc w:val="both"/>
      </w:pPr>
      <w:r>
        <w:t>R</w:t>
      </w:r>
      <w:r w:rsidR="004A4E15" w:rsidRPr="004A4E15">
        <w:t>epresenta el Producto Interno Bruto en términos logarítmicos ajustados. Este enfoque permite evaluar el crecimiento económico de manera más precisa. Un PIB bajo puede indicar una economía débil, lo que puede afectar la capacidad de las personas para pagar</w:t>
      </w:r>
      <w:r>
        <w:t>.</w:t>
      </w:r>
    </w:p>
    <w:p w14:paraId="79C48E39" w14:textId="5E0EF720" w:rsidR="00080B75" w:rsidRPr="00A913E3" w:rsidRDefault="00080B75" w:rsidP="00466CF1">
      <w:pPr>
        <w:jc w:val="both"/>
        <w:rPr>
          <w:b/>
          <w:bCs/>
        </w:rPr>
      </w:pPr>
      <w:r>
        <w:rPr>
          <w:b/>
          <w:bCs/>
        </w:rPr>
        <w:t>DEUDA</w:t>
      </w:r>
      <w:r w:rsidR="004A4E15" w:rsidRPr="00A913E3">
        <w:rPr>
          <w:b/>
          <w:bCs/>
        </w:rPr>
        <w:t xml:space="preserve"> P. LOG/100</w:t>
      </w:r>
      <w:r w:rsidR="00A913E3" w:rsidRPr="00A913E3">
        <w:rPr>
          <w:b/>
          <w:bCs/>
        </w:rPr>
        <w:t>:</w:t>
      </w:r>
    </w:p>
    <w:p w14:paraId="28F3F1C8" w14:textId="22D13D8E" w:rsidR="004A4E15" w:rsidRDefault="00A913E3" w:rsidP="00466CF1">
      <w:pPr>
        <w:jc w:val="both"/>
      </w:pPr>
      <w:r>
        <w:t>Representa</w:t>
      </w:r>
      <w:r w:rsidR="004A4E15" w:rsidRPr="004A4E15">
        <w:t xml:space="preserve"> el nivel de deuda pública en términos logarítmicos ajustados. Esto facilita la comparación a lo largo del tiempo. Un aumento en esta deuda puede implicar restricciones fiscales que afecten el ingreso de los ciudadanos</w:t>
      </w:r>
      <w:r>
        <w:t>.</w:t>
      </w:r>
    </w:p>
    <w:p w14:paraId="36465D99" w14:textId="77777777" w:rsidR="00080B75" w:rsidRDefault="00080B75" w:rsidP="00466CF1">
      <w:pPr>
        <w:jc w:val="both"/>
        <w:rPr>
          <w:b/>
          <w:bCs/>
        </w:rPr>
      </w:pPr>
      <w:r w:rsidRPr="00080B75">
        <w:rPr>
          <w:b/>
          <w:bCs/>
        </w:rPr>
        <w:t>ÍND. ACT. INDUSTRIAL/100:</w:t>
      </w:r>
    </w:p>
    <w:p w14:paraId="126806BA" w14:textId="3E9BBF10" w:rsidR="00080B75" w:rsidRPr="00080B75" w:rsidRDefault="00080B75" w:rsidP="00466CF1">
      <w:pPr>
        <w:jc w:val="both"/>
        <w:rPr>
          <w:b/>
          <w:bCs/>
        </w:rPr>
      </w:pPr>
      <w:r w:rsidRPr="00080B75">
        <w:t>M</w:t>
      </w:r>
      <w:r w:rsidRPr="00080B75">
        <w:t>ide el nivel de producción en sectores industriales clave. Una caída en este índice puede reflejar una desaceleración económica, lo que afecta el empleo y la capacidad de las personas para cumplir con los pagos de sus tarjetas de crédito.</w:t>
      </w:r>
    </w:p>
    <w:p w14:paraId="37F3ABA3" w14:textId="77777777" w:rsidR="00A913E3" w:rsidRDefault="00BF689F" w:rsidP="00466CF1">
      <w:pPr>
        <w:jc w:val="both"/>
        <w:rPr>
          <w:b/>
          <w:bCs/>
        </w:rPr>
      </w:pPr>
      <w:r w:rsidRPr="00A913E3">
        <w:rPr>
          <w:b/>
          <w:bCs/>
        </w:rPr>
        <w:t>INPC</w:t>
      </w:r>
      <w:r w:rsidR="00A913E3" w:rsidRPr="00A913E3">
        <w:rPr>
          <w:b/>
          <w:bCs/>
        </w:rPr>
        <w:t>:</w:t>
      </w:r>
    </w:p>
    <w:p w14:paraId="50EDE392" w14:textId="55DB860A" w:rsidR="00BF689F" w:rsidRPr="00A913E3" w:rsidRDefault="00A913E3" w:rsidP="00466CF1">
      <w:pPr>
        <w:jc w:val="both"/>
        <w:rPr>
          <w:b/>
          <w:bCs/>
        </w:rPr>
      </w:pPr>
      <w:r>
        <w:lastRenderedPageBreak/>
        <w:t>M</w:t>
      </w:r>
      <w:r w:rsidR="00BF689F" w:rsidRPr="00BF689F">
        <w:t>ide la variación en los precios de bienes y servicios que consume la población</w:t>
      </w:r>
      <w:r>
        <w:t xml:space="preserve"> y su </w:t>
      </w:r>
      <w:r w:rsidR="00BF689F" w:rsidRPr="00BF689F">
        <w:t xml:space="preserve">aumento </w:t>
      </w:r>
      <w:r>
        <w:t>indica</w:t>
      </w:r>
      <w:r w:rsidR="00BF689F" w:rsidRPr="00BF689F">
        <w:t xml:space="preserve"> un incremento en el costo de vida, lo que reduce el poder adquisitivo</w:t>
      </w:r>
      <w:r>
        <w:t>.</w:t>
      </w:r>
    </w:p>
    <w:p w14:paraId="4D856F37" w14:textId="61B20DC4" w:rsidR="00BF689F" w:rsidRPr="00A913E3" w:rsidRDefault="00BF689F" w:rsidP="00466CF1">
      <w:pPr>
        <w:jc w:val="both"/>
        <w:rPr>
          <w:b/>
          <w:bCs/>
        </w:rPr>
      </w:pPr>
      <w:r w:rsidRPr="00A913E3">
        <w:rPr>
          <w:b/>
          <w:bCs/>
        </w:rPr>
        <w:t>REMESAS</w:t>
      </w:r>
      <w:r w:rsidR="00A913E3" w:rsidRPr="00A913E3">
        <w:rPr>
          <w:b/>
          <w:bCs/>
        </w:rPr>
        <w:t>:</w:t>
      </w:r>
    </w:p>
    <w:p w14:paraId="11326B2B" w14:textId="4D57BE54" w:rsidR="00BF689F" w:rsidRDefault="00A913E3" w:rsidP="00466CF1">
      <w:pPr>
        <w:jc w:val="both"/>
      </w:pPr>
      <w:r>
        <w:t xml:space="preserve">Refleja </w:t>
      </w:r>
      <w:r w:rsidR="00BF689F" w:rsidRPr="00BF689F">
        <w:t>el flujo de dinero que envían los emigrantes a sus familias en el país</w:t>
      </w:r>
      <w:r>
        <w:t xml:space="preserve"> y su</w:t>
      </w:r>
      <w:r w:rsidR="00BF689F" w:rsidRPr="00BF689F">
        <w:t xml:space="preserve"> aumento en las remesas puede mejorar la situación financiera de los hogares</w:t>
      </w:r>
      <w:r>
        <w:t>.</w:t>
      </w:r>
    </w:p>
    <w:p w14:paraId="53EA2E8E" w14:textId="3A2D6A11" w:rsidR="00BF689F" w:rsidRPr="00A913E3" w:rsidRDefault="00BF689F" w:rsidP="00466CF1">
      <w:pPr>
        <w:jc w:val="both"/>
        <w:rPr>
          <w:b/>
          <w:bCs/>
        </w:rPr>
      </w:pPr>
      <w:r w:rsidRPr="00A913E3">
        <w:rPr>
          <w:b/>
          <w:bCs/>
        </w:rPr>
        <w:t>POBLACIÓN ECONÓMICAMENTE ACTIVA</w:t>
      </w:r>
      <w:r w:rsidR="00A913E3" w:rsidRPr="00A913E3">
        <w:rPr>
          <w:b/>
          <w:bCs/>
        </w:rPr>
        <w:t>:</w:t>
      </w:r>
    </w:p>
    <w:p w14:paraId="3E059FB2" w14:textId="501A48F7" w:rsidR="00BF689F" w:rsidRDefault="00E935FA" w:rsidP="00466CF1">
      <w:pPr>
        <w:jc w:val="both"/>
      </w:pPr>
      <w:r>
        <w:t>Mide</w:t>
      </w:r>
      <w:r w:rsidR="00BF689F" w:rsidRPr="00BF689F">
        <w:t xml:space="preserve"> la proporción de personas que están empleadas o buscan empleo. Un aumento en la PEA sugiere una mayor disponibilidad de mano de obra y potencialmente más ingresos, lo que puede influir positivamente en la capacidad de las personas para cumplir con los pagos de sus tarjetas de crédito.</w:t>
      </w:r>
    </w:p>
    <w:p w14:paraId="1E448B5D" w14:textId="1B6E1D79" w:rsidR="00BF689F" w:rsidRPr="00E935FA" w:rsidRDefault="00BF689F" w:rsidP="00466CF1">
      <w:pPr>
        <w:jc w:val="both"/>
        <w:rPr>
          <w:b/>
          <w:bCs/>
        </w:rPr>
      </w:pPr>
      <w:r w:rsidRPr="00E935FA">
        <w:rPr>
          <w:b/>
          <w:bCs/>
        </w:rPr>
        <w:t>IGAE</w:t>
      </w:r>
      <w:r w:rsidR="00E935FA" w:rsidRPr="00E935FA">
        <w:rPr>
          <w:b/>
          <w:bCs/>
        </w:rPr>
        <w:t>:</w:t>
      </w:r>
    </w:p>
    <w:p w14:paraId="488BC9DF" w14:textId="13D3740B" w:rsidR="00BF689F" w:rsidRDefault="00E935FA" w:rsidP="00466CF1">
      <w:pPr>
        <w:jc w:val="both"/>
      </w:pPr>
      <w:r>
        <w:t>M</w:t>
      </w:r>
      <w:r w:rsidR="000A3B4F" w:rsidRPr="000A3B4F">
        <w:t>ide la actividad económica en sectores clave de la economía</w:t>
      </w:r>
      <w:r>
        <w:t xml:space="preserve"> y si </w:t>
      </w:r>
      <w:r w:rsidR="000A3B4F" w:rsidRPr="000A3B4F">
        <w:t>desc</w:t>
      </w:r>
      <w:r>
        <w:t xml:space="preserve">iende puede </w:t>
      </w:r>
      <w:r w:rsidR="000A3B4F" w:rsidRPr="000A3B4F">
        <w:t>indicar una desaceleración económica, lo que podría afectar los ingresos y la capacidad de pago de las personas</w:t>
      </w:r>
      <w:r>
        <w:t>.</w:t>
      </w:r>
    </w:p>
    <w:p w14:paraId="049D70C8" w14:textId="32177F59" w:rsidR="000A3B4F" w:rsidRPr="00E935FA" w:rsidRDefault="000A3B4F" w:rsidP="00466CF1">
      <w:pPr>
        <w:jc w:val="both"/>
        <w:rPr>
          <w:b/>
          <w:bCs/>
        </w:rPr>
      </w:pPr>
      <w:r w:rsidRPr="00E935FA">
        <w:rPr>
          <w:b/>
          <w:bCs/>
        </w:rPr>
        <w:t>VAR IGAE</w:t>
      </w:r>
      <w:r w:rsidR="00E935FA" w:rsidRPr="00E935FA">
        <w:rPr>
          <w:b/>
          <w:bCs/>
        </w:rPr>
        <w:t>:</w:t>
      </w:r>
    </w:p>
    <w:p w14:paraId="2AD8D5C0" w14:textId="2DDF4DE4" w:rsidR="000A3B4F" w:rsidRDefault="00E935FA" w:rsidP="00466CF1">
      <w:pPr>
        <w:jc w:val="both"/>
      </w:pPr>
      <w:r>
        <w:t>Representa</w:t>
      </w:r>
      <w:r w:rsidR="000A3B4F" w:rsidRPr="000A3B4F">
        <w:t xml:space="preserve"> la variación porcentual del Índice Global de la Actividad Económica. Un cambio negativo en esta variable puede señalar una contracción económica</w:t>
      </w:r>
      <w:r>
        <w:t>.</w:t>
      </w:r>
    </w:p>
    <w:p w14:paraId="64A4132E" w14:textId="6ABBE6E3" w:rsidR="000A3B4F" w:rsidRPr="00E935FA" w:rsidRDefault="000A3B4F" w:rsidP="00466CF1">
      <w:pPr>
        <w:jc w:val="both"/>
        <w:rPr>
          <w:b/>
          <w:bCs/>
        </w:rPr>
      </w:pPr>
      <w:r w:rsidRPr="00E935FA">
        <w:rPr>
          <w:b/>
          <w:bCs/>
        </w:rPr>
        <w:t>ÍNDICE DE CONFIANZA AL CONSUMIDOR</w:t>
      </w:r>
      <w:r w:rsidR="00E935FA" w:rsidRPr="00E935FA">
        <w:rPr>
          <w:b/>
          <w:bCs/>
        </w:rPr>
        <w:t>:</w:t>
      </w:r>
    </w:p>
    <w:p w14:paraId="3D889123" w14:textId="51D25C2D" w:rsidR="000A3B4F" w:rsidRDefault="00E935FA" w:rsidP="00466CF1">
      <w:pPr>
        <w:jc w:val="both"/>
      </w:pPr>
      <w:r>
        <w:t>Mide</w:t>
      </w:r>
      <w:r w:rsidR="000A3B4F" w:rsidRPr="000A3B4F">
        <w:t xml:space="preserve"> la percepción de los hogares sobre la situación económica y sus </w:t>
      </w:r>
      <w:proofErr w:type="gramStart"/>
      <w:r w:rsidR="000A3B4F" w:rsidRPr="000A3B4F">
        <w:t>expectativas futuras</w:t>
      </w:r>
      <w:proofErr w:type="gramEnd"/>
      <w:r w:rsidR="000A3B4F" w:rsidRPr="000A3B4F">
        <w:t xml:space="preserve">. Un índice bajo puede reflejar incertidumbre económica, lo que puede llevar a una reducción en el </w:t>
      </w:r>
      <w:r>
        <w:t>consumo.</w:t>
      </w:r>
    </w:p>
    <w:p w14:paraId="09536324" w14:textId="0E26FC8C" w:rsidR="000A3B4F" w:rsidRPr="00E935FA" w:rsidRDefault="000A3B4F" w:rsidP="00466CF1">
      <w:pPr>
        <w:jc w:val="both"/>
        <w:rPr>
          <w:b/>
          <w:bCs/>
        </w:rPr>
      </w:pPr>
      <w:r w:rsidRPr="00E935FA">
        <w:rPr>
          <w:b/>
          <w:bCs/>
        </w:rPr>
        <w:t>IMP</w:t>
      </w:r>
      <w:r w:rsidR="00E935FA" w:rsidRPr="00E935FA">
        <w:rPr>
          <w:b/>
          <w:bCs/>
        </w:rPr>
        <w:t>:</w:t>
      </w:r>
    </w:p>
    <w:p w14:paraId="0208074A" w14:textId="1E3C7FE5" w:rsidR="000A3B4F" w:rsidRDefault="00E935FA" w:rsidP="00466CF1">
      <w:pPr>
        <w:jc w:val="both"/>
      </w:pPr>
      <w:r>
        <w:t>Mide</w:t>
      </w:r>
      <w:r w:rsidR="000A3B4F" w:rsidRPr="000A3B4F">
        <w:t xml:space="preserve"> la variación de precios a nivel de producción</w:t>
      </w:r>
      <w:r>
        <w:t xml:space="preserve"> y su </w:t>
      </w:r>
      <w:r w:rsidR="000A3B4F" w:rsidRPr="000A3B4F">
        <w:t>aumento en este índice puede indicar presiones inflacionarias en la cadena de suministro, lo que podría traducirse en mayores costos para los consumidores</w:t>
      </w:r>
      <w:r>
        <w:t>.</w:t>
      </w:r>
    </w:p>
    <w:p w14:paraId="02BA9300" w14:textId="12033E26" w:rsidR="006D48AD" w:rsidRPr="00E935FA" w:rsidRDefault="006D48AD" w:rsidP="00466CF1">
      <w:pPr>
        <w:jc w:val="both"/>
        <w:rPr>
          <w:b/>
          <w:bCs/>
        </w:rPr>
      </w:pPr>
      <w:r w:rsidRPr="00E935FA">
        <w:rPr>
          <w:b/>
          <w:bCs/>
        </w:rPr>
        <w:t>EXP (BILLONES DE DÓLARES)</w:t>
      </w:r>
      <w:r w:rsidR="00E935FA" w:rsidRPr="00E935FA">
        <w:rPr>
          <w:b/>
          <w:bCs/>
        </w:rPr>
        <w:t>:</w:t>
      </w:r>
    </w:p>
    <w:p w14:paraId="51078F32" w14:textId="09E688DE" w:rsidR="006D48AD" w:rsidRDefault="00AA6EFE" w:rsidP="00466CF1">
      <w:pPr>
        <w:jc w:val="both"/>
      </w:pPr>
      <w:r>
        <w:t xml:space="preserve">Representa </w:t>
      </w:r>
      <w:r w:rsidR="006D48AD" w:rsidRPr="006D48AD">
        <w:t>el valor de las exportaciones en la economía. Un aumento en las exportaciones puede indicar un crecimiento económico robusto, lo que puede mejorar los ingresos de los hogares</w:t>
      </w:r>
      <w:r>
        <w:t>.</w:t>
      </w:r>
    </w:p>
    <w:p w14:paraId="2EE0AD9B" w14:textId="77777777" w:rsidR="00AA6EFE" w:rsidRDefault="00EB386B" w:rsidP="00466CF1">
      <w:pPr>
        <w:jc w:val="both"/>
        <w:rPr>
          <w:b/>
          <w:bCs/>
        </w:rPr>
      </w:pPr>
      <w:r w:rsidRPr="00AA6EFE">
        <w:rPr>
          <w:b/>
          <w:bCs/>
        </w:rPr>
        <w:t>TIPO DE CAMBIO VS DÓLAR</w:t>
      </w:r>
      <w:r w:rsidR="00AA6EFE" w:rsidRPr="00AA6EFE">
        <w:rPr>
          <w:b/>
          <w:bCs/>
        </w:rPr>
        <w:t>:</w:t>
      </w:r>
    </w:p>
    <w:p w14:paraId="2B2BDDAA" w14:textId="4AC769D0" w:rsidR="00EB386B" w:rsidRPr="00AA6EFE" w:rsidRDefault="00AA6EFE" w:rsidP="00466CF1">
      <w:pPr>
        <w:jc w:val="both"/>
        <w:rPr>
          <w:b/>
          <w:bCs/>
        </w:rPr>
      </w:pPr>
      <w:r>
        <w:t>R</w:t>
      </w:r>
      <w:r w:rsidR="00EB386B" w:rsidRPr="00EB386B">
        <w:t xml:space="preserve">efleja la relación entre la moneda local y el dólar estadounidense. Un tipo de cambio elevado puede encarecer los productos importados, afectando el costo de vida </w:t>
      </w:r>
      <w:r>
        <w:t>de las personas en México.</w:t>
      </w:r>
    </w:p>
    <w:p w14:paraId="0F1C1CCD" w14:textId="5F3324C8" w:rsidR="00EB386B" w:rsidRPr="00AA6EFE" w:rsidRDefault="00EB386B" w:rsidP="00466CF1">
      <w:pPr>
        <w:jc w:val="both"/>
        <w:rPr>
          <w:b/>
          <w:bCs/>
        </w:rPr>
      </w:pPr>
      <w:r w:rsidRPr="00AA6EFE">
        <w:rPr>
          <w:b/>
          <w:bCs/>
        </w:rPr>
        <w:t>CONSUMO PRIVADO</w:t>
      </w:r>
      <w:r w:rsidR="00AA6EFE" w:rsidRPr="00AA6EFE">
        <w:rPr>
          <w:b/>
          <w:bCs/>
        </w:rPr>
        <w:t>:</w:t>
      </w:r>
    </w:p>
    <w:p w14:paraId="44CC0DAF" w14:textId="55EA4060" w:rsidR="00EB386B" w:rsidRDefault="00AA6EFE" w:rsidP="00466CF1">
      <w:pPr>
        <w:jc w:val="both"/>
      </w:pPr>
      <w:r>
        <w:lastRenderedPageBreak/>
        <w:t>Mide</w:t>
      </w:r>
      <w:r w:rsidR="00EB386B" w:rsidRPr="00EB386B">
        <w:t xml:space="preserve"> el gasto de los hogares en bienes y servicios. Un aumento en el consumo privado generalmente indica confianza en la economía y mayores ingresos, lo que puede facilitar el cumplimiento de los pagos de tarjetas de crédito.</w:t>
      </w:r>
    </w:p>
    <w:p w14:paraId="2C139672" w14:textId="77777777" w:rsidR="00AA6EFE" w:rsidRDefault="00EB386B" w:rsidP="00466CF1">
      <w:pPr>
        <w:jc w:val="both"/>
        <w:rPr>
          <w:b/>
          <w:bCs/>
        </w:rPr>
      </w:pPr>
      <w:r w:rsidRPr="00AA6EFE">
        <w:rPr>
          <w:b/>
          <w:bCs/>
        </w:rPr>
        <w:t>CETES (%)</w:t>
      </w:r>
      <w:r w:rsidR="00AA6EFE" w:rsidRPr="00AA6EFE">
        <w:rPr>
          <w:b/>
          <w:bCs/>
        </w:rPr>
        <w:t>:</w:t>
      </w:r>
    </w:p>
    <w:p w14:paraId="2A708B1D" w14:textId="615E6E74" w:rsidR="00EB386B" w:rsidRPr="00AA6EFE" w:rsidRDefault="00AA6EFE" w:rsidP="00466CF1">
      <w:pPr>
        <w:jc w:val="both"/>
        <w:rPr>
          <w:b/>
          <w:bCs/>
        </w:rPr>
      </w:pPr>
      <w:r>
        <w:t>R</w:t>
      </w:r>
      <w:r w:rsidR="00EB386B" w:rsidRPr="00EB386B">
        <w:t>epresenta la tasa de rendimiento de los Certificados de la Tesorería. Un aumento en estas tasas puede hacer que los ahorradores prefieran invertir en instrumentos seguros en lugar de gastar</w:t>
      </w:r>
      <w:r>
        <w:t>.</w:t>
      </w:r>
    </w:p>
    <w:p w14:paraId="56E1724A" w14:textId="7EC04FB9" w:rsidR="00EB386B" w:rsidRPr="00AA6EFE" w:rsidRDefault="00EB386B" w:rsidP="00466CF1">
      <w:pPr>
        <w:jc w:val="both"/>
        <w:rPr>
          <w:b/>
          <w:bCs/>
        </w:rPr>
      </w:pPr>
      <w:r w:rsidRPr="00AA6EFE">
        <w:rPr>
          <w:b/>
          <w:bCs/>
        </w:rPr>
        <w:t>IGREMSE</w:t>
      </w:r>
      <w:r w:rsidR="00AA6EFE" w:rsidRPr="00AA6EFE">
        <w:rPr>
          <w:b/>
          <w:bCs/>
        </w:rPr>
        <w:t>:</w:t>
      </w:r>
    </w:p>
    <w:p w14:paraId="47013414" w14:textId="0039E8CD" w:rsidR="00EB386B" w:rsidRDefault="00AA6EFE" w:rsidP="00466CF1">
      <w:pPr>
        <w:jc w:val="both"/>
      </w:pPr>
      <w:r>
        <w:t xml:space="preserve">Mide </w:t>
      </w:r>
      <w:r w:rsidR="00EB386B" w:rsidRPr="00EB386B">
        <w:t>el desempeño de los servicios esenciales en la economía. Un aumento en este índice puede reflejar un crecimiento en la oferta de servicios básicos, lo que puede mejorar la situación financiera de los hogares y facilitar el pago</w:t>
      </w:r>
      <w:r>
        <w:t>.</w:t>
      </w:r>
    </w:p>
    <w:p w14:paraId="125BF515" w14:textId="1CA8F3C0" w:rsidR="00EB386B" w:rsidRPr="00AA6EFE" w:rsidRDefault="00AA6EFE" w:rsidP="00466CF1">
      <w:pPr>
        <w:jc w:val="both"/>
        <w:rPr>
          <w:b/>
          <w:bCs/>
        </w:rPr>
      </w:pPr>
      <w:r w:rsidRPr="00AA6EFE">
        <w:rPr>
          <w:b/>
          <w:bCs/>
        </w:rPr>
        <w:t>REMUNERACIONS DE EMPRESAS CONSTRUCTORAS:</w:t>
      </w:r>
    </w:p>
    <w:p w14:paraId="0115AD6E" w14:textId="69D98BB9" w:rsidR="00EB386B" w:rsidRDefault="00466CF1" w:rsidP="00466CF1">
      <w:pPr>
        <w:jc w:val="both"/>
      </w:pPr>
      <w:r>
        <w:t xml:space="preserve">Mide </w:t>
      </w:r>
      <w:r w:rsidR="00EB386B" w:rsidRPr="00EB386B">
        <w:t>los ingresos de los trabajadores en el sector de la construcción. Un aumento en estas remuneraciones puede indicar un crecimiento en la actividad económica y un mayor ingreso disponible</w:t>
      </w:r>
      <w:r>
        <w:t>.</w:t>
      </w:r>
    </w:p>
    <w:p w14:paraId="70242D51" w14:textId="654836E1" w:rsidR="00466CF1" w:rsidRPr="00466CF1" w:rsidRDefault="00466CF1" w:rsidP="00466CF1">
      <w:pPr>
        <w:jc w:val="both"/>
        <w:rPr>
          <w:b/>
          <w:bCs/>
        </w:rPr>
      </w:pPr>
      <w:r w:rsidRPr="00466CF1">
        <w:rPr>
          <w:b/>
          <w:bCs/>
        </w:rPr>
        <w:t>IMFBCF</w:t>
      </w:r>
      <w:r>
        <w:rPr>
          <w:b/>
          <w:bCs/>
        </w:rPr>
        <w:t>:</w:t>
      </w:r>
    </w:p>
    <w:p w14:paraId="7E9B31F6" w14:textId="1ABC97A3" w:rsidR="00466CF1" w:rsidRDefault="00466CF1" w:rsidP="00466CF1">
      <w:pPr>
        <w:jc w:val="both"/>
      </w:pPr>
      <w:r>
        <w:t>M</w:t>
      </w:r>
      <w:r w:rsidRPr="00466CF1">
        <w:t>ide la inversión en bienes duraderos y proyectos de infraestructura</w:t>
      </w:r>
      <w:r>
        <w:t xml:space="preserve"> y el que aumente </w:t>
      </w:r>
      <w:r w:rsidRPr="00466CF1">
        <w:t>este índice sugiere crecimiento económico y creación de empleos</w:t>
      </w:r>
      <w:r>
        <w:t>.</w:t>
      </w:r>
    </w:p>
    <w:p w14:paraId="5F362CD9" w14:textId="1E6E41CA" w:rsidR="00466CF1" w:rsidRDefault="00466CF1" w:rsidP="00466CF1">
      <w:pPr>
        <w:jc w:val="both"/>
        <w:rPr>
          <w:b/>
          <w:bCs/>
        </w:rPr>
      </w:pPr>
      <w:r w:rsidRPr="00466CF1">
        <w:rPr>
          <w:b/>
          <w:bCs/>
        </w:rPr>
        <w:t>UDIS:</w:t>
      </w:r>
    </w:p>
    <w:p w14:paraId="23BAAF83" w14:textId="61FE2107" w:rsidR="00466CF1" w:rsidRDefault="00466CF1" w:rsidP="00466CF1">
      <w:pPr>
        <w:jc w:val="both"/>
      </w:pPr>
      <w:r w:rsidRPr="00466CF1">
        <w:t>S</w:t>
      </w:r>
      <w:r w:rsidRPr="00466CF1">
        <w:t>u valor se ajusta con base en la inflación. Un aumento en las UDIS puede encarecer el costo de créditos denominados en esta unidad, lo que incrementa las cuotas a pagar y dificulta el cumplimiento de los pagos de tarjetas de crédito.</w:t>
      </w:r>
    </w:p>
    <w:p w14:paraId="7B25AFA6" w14:textId="7603C6ED" w:rsidR="00BC2849" w:rsidRPr="00BC2849" w:rsidRDefault="00BC2849" w:rsidP="00466CF1">
      <w:pPr>
        <w:jc w:val="both"/>
        <w:rPr>
          <w:b/>
          <w:bCs/>
        </w:rPr>
      </w:pPr>
      <w:r w:rsidRPr="00BC2849">
        <w:rPr>
          <w:b/>
          <w:bCs/>
        </w:rPr>
        <w:t>TASA OBJETIVO:</w:t>
      </w:r>
    </w:p>
    <w:p w14:paraId="57AC1160" w14:textId="484DB76B" w:rsidR="00BC2849" w:rsidRPr="00466CF1" w:rsidRDefault="00BC2849" w:rsidP="00466CF1">
      <w:pPr>
        <w:jc w:val="both"/>
      </w:pPr>
      <w:r>
        <w:t>Es</w:t>
      </w:r>
      <w:r w:rsidRPr="00BC2849">
        <w:t xml:space="preserve"> la tasa de interés de referencia del banco central, que influye en el costo del crédito en toda la economía. Un aumento en esta tasa encarece los préstamos, incluidas las tarjetas de crédito, dificultando el cumplimiento de los pagos por parte de los consumidores.</w:t>
      </w:r>
    </w:p>
    <w:p w14:paraId="7DE5C3FD" w14:textId="77777777" w:rsidR="000A3B4F" w:rsidRDefault="000A3B4F" w:rsidP="00466CF1">
      <w:pPr>
        <w:jc w:val="both"/>
      </w:pPr>
    </w:p>
    <w:p w14:paraId="7D3DF8D5" w14:textId="77777777" w:rsidR="00BF689F" w:rsidRDefault="00BF689F" w:rsidP="00466CF1">
      <w:pPr>
        <w:jc w:val="both"/>
      </w:pPr>
    </w:p>
    <w:p w14:paraId="386B82A5" w14:textId="2ECC8785" w:rsidR="003C64BD" w:rsidRDefault="003C64BD" w:rsidP="00466CF1">
      <w:pPr>
        <w:jc w:val="both"/>
      </w:pPr>
    </w:p>
    <w:sectPr w:rsidR="003C64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40"/>
    <w:rsid w:val="00030062"/>
    <w:rsid w:val="00080B75"/>
    <w:rsid w:val="000A3B4F"/>
    <w:rsid w:val="000C64B7"/>
    <w:rsid w:val="003C64BD"/>
    <w:rsid w:val="00466CF1"/>
    <w:rsid w:val="004A4E15"/>
    <w:rsid w:val="006D48AD"/>
    <w:rsid w:val="007E5040"/>
    <w:rsid w:val="00A7276F"/>
    <w:rsid w:val="00A913E3"/>
    <w:rsid w:val="00AA6EFE"/>
    <w:rsid w:val="00B70BFF"/>
    <w:rsid w:val="00BC2849"/>
    <w:rsid w:val="00BF689F"/>
    <w:rsid w:val="00D61963"/>
    <w:rsid w:val="00E935FA"/>
    <w:rsid w:val="00EB38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431C"/>
  <w15:chartTrackingRefBased/>
  <w15:docId w15:val="{C3EF477A-AD6B-4C60-8942-4414C427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5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5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50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50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50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50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50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50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50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0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50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50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50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50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50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50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50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5040"/>
    <w:rPr>
      <w:rFonts w:eastAsiaTheme="majorEastAsia" w:cstheme="majorBidi"/>
      <w:color w:val="272727" w:themeColor="text1" w:themeTint="D8"/>
    </w:rPr>
  </w:style>
  <w:style w:type="paragraph" w:styleId="Ttulo">
    <w:name w:val="Title"/>
    <w:basedOn w:val="Normal"/>
    <w:next w:val="Normal"/>
    <w:link w:val="TtuloCar"/>
    <w:uiPriority w:val="10"/>
    <w:qFormat/>
    <w:rsid w:val="007E5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50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50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50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5040"/>
    <w:pPr>
      <w:spacing w:before="160"/>
      <w:jc w:val="center"/>
    </w:pPr>
    <w:rPr>
      <w:i/>
      <w:iCs/>
      <w:color w:val="404040" w:themeColor="text1" w:themeTint="BF"/>
    </w:rPr>
  </w:style>
  <w:style w:type="character" w:customStyle="1" w:styleId="CitaCar">
    <w:name w:val="Cita Car"/>
    <w:basedOn w:val="Fuentedeprrafopredeter"/>
    <w:link w:val="Cita"/>
    <w:uiPriority w:val="29"/>
    <w:rsid w:val="007E5040"/>
    <w:rPr>
      <w:i/>
      <w:iCs/>
      <w:color w:val="404040" w:themeColor="text1" w:themeTint="BF"/>
    </w:rPr>
  </w:style>
  <w:style w:type="paragraph" w:styleId="Prrafodelista">
    <w:name w:val="List Paragraph"/>
    <w:basedOn w:val="Normal"/>
    <w:uiPriority w:val="34"/>
    <w:qFormat/>
    <w:rsid w:val="007E5040"/>
    <w:pPr>
      <w:ind w:left="720"/>
      <w:contextualSpacing/>
    </w:pPr>
  </w:style>
  <w:style w:type="character" w:styleId="nfasisintenso">
    <w:name w:val="Intense Emphasis"/>
    <w:basedOn w:val="Fuentedeprrafopredeter"/>
    <w:uiPriority w:val="21"/>
    <w:qFormat/>
    <w:rsid w:val="007E5040"/>
    <w:rPr>
      <w:i/>
      <w:iCs/>
      <w:color w:val="0F4761" w:themeColor="accent1" w:themeShade="BF"/>
    </w:rPr>
  </w:style>
  <w:style w:type="paragraph" w:styleId="Citadestacada">
    <w:name w:val="Intense Quote"/>
    <w:basedOn w:val="Normal"/>
    <w:next w:val="Normal"/>
    <w:link w:val="CitadestacadaCar"/>
    <w:uiPriority w:val="30"/>
    <w:qFormat/>
    <w:rsid w:val="007E5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5040"/>
    <w:rPr>
      <w:i/>
      <w:iCs/>
      <w:color w:val="0F4761" w:themeColor="accent1" w:themeShade="BF"/>
    </w:rPr>
  </w:style>
  <w:style w:type="character" w:styleId="Referenciaintensa">
    <w:name w:val="Intense Reference"/>
    <w:basedOn w:val="Fuentedeprrafopredeter"/>
    <w:uiPriority w:val="32"/>
    <w:qFormat/>
    <w:rsid w:val="007E5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4</Pages>
  <Words>843</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Cruz Castellanos</dc:creator>
  <cp:keywords/>
  <dc:description/>
  <cp:lastModifiedBy>Fabiola Cruz Castellanos</cp:lastModifiedBy>
  <cp:revision>1</cp:revision>
  <dcterms:created xsi:type="dcterms:W3CDTF">2024-10-13T21:20:00Z</dcterms:created>
  <dcterms:modified xsi:type="dcterms:W3CDTF">2024-10-14T03:01:00Z</dcterms:modified>
</cp:coreProperties>
</file>