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autoSpaceDE/>
        <w:autoSpaceDN/>
        <w:widowControl/>
        <w:wordWrap/>
        <w:spacing w:after="0" w:line="240" w:lineRule="auto"/>
        <w:rPr>
          <w:rFonts w:eastAsiaTheme="minorHAnsi" w:cs="굴림"/>
          <w:b/>
          <w:sz w:val="16"/>
          <w:szCs w:val="16"/>
          <w:kern w:val="0"/>
        </w:rPr>
      </w:pPr>
      <w:r>
        <w:rPr>
          <w:rFonts w:eastAsiaTheme="minorHAnsi" w:cs="굴림"/>
          <w:b/>
          <w:sz w:val="22"/>
          <w:szCs w:val="16"/>
          <w:kern w:val="0"/>
        </w:rPr>
        <w:t xml:space="preserve">Solve </w:t>
      </w:r>
      <w:r>
        <w:rPr>
          <w:rFonts w:eastAsiaTheme="minorHAnsi" w:cs="굴림"/>
          <w:b/>
          <w:sz w:val="22"/>
          <w:szCs w:val="16"/>
          <w:kern w:val="0"/>
        </w:rPr>
        <w:t>l</w:t>
      </w:r>
      <w:r>
        <w:rPr>
          <w:rFonts w:eastAsiaTheme="minorHAnsi" w:cs="굴림"/>
          <w:b/>
          <w:sz w:val="22"/>
          <w:szCs w:val="16"/>
          <w:kern w:val="0"/>
        </w:rPr>
        <w:t>ack</w:t>
      </w:r>
      <w:r>
        <w:rPr>
          <w:rFonts w:eastAsiaTheme="minorHAnsi" w:cs="굴림"/>
          <w:b/>
          <w:sz w:val="22"/>
          <w:szCs w:val="16"/>
          <w:kern w:val="0"/>
        </w:rPr>
        <w:t xml:space="preserve"> of </w:t>
      </w:r>
      <w:r>
        <w:rPr>
          <w:rFonts w:eastAsiaTheme="minorHAnsi" w:cs="굴림"/>
          <w:b/>
          <w:sz w:val="22"/>
          <w:szCs w:val="16"/>
          <w:kern w:val="0"/>
        </w:rPr>
        <w:t>label :</w:t>
      </w:r>
      <w:r>
        <w:rPr>
          <w:rFonts w:eastAsiaTheme="minorHAnsi" w:cs="굴림"/>
          <w:b/>
          <w:sz w:val="22"/>
          <w:szCs w:val="16"/>
          <w:kern w:val="0"/>
        </w:rPr>
        <w:t xml:space="preserve"> Partial classification by geometric attribute </w:t>
      </w:r>
      <w:r>
        <w:rPr>
          <w:rFonts w:eastAsiaTheme="minorHAnsi" w:cs="굴림"/>
          <w:b/>
          <w:sz w:val="22"/>
          <w:szCs w:val="16"/>
          <w:kern w:val="0"/>
        </w:rPr>
        <w:t>of</w:t>
      </w:r>
      <w:r>
        <w:rPr>
          <w:rFonts w:eastAsiaTheme="minorHAnsi" w:cs="굴림"/>
          <w:b/>
          <w:sz w:val="22"/>
          <w:szCs w:val="16"/>
          <w:kern w:val="0"/>
        </w:rPr>
        <w:t xml:space="preserve"> coreset selection</w:t>
      </w:r>
    </w:p>
    <w:p>
      <w:pPr>
        <w:ind w:firstLineChars="100" w:firstLine="200"/>
        <w:autoSpaceDE/>
        <w:autoSpaceDN/>
        <w:widowControl/>
        <w:wordWrap/>
        <w:jc w:val="right"/>
        <w:spacing w:after="0" w:line="240" w:lineRule="auto"/>
        <w:rPr>
          <w:rFonts w:eastAsiaTheme="minorHAnsi" w:cs="굴림"/>
          <w:szCs w:val="20"/>
          <w:kern w:val="0"/>
        </w:rPr>
      </w:pPr>
      <w:r>
        <w:rPr>
          <w:rFonts w:eastAsiaTheme="minorHAnsi" w:cs="굴림"/>
          <w:szCs w:val="20"/>
          <w:kern w:val="0"/>
        </w:rPr>
        <w:t xml:space="preserve">GSDS 석사과정 20224314 </w:t>
      </w:r>
    </w:p>
    <w:p>
      <w:pPr>
        <w:ind w:firstLineChars="100" w:firstLine="200"/>
        <w:autoSpaceDE/>
        <w:autoSpaceDN/>
        <w:widowControl/>
        <w:wordWrap/>
        <w:jc w:val="right"/>
        <w:spacing w:after="0" w:line="240" w:lineRule="auto"/>
        <w:rPr>
          <w:rFonts w:eastAsiaTheme="minorHAnsi" w:cs="굴림"/>
          <w:szCs w:val="20"/>
          <w:kern w:val="0"/>
        </w:rPr>
      </w:pPr>
      <w:r>
        <w:rPr>
          <w:rFonts w:eastAsiaTheme="minorHAnsi" w:cs="굴림"/>
          <w:szCs w:val="20"/>
          <w:kern w:val="0"/>
        </w:rPr>
        <w:t>강현구</w:t>
      </w:r>
    </w:p>
    <w:p>
      <w:pPr>
        <w:ind w:firstLineChars="100" w:firstLine="200"/>
        <w:autoSpaceDE/>
        <w:autoSpaceDN/>
        <w:widowControl/>
        <w:wordWrap/>
        <w:jc w:val="left"/>
        <w:spacing w:after="0" w:line="240" w:lineRule="auto"/>
        <w:rPr>
          <w:rFonts w:eastAsiaTheme="minorHAnsi" w:cs="굴림"/>
          <w:szCs w:val="20"/>
          <w:kern w:val="0"/>
        </w:rPr>
      </w:pPr>
    </w:p>
    <w:p>
      <w:pPr>
        <w:pStyle w:val="a5"/>
        <w:ind w:leftChars="0"/>
        <w:autoSpaceDE/>
        <w:autoSpaceDN/>
        <w:widowControl/>
        <w:wordWrap/>
        <w:jc w:val="left"/>
        <w:numPr>
          <w:ilvl w:val="0"/>
          <w:numId w:val="1"/>
        </w:numPr>
        <w:spacing w:after="0" w:line="240" w:lineRule="auto"/>
        <w:rPr>
          <w:rFonts w:eastAsiaTheme="minorHAnsi" w:cs="굴림"/>
          <w:b/>
          <w:bCs/>
          <w:sz w:val="24"/>
          <w:szCs w:val="24"/>
          <w:kern w:val="0"/>
        </w:rPr>
      </w:pPr>
      <w:r>
        <w:rPr>
          <w:rFonts w:eastAsiaTheme="minorHAnsi" w:cs="굴림"/>
          <w:b/>
          <w:bCs/>
          <w:sz w:val="24"/>
          <w:szCs w:val="24"/>
          <w:kern w:val="0"/>
        </w:rPr>
        <w:t>Abstract</w:t>
      </w:r>
    </w:p>
    <w:p>
      <w:pPr>
        <w:ind w:firstLineChars="100" w:firstLine="200"/>
        <w:autoSpaceDE/>
        <w:autoSpaceDN/>
        <w:widowControl/>
        <w:wordWrap/>
        <w:rPr>
          <w:rFonts w:eastAsiaTheme="minorHAnsi" w:cs="굴림"/>
          <w:szCs w:val="20"/>
          <w:kern w:val="0"/>
        </w:rPr>
      </w:pPr>
      <w:r>
        <w:rPr>
          <w:rFonts w:eastAsiaTheme="minorHAnsi" w:cs="굴림"/>
          <w:szCs w:val="20"/>
          <w:kern w:val="0"/>
        </w:rPr>
        <w:t>T</w:t>
      </w:r>
      <w:r>
        <w:rPr>
          <w:rFonts w:eastAsiaTheme="minorHAnsi" w:cs="굴림"/>
          <w:szCs w:val="20"/>
          <w:kern w:val="0"/>
        </w:rPr>
        <w:t xml:space="preserve">he performance of the neural network model cannot be guaranteed if label data is insufficient. </w:t>
      </w:r>
      <w:r>
        <w:rPr>
          <w:rFonts w:eastAsiaTheme="minorHAnsi" w:cs="굴림"/>
          <w:szCs w:val="20"/>
          <w:kern w:val="0"/>
        </w:rPr>
        <w:t>There are</w:t>
      </w:r>
      <w:r>
        <w:rPr>
          <w:rFonts w:eastAsiaTheme="minorHAnsi" w:cs="굴림"/>
          <w:szCs w:val="20"/>
          <w:kern w:val="0"/>
        </w:rPr>
        <w:t xml:space="preserve"> studies that have been solved without relying on the neural network model in the lack of label data, but there are unrealistic assumptions that they already know about prior knowledge of the ratio by class. In this study, pseudo-label</w:t>
      </w:r>
      <w:r>
        <w:rPr>
          <w:rFonts w:eastAsiaTheme="minorHAnsi" w:cs="굴림"/>
          <w:szCs w:val="20"/>
          <w:kern w:val="0"/>
        </w:rPr>
        <w:t>ling</w:t>
      </w:r>
      <w:r>
        <w:rPr>
          <w:rFonts w:eastAsiaTheme="minorHAnsi" w:cs="굴림"/>
          <w:szCs w:val="20"/>
          <w:kern w:val="0"/>
        </w:rPr>
        <w:t xml:space="preserve"> the unlabeled data through high-accuracy classification that does not require a learning process. We propose a new classification method using coreset selection</w:t>
      </w:r>
      <w:r>
        <w:rPr>
          <w:rFonts w:eastAsiaTheme="minorHAnsi" w:cs="굴림"/>
          <w:szCs w:val="20"/>
          <w:kern w:val="0"/>
        </w:rPr>
        <w:t>’s geometric attribute</w:t>
      </w:r>
      <w:r>
        <w:rPr>
          <w:rFonts w:eastAsiaTheme="minorHAnsi" w:cs="굴림"/>
          <w:szCs w:val="20"/>
          <w:kern w:val="0"/>
        </w:rPr>
        <w:t>. This method classified 10 to 40 times unlabeled data with 95% or more accuracy by labeled data for small image datasets</w:t>
      </w:r>
      <w:r>
        <w:rPr>
          <w:rFonts w:eastAsiaTheme="minorHAnsi" w:cs="굴림"/>
          <w:szCs w:val="20"/>
          <w:kern w:val="0"/>
        </w:rPr>
        <w:t>.</w:t>
      </w:r>
    </w:p>
    <w:p>
      <w:pPr>
        <w:autoSpaceDE/>
        <w:autoSpaceDN/>
        <w:widowControl/>
        <w:wordWrap/>
        <w:rPr>
          <w:rFonts w:eastAsiaTheme="minorHAnsi"/>
          <w:b/>
          <w:bCs/>
          <w:sz w:val="22"/>
        </w:rPr>
      </w:pPr>
      <w:r>
        <w:rPr>
          <w:rFonts w:eastAsiaTheme="minorHAnsi"/>
          <w:b/>
          <w:bCs/>
          <w:sz w:val="22"/>
        </w:rPr>
        <w:t xml:space="preserve">1. Introduction </w:t>
      </w:r>
    </w:p>
    <w:p>
      <w:pPr>
        <w:ind w:firstLineChars="100" w:firstLine="200"/>
        <w:autoSpaceDE/>
        <w:autoSpaceDN/>
        <w:widowControl/>
        <w:wordWrap/>
        <w:spacing w:after="0" w:line="240" w:lineRule="auto"/>
        <w:rPr>
          <w:rFonts w:eastAsiaTheme="minorHAnsi" w:cs="굴림"/>
          <w:szCs w:val="20"/>
          <w:kern w:val="0"/>
        </w:rPr>
      </w:pPr>
      <w:r>
        <w:rPr>
          <w:rFonts w:eastAsiaTheme="minorHAnsi" w:cs="굴림"/>
          <w:szCs w:val="20"/>
          <w:kern w:val="0"/>
        </w:rPr>
        <w:t xml:space="preserve">Recently, deep learning (DL) model has been achieving results in various fields based on a large amount of labeled data. However, as the DL model increases in the data required for learning, how to solve the labeling cost has become an important topic. Semi-supervised learning (SSL) is one of the ways to solve labeling cost, which assumes insufficient label data and many unlabeled data </w:t>
      </w:r>
      <w:r>
        <w:rPr>
          <w:rFonts w:eastAsiaTheme="minorHAnsi" w:cs="굴림"/>
          <w:szCs w:val="20"/>
          <w:kern w:val="0"/>
        </w:rPr>
        <w:t>situations</w:t>
      </w:r>
      <w:r>
        <w:rPr>
          <w:rFonts w:eastAsiaTheme="minorHAnsi" w:cs="굴림"/>
          <w:szCs w:val="20"/>
          <w:kern w:val="0"/>
        </w:rPr>
        <w:t>. This study focuses on image classification through SSL.</w:t>
      </w:r>
    </w:p>
    <w:p>
      <w:pPr>
        <w:ind w:firstLineChars="100" w:firstLine="200"/>
        <w:autoSpaceDE/>
        <w:autoSpaceDN/>
        <w:widowControl/>
        <w:wordWrap/>
        <w:spacing w:after="0" w:line="240" w:lineRule="auto"/>
        <w:rPr>
          <w:rFonts w:eastAsiaTheme="minorHAnsi" w:cs="굴림"/>
          <w:szCs w:val="20"/>
          <w:kern w:val="0"/>
        </w:rPr>
      </w:pPr>
      <w:r>
        <w:rPr>
          <w:rFonts w:eastAsiaTheme="minorHAnsi" w:cs="굴림"/>
          <w:szCs w:val="20"/>
          <w:kern w:val="0"/>
        </w:rPr>
        <w:t>SSL is largely divided into consistency regularization and pseudo labeling</w:t>
      </w:r>
      <w:r>
        <w:rPr>
          <w:rFonts w:eastAsiaTheme="minorHAnsi" w:cs="굴림"/>
          <w:szCs w:val="20"/>
          <w:kern w:val="0"/>
        </w:rPr>
        <w:fldChar w:fldCharType="begin"/>
      </w:r>
      <w:r>
        <w:rPr>
          <w:rFonts w:eastAsiaTheme="minorHAnsi" w:cs="굴림"/>
          <w:szCs w:val="20"/>
          <w:kern w:val="0"/>
        </w:rPr>
        <w:instrText xml:space="preserve"> ADDIN EN.CITE &lt;EndNote&gt;&lt;Cite&gt;&lt;Author&gt;Yang&lt;/Author&gt;&lt;Year&gt;2022&lt;/Year&gt;&lt;RecNum&gt;12&lt;/RecNum&gt;&lt;DisplayText&gt;(Yang, Song, King, &amp;amp; Xu, 2022)&lt;/DisplayText&gt;&lt;record&gt;&lt;rec-number&gt;12&lt;/rec-number&gt;&lt;foreign-keys&gt;&lt;key app="EN" db-id="rr0ztevxf59zeueereqxd5wc90a5rrp2v22a" timestamp="1670306571" guid="c685f471-069c-41e9-b626-095a12027f1f"&gt;12&lt;/key&gt;&lt;/foreign-keys&gt;&lt;ref-type name="Journal Article"&gt;17&lt;/ref-type&gt;&lt;contributors&gt;&lt;authors&gt;&lt;author&gt;Yang, Xiangli&lt;/author&gt;&lt;author&gt;Song, Zixing&lt;/author&gt;&lt;author&gt;King, Irwin&lt;/author&gt;&lt;author&gt;Xu, Zenglin&lt;/author&gt;&lt;/authors&gt;&lt;/contributors&gt;&lt;titles&gt;&lt;title&gt;A survey on deep semi-supervised learning&lt;/title&gt;&lt;secondary-title&gt;IEEE Transactions on Knowledge and Data Engineering&lt;/secondary-title&gt;&lt;/titles&gt;&lt;periodical&gt;&lt;full-title&gt;IEEE Transactions on Knowledge and Data Engineering&lt;/full-title&gt;&lt;/periodical&gt;&lt;dates&gt;&lt;year&gt;2022&lt;/year&gt;&lt;/dates&gt;&lt;isbn&gt;1041-4347&lt;/isbn&gt;&lt;urls&gt;&lt;/urls&gt;&lt;/record&gt;&lt;/Cite&gt;&lt;/EndNote&gt;</w:instrText>
      </w:r>
      <w:r>
        <w:rPr>
          <w:rFonts w:eastAsiaTheme="minorHAnsi" w:cs="굴림"/>
          <w:szCs w:val="20"/>
          <w:kern w:val="0"/>
        </w:rPr>
        <w:fldChar w:fldCharType="separate"/>
      </w:r>
      <w:r>
        <w:rPr>
          <w:rFonts w:eastAsiaTheme="minorHAnsi" w:cs="굴림"/>
          <w:noProof/>
          <w:szCs w:val="20"/>
          <w:kern w:val="0"/>
        </w:rPr>
        <w:t>(Yang, Song, King, &amp; Xu, 2022)</w:t>
      </w:r>
      <w:r>
        <w:rPr>
          <w:rFonts w:eastAsiaTheme="minorHAnsi" w:cs="굴림"/>
          <w:szCs w:val="20"/>
          <w:kern w:val="0"/>
        </w:rPr>
        <w:fldChar w:fldCharType="end"/>
      </w:r>
      <w:r>
        <w:rPr>
          <w:rFonts w:eastAsiaTheme="minorHAnsi" w:cs="굴림"/>
          <w:szCs w:val="20"/>
          <w:kern w:val="0"/>
        </w:rPr>
        <w:t xml:space="preserve">. </w:t>
      </w:r>
    </w:p>
    <w:p>
      <w:pPr>
        <w:ind w:firstLineChars="100" w:firstLine="200"/>
        <w:autoSpaceDE/>
        <w:autoSpaceDN/>
        <w:widowControl/>
        <w:wordWrap/>
        <w:spacing w:after="0" w:line="240" w:lineRule="auto"/>
        <w:rPr>
          <w:rFonts w:eastAsiaTheme="minorHAnsi" w:cs="굴림"/>
          <w:szCs w:val="20"/>
          <w:kern w:val="0"/>
        </w:rPr>
      </w:pPr>
      <w:r>
        <w:rPr>
          <w:rFonts w:eastAsiaTheme="minorHAnsi" w:cs="굴림"/>
          <w:szCs w:val="20"/>
          <w:kern w:val="0"/>
        </w:rPr>
        <w:t>In this paper, the pseudo labeling method is focused. Consistency regularization is preferred due to its high performance in recent image classification studies. However, both are necessary because dataset's diversity characteristic is different that can be obtained through each method. Consistency regularization has limitations in directly utilizing unlabeled data, even though there are various augmentation method of label data. On the other hand, in the case of pseudo labeling, there is a confirmation bias, but the information of the unlabeled data can be directly used. In other words, it is not a contradictory method, but a parallel method. The potential of pseudo labeling can be seen through a study</w:t>
      </w:r>
      <w:r>
        <w:rPr>
          <w:rFonts w:eastAsiaTheme="minorHAnsi" w:cs="굴림"/>
          <w:szCs w:val="20"/>
          <w:kern w:val="0"/>
        </w:rPr>
        <w:fldChar w:fldCharType="begin"/>
      </w:r>
      <w:r>
        <w:rPr>
          <w:rFonts w:eastAsiaTheme="minorHAnsi" w:cs="굴림"/>
          <w:szCs w:val="20"/>
          <w:kern w:val="0"/>
        </w:rPr>
        <w:instrText xml:space="preserve"> ADDIN EN.CITE &lt;EndNote&gt;&lt;Cite&gt;&lt;Author&gt;Arazo&lt;/Author&gt;&lt;Year&gt;2020&lt;/Year&gt;&lt;RecNum&gt;9&lt;/RecNum&gt;&lt;DisplayText&gt;(Arazo, Ortego, Albert, O’Connor, &amp;amp; McGuinness,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cs="굴림"/>
          <w:szCs w:val="20"/>
          <w:kern w:val="0"/>
        </w:rPr>
        <w:fldChar w:fldCharType="separate"/>
      </w:r>
      <w:r>
        <w:rPr>
          <w:rFonts w:eastAsiaTheme="minorHAnsi" w:cs="굴림"/>
          <w:noProof/>
          <w:szCs w:val="20"/>
          <w:kern w:val="0"/>
        </w:rPr>
        <w:t>(Arazo, Ortego, Albert, O’Connor, &amp; McGuinness, 2020)</w:t>
      </w:r>
      <w:r>
        <w:rPr>
          <w:rFonts w:eastAsiaTheme="minorHAnsi" w:cs="굴림"/>
          <w:szCs w:val="20"/>
          <w:kern w:val="0"/>
        </w:rPr>
        <w:fldChar w:fldCharType="end"/>
      </w:r>
      <w:r>
        <w:t xml:space="preserve"> </w:t>
      </w:r>
      <w:r>
        <w:rPr>
          <w:rFonts w:eastAsiaTheme="minorHAnsi" w:cs="굴림"/>
          <w:szCs w:val="20"/>
          <w:kern w:val="0"/>
        </w:rPr>
        <w:t>that solved confirmation bias well and performed better than consistency regularization.</w:t>
      </w:r>
    </w:p>
    <w:p>
      <w:pPr>
        <w:ind w:firstLineChars="100" w:firstLine="200"/>
        <w:autoSpaceDE/>
        <w:autoSpaceDN/>
        <w:widowControl/>
        <w:wordWrap/>
        <w:spacing w:after="0" w:line="240" w:lineRule="auto"/>
        <w:rPr>
          <w:rFonts w:eastAsiaTheme="minorHAnsi" w:cs="굴림"/>
          <w:b/>
          <w:szCs w:val="20"/>
          <w:kern w:val="0"/>
        </w:rPr>
      </w:pPr>
      <w:r>
        <w:rPr>
          <w:rFonts w:eastAsiaTheme="minorHAnsi" w:cs="굴림"/>
          <w:szCs w:val="20"/>
          <w:kern w:val="0"/>
        </w:rPr>
        <w:t>In pseudo labeling, it is important to resolve the confirmation bias well. Confirmation bias means that the incorrect prediction value for the unlabeled sample in the process of learning the model increases the performance deterioration of the neural network model. Existing studies introduce a threshold setting for reliability for the prediction of DL models</w:t>
      </w:r>
      <w:r>
        <w:rPr>
          <w:rFonts w:eastAsiaTheme="minorHAnsi" w:cs="굴림"/>
          <w:szCs w:val="20"/>
          <w:kern w:val="0"/>
        </w:rPr>
        <w:fldChar w:fldCharType="begin"/>
      </w:r>
      <w:r>
        <w:rPr>
          <w:rFonts w:eastAsiaTheme="minorHAnsi" w:cs="굴림"/>
          <w:szCs w:val="20"/>
          <w:kern w:val="0"/>
        </w:rPr>
        <w:instrText xml:space="preserve"> ADDIN EN.CITE &lt;EndNote&gt;&lt;Cite&gt;&lt;Author&gt;Cascante-Bonilla&lt;/Author&gt;&lt;Year&gt;2021&lt;/Year&gt;&lt;RecNum&gt;22&lt;/RecNum&gt;&lt;DisplayText&gt;(Cascante-Bonilla, Tan, Qi, &amp;amp; Ordonez, 2021)&lt;/DisplayText&gt;&lt;record&gt;&lt;rec-number&gt;22&lt;/rec-number&gt;&lt;foreign-keys&gt;&lt;key app="EN" db-id="rr0ztevxf59zeueereqxd5wc90a5rrp2v22a" timestamp="1670312858" guid="d1470744-c57a-4b82-a70c-6084c075adec"&gt;22&lt;/key&gt;&lt;/foreign-keys&gt;&lt;ref-type name="Conference Proceedings"&gt;10&lt;/ref-type&gt;&lt;contributors&gt;&lt;authors&gt;&lt;author&gt;Cascante-Bonilla, Paola&lt;/author&gt;&lt;author&gt;Tan, Fuwen&lt;/author&gt;&lt;author&gt;Qi, Yanjun&lt;/author&gt;&lt;author&gt;Ordonez, Vicente&lt;/author&gt;&lt;/authors&gt;&lt;/contributors&gt;&lt;titles&gt;&lt;title&gt;Curriculum labeling: Revisiting pseudo-labeling for semi-supervised learning&lt;/title&gt;&lt;secondary-title&gt;Proceedings of the AAAI Conference on Artificial Intelligence&lt;/secondary-title&gt;&lt;/titles&gt;&lt;pages&gt;6912-6920&lt;/pages&gt;&lt;volume&gt;35&lt;/volume&gt;&lt;number&gt;8&lt;/number&gt;&lt;dates&gt;&lt;year&gt;2021&lt;/year&gt;&lt;/dates&gt;&lt;isbn&gt;2374-3468&lt;/isbn&gt;&lt;urls&gt;&lt;/urls&gt;&lt;/record&gt;&lt;/Cite&gt;&lt;/EndNote&gt;</w:instrText>
      </w:r>
      <w:r>
        <w:rPr>
          <w:rFonts w:eastAsiaTheme="minorHAnsi" w:cs="굴림"/>
          <w:szCs w:val="20"/>
          <w:kern w:val="0"/>
        </w:rPr>
        <w:fldChar w:fldCharType="separate"/>
      </w:r>
      <w:r>
        <w:rPr>
          <w:rFonts w:eastAsiaTheme="minorHAnsi" w:cs="굴림"/>
          <w:noProof/>
          <w:szCs w:val="20"/>
          <w:kern w:val="0"/>
        </w:rPr>
        <w:t>(Cascante-Bonilla, Tan, Qi, &amp; Ordonez, 2021)</w:t>
      </w:r>
      <w:r>
        <w:rPr>
          <w:rFonts w:eastAsiaTheme="minorHAnsi" w:cs="굴림"/>
          <w:szCs w:val="20"/>
          <w:kern w:val="0"/>
        </w:rPr>
        <w:fldChar w:fldCharType="end"/>
      </w:r>
      <w:r>
        <w:rPr>
          <w:rFonts w:eastAsiaTheme="minorHAnsi" w:cs="굴림"/>
          <w:szCs w:val="20"/>
          <w:kern w:val="0"/>
        </w:rPr>
        <w:t xml:space="preserve">, </w:t>
      </w:r>
      <w:r>
        <w:rPr>
          <w:rFonts w:eastAsiaTheme="minorHAnsi" w:cs="굴림"/>
          <w:szCs w:val="20"/>
          <w:kern w:val="0"/>
        </w:rPr>
        <w:t>and a regulatory term for soft labeling and initial convergence of model</w:t>
      </w:r>
      <w:r>
        <w:rPr>
          <w:rFonts w:eastAsiaTheme="minorHAnsi" w:cs="굴림"/>
          <w:szCs w:val="20"/>
          <w:kern w:val="0"/>
        </w:rPr>
        <w:t>.</w:t>
      </w:r>
      <w:r>
        <w:rPr>
          <w:rFonts w:eastAsiaTheme="minorHAnsi" w:cs="굴림"/>
          <w:szCs w:val="20"/>
          <w:kern w:val="0"/>
        </w:rPr>
        <w:fldChar w:fldCharType="begin"/>
      </w:r>
      <w:r>
        <w:rPr>
          <w:rFonts w:eastAsiaTheme="minorHAnsi" w:cs="굴림"/>
          <w:szCs w:val="20"/>
          <w:kern w:val="0"/>
        </w:rPr>
        <w:instrText xml:space="preserve"> ADDIN EN.CITE &lt;EndNote&gt;&lt;Cite&gt;&lt;Author&gt;Zhang&lt;/Author&gt;&lt;Year&gt;2017&lt;/Year&gt;&lt;RecNum&gt;8&lt;/RecNum&gt;&lt;DisplayText&gt;(Zhang, Cisse, Dauphin, &amp;amp; Lopez-Paz, 2017)&lt;/DisplayText&gt;&lt;record&gt;&lt;rec-number&gt;8&lt;/rec-number&gt;&lt;foreign-keys&gt;&lt;key app="EN" db-id="rr0ztevxf59zeueereqxd5wc90a5rrp2v22a" timestamp="1666760357" guid="741b3de5-cd6d-41bf-a883-056b9264892e"&gt;8&lt;/key&gt;&lt;/foreign-keys&gt;&lt;ref-type name="Journal Article"&gt;17&lt;/ref-type&gt;&lt;contributors&gt;&lt;authors&gt;&lt;author&gt;Zhang, Hongyi&lt;/author&gt;&lt;author&gt;Cisse, Moustapha&lt;/author&gt;&lt;author&gt;Dauphin, Yann N&lt;/author&gt;&lt;author&gt;Lopez-Paz, David&lt;/author&gt;&lt;/authors&gt;&lt;/contributors&gt;&lt;titles&gt;&lt;title&gt;mixup: Beyond empirical risk minimization&lt;/title&gt;&lt;secondary-title&gt;arXiv preprint arXiv:1710.09412&lt;/secondary-title&gt;&lt;/titles&gt;&lt;periodical&gt;&lt;full-title&gt;arXiv preprint arXiv:1710.09412&lt;/full-title&gt;&lt;/periodical&gt;&lt;dates&gt;&lt;year&gt;2017&lt;/year&gt;&lt;/dates&gt;&lt;urls&gt;&lt;/urls&gt;&lt;/record&gt;&lt;/Cite&gt;&lt;/EndNote&gt;</w:instrText>
      </w:r>
      <w:r>
        <w:rPr>
          <w:rFonts w:eastAsiaTheme="minorHAnsi" w:cs="굴림"/>
          <w:szCs w:val="20"/>
          <w:kern w:val="0"/>
        </w:rPr>
        <w:fldChar w:fldCharType="separate"/>
      </w:r>
      <w:r>
        <w:rPr>
          <w:rFonts w:eastAsiaTheme="minorHAnsi" w:cs="굴림"/>
          <w:noProof/>
          <w:szCs w:val="20"/>
          <w:kern w:val="0"/>
        </w:rPr>
        <w:t>(Zhang, Cisse, Dauphin, &amp; Lopez-Paz, 2017)</w:t>
      </w:r>
      <w:r>
        <w:rPr>
          <w:rFonts w:eastAsiaTheme="minorHAnsi" w:cs="굴림"/>
          <w:szCs w:val="20"/>
          <w:kern w:val="0"/>
        </w:rPr>
        <w:fldChar w:fldCharType="end"/>
      </w:r>
      <w:r>
        <w:rPr>
          <w:rFonts w:eastAsiaTheme="minorHAnsi" w:cs="굴림"/>
          <w:szCs w:val="20"/>
          <w:kern w:val="0"/>
        </w:rPr>
        <w:t xml:space="preserve"> </w:t>
      </w:r>
      <w:r>
        <w:rPr>
          <w:rFonts w:eastAsiaTheme="minorHAnsi" w:cs="굴림"/>
          <w:szCs w:val="20"/>
          <w:kern w:val="0"/>
        </w:rPr>
        <w:t xml:space="preserve">Most measures assume that the neural network has sufficient accuracy. However, if the label data is insufficient, the accuracy of the neural network model is greatly reduced, making it difficult to trust. As an example, when 13 CNNs are applied to MNIST datasets, an accuracy </w:t>
      </w:r>
      <w:r>
        <w:rPr>
          <w:rFonts w:eastAsiaTheme="minorHAnsi" w:cs="굴림"/>
          <w:szCs w:val="20"/>
          <w:kern w:val="0"/>
        </w:rPr>
        <w:t xml:space="preserve">of model is just 30% when 100 Label data is given. Measures to prevent confirmation bias are also meaningless when the performance of the model itself cannot be guaranteed. One study successfully prevents confirmation bias by using class-specific dictionary ratios as regulatory terms by assuming that the dataset will be class-balance dataset </w:t>
      </w:r>
      <w:r>
        <w:rPr>
          <w:rFonts w:eastAsiaTheme="minorHAnsi" w:cs="굴림"/>
          <w:szCs w:val="20"/>
          <w:kern w:val="0"/>
        </w:rPr>
        <w:fldChar w:fldCharType="begin"/>
      </w:r>
      <w:r>
        <w:rPr>
          <w:rFonts w:eastAsiaTheme="minorHAnsi" w:cs="굴림"/>
          <w:szCs w:val="20"/>
          <w:kern w:val="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cs="굴림"/>
          <w:szCs w:val="20"/>
          <w:kern w:val="0"/>
        </w:rPr>
        <w:fldChar w:fldCharType="separate"/>
      </w:r>
      <w:r>
        <w:rPr>
          <w:rFonts w:eastAsiaTheme="minorHAnsi" w:cs="굴림"/>
          <w:noProof/>
          <w:szCs w:val="20"/>
          <w:kern w:val="0"/>
        </w:rPr>
        <w:t>(Arazo et al., 2020)</w:t>
      </w:r>
      <w:r>
        <w:rPr>
          <w:rFonts w:eastAsiaTheme="minorHAnsi" w:cs="굴림"/>
          <w:szCs w:val="20"/>
          <w:kern w:val="0"/>
        </w:rPr>
        <w:fldChar w:fldCharType="end"/>
      </w:r>
      <w:r>
        <w:rPr>
          <w:rFonts w:eastAsiaTheme="minorHAnsi" w:cs="굴림"/>
          <w:szCs w:val="20"/>
          <w:kern w:val="0"/>
        </w:rPr>
        <w:t xml:space="preserve">. </w:t>
      </w:r>
      <w:r>
        <w:rPr>
          <w:rFonts w:eastAsiaTheme="minorHAnsi" w:cs="굴림"/>
          <w:szCs w:val="20"/>
          <w:kern w:val="0"/>
        </w:rPr>
        <w:t>However, it is difficult to expect to know whether</w:t>
      </w:r>
      <w:r>
        <w:rPr>
          <w:rFonts w:eastAsiaTheme="minorHAnsi" w:cs="굴림"/>
          <w:szCs w:val="20"/>
          <w:kern w:val="0"/>
        </w:rPr>
        <w:t xml:space="preserve"> the</w:t>
      </w:r>
      <w:r>
        <w:rPr>
          <w:rFonts w:eastAsiaTheme="minorHAnsi" w:cs="굴림"/>
          <w:szCs w:val="20"/>
          <w:kern w:val="0"/>
        </w:rPr>
        <w:t xml:space="preserve"> dataset </w:t>
      </w:r>
      <w:r>
        <w:rPr>
          <w:rFonts w:eastAsiaTheme="minorHAnsi" w:cs="굴림"/>
          <w:szCs w:val="20"/>
          <w:kern w:val="0"/>
        </w:rPr>
        <w:t>is class</w:t>
      </w:r>
      <w:r>
        <w:rPr>
          <w:rFonts w:eastAsiaTheme="minorHAnsi" w:cs="굴림"/>
          <w:szCs w:val="20"/>
          <w:kern w:val="0"/>
        </w:rPr>
        <w:t>-balance, or prior knowledge of class distribution. Therefore, more realistic measures are needed.</w:t>
      </w:r>
    </w:p>
    <w:p>
      <w:pPr>
        <w:ind w:firstLineChars="100" w:firstLine="200"/>
        <w:rPr>
          <w:rFonts w:eastAsiaTheme="minorHAnsi"/>
          <w:b/>
          <w:bCs/>
          <w:szCs w:val="20"/>
        </w:rPr>
      </w:pPr>
      <w:r>
        <w:rPr>
          <w:rFonts w:eastAsiaTheme="minorHAnsi" w:cs="굴림"/>
          <w:szCs w:val="20"/>
          <w:kern w:val="0"/>
        </w:rPr>
        <w:t xml:space="preserve">This study proposes a classification method that does not require a learning process through the coreset-selection method, which is part of active learning. Active learning is a method of sampling data that is useful for learning a model. Coreset selection does not rely on neural network-based models by utilizing distance information from data. Furthermore, it will be shown that each sampled data through the coreset selection is representative of the unlabeled data from a geometric perspective. </w:t>
      </w:r>
      <w:r>
        <w:rPr>
          <w:rFonts w:eastAsiaTheme="minorHAnsi" w:cs="굴림"/>
          <w:szCs w:val="20"/>
          <w:kern w:val="0"/>
        </w:rPr>
        <w:t>Additionally</w:t>
      </w:r>
      <w:r>
        <w:rPr>
          <w:rFonts w:eastAsiaTheme="minorHAnsi" w:cs="굴림"/>
          <w:szCs w:val="20"/>
          <w:kern w:val="0"/>
        </w:rPr>
        <w:t>, classification with high reliability will be conducted based on geometric relationships. At this time, the unsupervi</w:t>
      </w:r>
      <w:r>
        <w:rPr>
          <w:rFonts w:eastAsiaTheme="minorHAnsi" w:cs="굴림"/>
          <w:szCs w:val="20"/>
          <w:kern w:val="0"/>
        </w:rPr>
        <w:t>s</w:t>
      </w:r>
      <w:r>
        <w:rPr>
          <w:rFonts w:eastAsiaTheme="minorHAnsi" w:cs="굴림"/>
          <w:szCs w:val="20"/>
          <w:kern w:val="0"/>
        </w:rPr>
        <w:t xml:space="preserve">ed dimension reduction method will be applied to simplify the geometric relationship of the subgraph and because active learning is difficult to apply to high-dimensional data. In this study, the convolution </w:t>
      </w:r>
      <w:r>
        <w:rPr>
          <w:rFonts w:eastAsiaTheme="minorHAnsi" w:cs="굴림"/>
          <w:szCs w:val="20"/>
          <w:kern w:val="0"/>
        </w:rPr>
        <w:t>autoencoder (</w:t>
      </w:r>
      <w:r>
        <w:rPr>
          <w:rFonts w:eastAsiaTheme="minorHAnsi" w:cs="굴림"/>
          <w:szCs w:val="20"/>
          <w:kern w:val="0"/>
        </w:rPr>
        <w:t>CAE) is applied to reflect the structural information of image data. The whole process is shown in Figure 1. First, feature extraction is performed with CAE for each image data. Coreset selection is performed through the feature, and classification will be performed through the geometric relationship of subgraphs. After that, the DL model will be trained through data from coreset selection and new classification. In other words, the problem of label data shortage is solved by increasing the label data to be used for learning through classification of unlabeled data with high accuracy.</w:t>
      </w:r>
    </w:p>
    <w:p>
      <w:pPr>
        <w:rPr>
          <w:rFonts w:eastAsiaTheme="minorHAnsi"/>
          <w:b/>
          <w:bCs/>
          <w:szCs w:val="20"/>
        </w:rPr>
      </w:pPr>
      <w:r>
        <w:rPr>
          <w:rFonts w:eastAsiaTheme="minorHAnsi"/>
          <w:b/>
          <w:bCs/>
          <w:szCs w:val="20"/>
        </w:rPr>
        <w:t xml:space="preserve">2. Related works </w:t>
      </w:r>
    </w:p>
    <w:p>
      <w:pPr>
        <w:ind w:firstLineChars="50" w:firstLine="100"/>
        <w:rPr>
          <w:rFonts w:eastAsiaTheme="minorHAnsi"/>
          <w:szCs w:val="20"/>
        </w:rPr>
      </w:pPr>
      <w:r>
        <w:rPr>
          <w:rFonts w:eastAsiaTheme="minorHAnsi"/>
          <w:szCs w:val="20"/>
        </w:rPr>
        <w:t>2-1). Pseudo labeling</w:t>
      </w:r>
    </w:p>
    <w:p>
      <w:pPr>
        <w:ind w:firstLineChars="50" w:firstLine="100"/>
        <w:rPr>
          <w:rFonts w:eastAsiaTheme="minorHAnsi" w:cs="굴림"/>
          <w:szCs w:val="20"/>
          <w:kern w:val="0"/>
        </w:rPr>
      </w:pPr>
      <w:r>
        <w:rPr>
          <w:rFonts w:eastAsiaTheme="minorHAnsi"/>
          <w:szCs w:val="20"/>
        </w:rPr>
        <w:t xml:space="preserve"> </w:t>
      </w:r>
      <w:r>
        <w:rPr>
          <w:rFonts w:eastAsiaTheme="minorHAnsi"/>
          <w:szCs w:val="20"/>
        </w:rPr>
        <w:t>Pseudo labeling utilizes predictions about unlabeled data for model learning. In the early stage when confirmation bias was not solved, pseudo labeling was limited to fine</w:t>
      </w:r>
      <w:r>
        <w:rPr>
          <w:rFonts w:eastAsiaTheme="minorHAnsi"/>
          <w:szCs w:val="20"/>
        </w:rPr>
        <w:t>-</w:t>
      </w:r>
      <w:r>
        <w:rPr>
          <w:rFonts w:eastAsiaTheme="minorHAnsi"/>
          <w:szCs w:val="20"/>
        </w:rPr>
        <w:t xml:space="preserve">tuning of the model </w:t>
      </w:r>
      <w:r>
        <w:rPr>
          <w:rFonts w:eastAsiaTheme="minorHAnsi"/>
          <w:szCs w:val="20"/>
        </w:rPr>
        <w:fldChar w:fldCharType="begin"/>
      </w:r>
      <w:r>
        <w:rPr>
          <w:rFonts w:eastAsiaTheme="minorHAnsi"/>
          <w:szCs w:val="20"/>
        </w:rPr>
        <w:instrText xml:space="preserve"> ADDIN EN.CITE &lt;EndNote&gt;&lt;Cite&gt;&lt;Author&gt;Lee&lt;/Author&gt;&lt;Year&gt;2013&lt;/Year&gt;&lt;RecNum&gt;27&lt;/RecNum&gt;&lt;DisplayText&gt;(Lee, 2013)&lt;/DisplayText&gt;&lt;record&gt;&lt;rec-number&gt;27&lt;/rec-number&gt;&lt;foreign-keys&gt;&lt;key app="EN" db-id="rr0ztevxf59zeueereqxd5wc90a5rrp2v22a" timestamp="1670314130" guid="7d559451-a408-4978-ae88-e7d797e4c300"&gt;27&lt;/key&gt;&lt;/foreign-keys&gt;&lt;ref-type name="Conference Proceedings"&gt;10&lt;/ref-type&gt;&lt;contributors&gt;&lt;authors&gt;&lt;author&gt;Lee, Dong-Hyun&lt;/author&gt;&lt;/authors&gt;&lt;/contributors&gt;&lt;titles&gt;&lt;title&gt;Pseudo-label: The simple and efficient semi-supervised learning method for deep neural networks&lt;/title&gt;&lt;secondary-title&gt;Workshop on challenges in representation learning, ICML&lt;/secondary-title&gt;&lt;/titles&gt;&lt;pages&gt;896&lt;/pages&gt;&lt;volume&gt;3&lt;/volume&gt;&lt;number&gt;2&lt;/number&gt;&lt;dates&gt;&lt;year&gt;2013&lt;/year&gt;&lt;/dates&gt;&lt;urls&gt;&lt;/urls&gt;&lt;/record&gt;&lt;/Cite&gt;&lt;/EndNote&gt;</w:instrText>
      </w:r>
      <w:r>
        <w:rPr>
          <w:rFonts w:eastAsiaTheme="minorHAnsi"/>
          <w:szCs w:val="20"/>
        </w:rPr>
        <w:fldChar w:fldCharType="separate"/>
      </w:r>
      <w:r>
        <w:rPr>
          <w:rFonts w:eastAsiaTheme="minorHAnsi"/>
          <w:noProof/>
          <w:szCs w:val="20"/>
        </w:rPr>
        <w:t>(Lee, 2013)</w:t>
      </w:r>
      <w:r>
        <w:rPr>
          <w:rFonts w:eastAsiaTheme="minorHAnsi"/>
          <w:szCs w:val="20"/>
        </w:rPr>
        <w:fldChar w:fldCharType="end"/>
      </w:r>
      <w:r>
        <w:rPr>
          <w:rFonts w:eastAsiaTheme="minorHAnsi"/>
          <w:szCs w:val="20"/>
        </w:rPr>
        <w:t xml:space="preserve">. </w:t>
      </w:r>
      <w:r>
        <w:rPr>
          <w:rFonts w:eastAsiaTheme="minorHAnsi"/>
          <w:szCs w:val="20"/>
        </w:rPr>
        <w:t>Since then, various measures have been taken to solve the confirmation bias, such as granting uncertain</w:t>
      </w:r>
      <w:r>
        <w:rPr>
          <w:rFonts w:eastAsiaTheme="minorHAnsi"/>
          <w:szCs w:val="20"/>
        </w:rPr>
        <w:t>ty</w:t>
      </w:r>
      <w:r>
        <w:rPr>
          <w:rFonts w:eastAsiaTheme="minorHAnsi"/>
          <w:szCs w:val="20"/>
        </w:rPr>
        <w:t xml:space="preserve"> weight</w:t>
      </w:r>
      <w:r>
        <w:rPr>
          <w:rFonts w:eastAsiaTheme="minorHAnsi"/>
          <w:szCs w:val="20"/>
        </w:rPr>
        <w:fldChar w:fldCharType="begin"/>
      </w:r>
      <w:r>
        <w:rPr>
          <w:rFonts w:eastAsiaTheme="minorHAnsi"/>
          <w:szCs w:val="20"/>
        </w:rPr>
        <w:instrText xml:space="preserve"> ADDIN EN.CITE &lt;EndNote&gt;&lt;Cite&gt;&lt;Author&gt;Shi&lt;/Author&gt;&lt;Year&gt;2018&lt;/Year&gt;&lt;RecNum&gt;28&lt;/RecNum&gt;&lt;DisplayText&gt;(Shi, Gong, Ding, Tao, &amp;amp; Zheng, 2018)&lt;/DisplayText&gt;&lt;record&gt;&lt;rec-number&gt;28&lt;/rec-number&gt;&lt;foreign-keys&gt;&lt;key app="EN" db-id="rr0ztevxf59zeueereqxd5wc90a5rrp2v22a" timestamp="1670314416" guid="6d5868a2-99bd-45d8-9485-ffe88b2c5cdb"&gt;28&lt;/key&gt;&lt;/foreign-keys&gt;&lt;ref-type name="Conference Proceedings"&gt;10&lt;/ref-type&gt;&lt;contributors&gt;&lt;authors&gt;&lt;author&gt;Shi, Weiwei&lt;/author&gt;&lt;author&gt;Gong, Yihong&lt;/author&gt;&lt;author&gt;Ding, Chris&lt;/author&gt;&lt;author&gt;Tao, Zhiheng MaXiaoyu&lt;/author&gt;&lt;author&gt;Zheng, Nanning&lt;/author&gt;&lt;/authors&gt;&lt;/contributors&gt;&lt;titles&gt;&lt;title&gt;Transductive semi-supervised deep learning using min-max features&lt;/title&gt;&lt;secondary-title&gt;Proceedings of the European Conference on Computer Vision (ECCV)&lt;/secondary-title&gt;&lt;/titles&gt;&lt;pages&gt;299-315&lt;/pages&gt;&lt;dates&gt;&lt;year&gt;2018&lt;/year&gt;&lt;/dates&gt;&lt;urls&gt;&lt;/urls&gt;&lt;/record&gt;&lt;/Cite&gt;&lt;/EndNote&gt;</w:instrText>
      </w:r>
      <w:r>
        <w:rPr>
          <w:rFonts w:eastAsiaTheme="minorHAnsi"/>
          <w:szCs w:val="20"/>
        </w:rPr>
        <w:fldChar w:fldCharType="separate"/>
      </w:r>
      <w:r>
        <w:rPr>
          <w:rFonts w:eastAsiaTheme="minorHAnsi"/>
          <w:noProof/>
          <w:szCs w:val="20"/>
        </w:rPr>
        <w:t>(Shi, Gong, Ding, Tao, &amp; Zheng, 2018)</w:t>
      </w:r>
      <w:r>
        <w:rPr>
          <w:rFonts w:eastAsiaTheme="minorHAnsi"/>
          <w:szCs w:val="20"/>
        </w:rPr>
        <w:fldChar w:fldCharType="end"/>
      </w:r>
      <w:r>
        <w:rPr>
          <w:rFonts w:eastAsiaTheme="minorHAnsi"/>
          <w:szCs w:val="20"/>
        </w:rPr>
        <w:t xml:space="preserve">, </w:t>
      </w:r>
      <w:r>
        <w:rPr>
          <w:rFonts w:eastAsiaTheme="minorHAnsi"/>
          <w:szCs w:val="20"/>
        </w:rPr>
        <w:t xml:space="preserve">and soft labeling. </w:t>
      </w:r>
      <w:r>
        <w:rPr>
          <w:rFonts w:eastAsiaTheme="minorHAnsi" w:cs="굴림"/>
          <w:szCs w:val="20"/>
          <w:kern w:val="0"/>
        </w:rPr>
        <w:t xml:space="preserve">There is a limitation that each measure relies on a neural network-based model that requires learning. The </w:t>
      </w:r>
      <w:r>
        <w:rPr>
          <w:rFonts w:eastAsiaTheme="minorHAnsi"/>
          <w:noProof/>
          <w:szCs w:val="20"/>
        </w:rPr>
        <w:drawing>
          <wp:inline distT="0" distB="0" distL="0" distR="0">
            <wp:extent cx="5724525" cy="315277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24525" cy="3152775"/>
                    </a:xfrm>
                    <a:prstGeom prst="rect"/>
                    <a:noFill/>
                    <a:ln>
                      <a:noFill/>
                    </a:ln>
                  </pic:spPr>
                </pic:pic>
              </a:graphicData>
            </a:graphic>
          </wp:inline>
        </w:drawing>
      </w:r>
    </w:p>
    <w:p>
      <w:pPr>
        <w:autoSpaceDE/>
        <w:autoSpaceDN/>
        <w:widowControl/>
        <w:wordWrap/>
        <w:jc w:val="center"/>
        <w:rPr>
          <w:rFonts w:eastAsiaTheme="minorHAnsi"/>
          <w:b/>
          <w:bCs/>
          <w:szCs w:val="20"/>
        </w:rPr>
      </w:pPr>
      <w:r>
        <w:rPr>
          <w:rFonts w:hint="eastAsia"/>
          <w:szCs w:val="20"/>
        </w:rPr>
        <w:t>[F</w:t>
      </w:r>
      <w:r>
        <w:rPr>
          <w:szCs w:val="20"/>
        </w:rPr>
        <w:t xml:space="preserve">igure 1. </w:t>
      </w:r>
      <w:r>
        <w:rPr>
          <w:rFonts w:hint="eastAsia"/>
          <w:szCs w:val="20"/>
        </w:rPr>
        <w:t>W</w:t>
      </w:r>
      <w:r>
        <w:rPr>
          <w:szCs w:val="20"/>
        </w:rPr>
        <w:t>hole process]</w:t>
      </w:r>
    </w:p>
    <w:p>
      <w:pPr>
        <w:rPr>
          <w:rFonts w:eastAsiaTheme="minorHAnsi" w:cs="굴림"/>
          <w:szCs w:val="20"/>
          <w:kern w:val="0"/>
        </w:rPr>
      </w:pPr>
      <w:r>
        <w:rPr>
          <w:rFonts w:eastAsiaTheme="minorHAnsi" w:cs="굴림"/>
          <w:szCs w:val="20"/>
          <w:kern w:val="0"/>
        </w:rPr>
        <w:t xml:space="preserve">performance of the model is unreliable when </w:t>
      </w:r>
      <w:r>
        <w:rPr>
          <w:rFonts w:eastAsiaTheme="minorHAnsi" w:cs="굴림"/>
          <w:szCs w:val="20"/>
          <w:kern w:val="0"/>
        </w:rPr>
        <w:t>l</w:t>
      </w:r>
      <w:r>
        <w:rPr>
          <w:rFonts w:eastAsiaTheme="minorHAnsi" w:cs="굴림"/>
          <w:szCs w:val="20"/>
          <w:kern w:val="0"/>
        </w:rPr>
        <w:t>abel data is insufficient. Existing methods are meaningful when the model is sufficiently learned and performance is guaranteed.</w:t>
      </w:r>
      <w:r>
        <w:rPr>
          <w:rFonts w:eastAsiaTheme="minorHAnsi" w:cs="굴림"/>
          <w:szCs w:val="20"/>
          <w:kern w:val="0"/>
        </w:rPr>
        <w:t xml:space="preserve"> </w:t>
      </w:r>
    </w:p>
    <w:p>
      <w:pPr>
        <w:ind w:firstLineChars="50" w:firstLine="100"/>
        <w:rPr>
          <w:rFonts w:eastAsiaTheme="minorHAnsi"/>
          <w:szCs w:val="20"/>
        </w:rPr>
      </w:pPr>
      <w:r>
        <w:rPr>
          <w:rFonts w:eastAsiaTheme="minorHAnsi" w:cs="굴림"/>
          <w:szCs w:val="20"/>
          <w:kern w:val="0"/>
        </w:rPr>
        <w:t>There is a way to resolve the confirmation bias without relying on the neural network model. In addition to soft labeling, Arazo's study effectively prevented confirmation bias by using mix-up data augmentation, minimum batch, and utilize dataset's class ratio information by regularization term</w:t>
      </w:r>
      <w:r>
        <w:rPr>
          <w:rFonts w:eastAsiaTheme="minorHAnsi"/>
          <w:szCs w:val="20"/>
        </w:rPr>
        <w:fldChar w:fldCharType="begin"/>
      </w:r>
      <w:r>
        <w:rPr>
          <w:rFonts w:eastAsiaTheme="minorHAnsi"/>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szCs w:val="20"/>
        </w:rPr>
        <w:fldChar w:fldCharType="separate"/>
      </w:r>
      <w:r>
        <w:rPr>
          <w:rFonts w:eastAsiaTheme="minorHAnsi"/>
          <w:noProof/>
          <w:szCs w:val="20"/>
        </w:rPr>
        <w:t>(Arazo et al., 2020)</w:t>
      </w:r>
      <w:r>
        <w:rPr>
          <w:rFonts w:eastAsiaTheme="minorHAnsi"/>
          <w:szCs w:val="20"/>
        </w:rPr>
        <w:fldChar w:fldCharType="end"/>
      </w:r>
      <w:r>
        <w:rPr>
          <w:rFonts w:eastAsiaTheme="minorHAnsi"/>
          <w:szCs w:val="20"/>
        </w:rPr>
        <w:t xml:space="preserve">. </w:t>
      </w:r>
      <w:r>
        <w:rPr>
          <w:rFonts w:eastAsiaTheme="minorHAnsi"/>
          <w:szCs w:val="20"/>
        </w:rPr>
        <w:t xml:space="preserve">This study performed better than consistency regulation on CIFAR 10/100, SHVN datasets. However, there are limitations in Arazo's research. In this study, by assuming a class-balance scenario, the class ratio information of the dataset is applied as a regulatory term. In other words, there is a limitation in that it cannot be applied if prior knowledge of the class ratio of </w:t>
      </w:r>
      <w:r>
        <w:rPr>
          <w:rFonts w:eastAsiaTheme="minorHAnsi"/>
          <w:szCs w:val="20"/>
        </w:rPr>
        <w:t xml:space="preserve">the </w:t>
      </w:r>
      <w:r>
        <w:rPr>
          <w:rFonts w:eastAsiaTheme="minorHAnsi"/>
          <w:szCs w:val="20"/>
        </w:rPr>
        <w:t>dataset cannot be obtained</w:t>
      </w:r>
    </w:p>
    <w:p>
      <w:pPr>
        <w:ind w:firstLineChars="100" w:firstLine="200"/>
        <w:autoSpaceDE/>
        <w:autoSpaceDN/>
        <w:widowControl/>
        <w:wordWrap/>
        <w:spacing w:after="0" w:line="240" w:lineRule="auto"/>
        <w:rPr>
          <w:rFonts w:eastAsiaTheme="minorHAnsi"/>
          <w:szCs w:val="20"/>
        </w:rPr>
      </w:pPr>
    </w:p>
    <w:p>
      <w:pPr>
        <w:ind w:firstLineChars="50" w:firstLine="100"/>
        <w:rPr>
          <w:rFonts w:eastAsiaTheme="minorHAnsi"/>
          <w:szCs w:val="20"/>
        </w:rPr>
      </w:pPr>
      <w:r>
        <w:rPr>
          <w:rFonts w:eastAsiaTheme="minorHAnsi"/>
          <w:szCs w:val="20"/>
        </w:rPr>
        <w:t xml:space="preserve">2-2) Active learning </w:t>
      </w:r>
    </w:p>
    <w:p>
      <w:pPr>
        <w:ind w:firstLineChars="50" w:firstLine="100"/>
        <w:rPr>
          <w:rFonts w:eastAsiaTheme="minorHAnsi"/>
          <w:szCs w:val="20"/>
        </w:rPr>
      </w:pPr>
      <w:r>
        <w:rPr>
          <w:rFonts w:eastAsiaTheme="minorHAnsi"/>
          <w:szCs w:val="20"/>
        </w:rPr>
        <w:t xml:space="preserve"> Active learning</w:t>
      </w:r>
      <w:r>
        <w:rPr>
          <w:rFonts w:eastAsiaTheme="minorHAnsi"/>
          <w:szCs w:val="20"/>
        </w:rPr>
        <w:fldChar w:fldCharType="begin"/>
      </w:r>
      <w:r>
        <w:rPr>
          <w:rFonts w:eastAsiaTheme="minorHAnsi"/>
          <w:szCs w:val="20"/>
        </w:rPr>
        <w:instrText xml:space="preserve"> ADDIN EN.CITE &lt;EndNote&gt;&lt;Cite&gt;&lt;Author&gt;Tong&lt;/Author&gt;&lt;Year&gt;2001&lt;/Year&gt;&lt;RecNum&gt;15&lt;/RecNum&gt;&lt;DisplayText&gt;(Tong, 2001)&lt;/DisplayText&gt;&lt;record&gt;&lt;rec-number&gt;15&lt;/rec-number&gt;&lt;foreign-keys&gt;&lt;key app="EN" db-id="rr0ztevxf59zeueereqxd5wc90a5rrp2v22a" timestamp="1670307890" guid="a7d8066a-4891-4c13-a786-1881826776da"&gt;15&lt;/key&gt;&lt;/foreign-keys&gt;&lt;ref-type name="Book"&gt;6&lt;/ref-type&gt;&lt;contributors&gt;&lt;authors&gt;&lt;author&gt;Tong, Simon&lt;/author&gt;&lt;/authors&gt;&lt;/contributors&gt;&lt;titles&gt;&lt;title&gt;Active learning: theory and applications&lt;/title&gt;&lt;/titles&gt;&lt;dates&gt;&lt;year&gt;2001&lt;/year&gt;&lt;/dates&gt;&lt;publisher&gt;Stanford University&lt;/publisher&gt;&lt;isbn&gt;0493404740&lt;/isbn&gt;&lt;urls&gt;&lt;/urls&gt;&lt;/record&gt;&lt;/Cite&gt;&lt;/EndNote&gt;</w:instrText>
      </w:r>
      <w:r>
        <w:rPr>
          <w:rFonts w:eastAsiaTheme="minorHAnsi"/>
          <w:szCs w:val="20"/>
        </w:rPr>
        <w:fldChar w:fldCharType="separate"/>
      </w:r>
      <w:r>
        <w:rPr>
          <w:rFonts w:eastAsiaTheme="minorHAnsi"/>
          <w:noProof/>
          <w:szCs w:val="20"/>
        </w:rPr>
        <w:t>(Tong, 2001)</w:t>
      </w:r>
      <w:r>
        <w:rPr>
          <w:rFonts w:eastAsiaTheme="minorHAnsi"/>
          <w:szCs w:val="20"/>
        </w:rPr>
        <w:fldChar w:fldCharType="end"/>
      </w:r>
      <w:r>
        <w:rPr>
          <w:rFonts w:eastAsiaTheme="minorHAnsi"/>
          <w:szCs w:val="20"/>
        </w:rPr>
        <w:t xml:space="preserve">(AL) </w:t>
      </w:r>
      <w:r>
        <w:rPr>
          <w:rFonts w:eastAsiaTheme="minorHAnsi"/>
          <w:szCs w:val="20"/>
        </w:rPr>
        <w:t>is also a method of reducing the labeling cost. AL samples the most useful data from the unlabeled dataset to reduce the labeling cost as much as possible while maintaining performance. There are three main types of AL</w:t>
      </w:r>
      <w:r>
        <w:rPr>
          <w:rFonts w:eastAsiaTheme="minorHAnsi"/>
          <w:szCs w:val="20"/>
        </w:rPr>
        <w:fldChar w:fldCharType="begin"/>
      </w:r>
      <w:r>
        <w:rPr>
          <w:rFonts w:eastAsiaTheme="minorHAnsi"/>
          <w:szCs w:val="20"/>
        </w:rPr>
        <w:instrText xml:space="preserve"> ADDIN EN.CITE &lt;EndNote&gt;&lt;Cite&gt;&lt;Author&gt;Ren&lt;/Author&gt;&lt;Year&gt;2021&lt;/Year&gt;&lt;RecNum&gt;6&lt;/RecNum&gt;&lt;DisplayText&gt;(Ren et al., 2021)&lt;/DisplayText&gt;&lt;record&gt;&lt;rec-number&gt;6&lt;/rec-number&gt;&lt;foreign-keys&gt;&lt;key app="EN" db-id="rr0ztevxf59zeueereqxd5wc90a5rrp2v22a" timestamp="1665043174" guid="3d8d437d-f319-4db8-9672-2971ea15d538"&gt;6&lt;/key&gt;&lt;/foreign-keys&gt;&lt;ref-type name="Journal Article"&gt;17&lt;/ref-type&gt;&lt;contributors&gt;&lt;authors&gt;&lt;author&gt;Ren, Pengzhen&lt;/author&gt;&lt;author&gt;Xiao, Yun&lt;/author&gt;&lt;author&gt;Chang, Xiaojun&lt;/author&gt;&lt;author&gt;Huang, Po-Yao&lt;/author&gt;&lt;author&gt;Li, Zhihui&lt;/author&gt;&lt;author&gt;Gupta, Brij B&lt;/author&gt;&lt;author&gt;Chen, Xiaojiang&lt;/author&gt;&lt;author&gt;Wang, Xin&lt;/author&gt;&lt;/authors&gt;&lt;/contributors&gt;&lt;titles&gt;&lt;title&gt;A survey of deep active learning&lt;/title&gt;&lt;secondary-title&gt;ACM computing surveys (CSUR)&lt;/secondary-title&gt;&lt;/titles&gt;&lt;periodical&gt;&lt;full-title&gt;ACM computing surveys (CSUR)&lt;/full-title&gt;&lt;/periodical&gt;&lt;pages&gt;1-40&lt;/pages&gt;&lt;volume&gt;54&lt;/volume&gt;&lt;number&gt;9&lt;/number&gt;&lt;dates&gt;&lt;year&gt;2021&lt;/year&gt;&lt;/dates&gt;&lt;isbn&gt;0360-0300&lt;/isbn&gt;&lt;urls&gt;&lt;/urls&gt;&lt;/record&gt;&lt;/Cite&gt;&lt;/EndNote&gt;</w:instrText>
      </w:r>
      <w:r>
        <w:rPr>
          <w:rFonts w:eastAsiaTheme="minorHAnsi"/>
          <w:szCs w:val="20"/>
        </w:rPr>
        <w:fldChar w:fldCharType="separate"/>
      </w:r>
      <w:r>
        <w:rPr>
          <w:rFonts w:eastAsiaTheme="minorHAnsi"/>
          <w:noProof/>
          <w:szCs w:val="20"/>
        </w:rPr>
        <w:t>(Ren et al., 2021)</w:t>
      </w:r>
      <w:r>
        <w:rPr>
          <w:rFonts w:eastAsiaTheme="minorHAnsi"/>
          <w:szCs w:val="20"/>
        </w:rPr>
        <w:fldChar w:fldCharType="end"/>
      </w:r>
      <w:r>
        <w:rPr>
          <w:rFonts w:eastAsiaTheme="minorHAnsi"/>
          <w:szCs w:val="20"/>
        </w:rPr>
        <w:t xml:space="preserve">. </w:t>
      </w:r>
      <w:r>
        <w:rPr>
          <w:rFonts w:eastAsiaTheme="minorHAnsi"/>
          <w:szCs w:val="20"/>
        </w:rPr>
        <w:t>This study focuses on pool-based sampling that selects important data from a given dataset. Pool-based sampling AL selects data according to the acquisition strategy. Acquisition strategy is divided by uncertainty-based, expected-based and diversity-based approach</w:t>
      </w:r>
      <w:r>
        <w:t xml:space="preserve"> </w:t>
      </w:r>
      <w:r>
        <w:rPr>
          <w:rFonts w:eastAsiaTheme="minorHAnsi"/>
          <w:szCs w:val="20"/>
        </w:rPr>
        <w:t>Uncertainty-based approaches measure uncertainty for each data according to the neural network model</w:t>
      </w:r>
      <w:r>
        <w:rPr>
          <w:rFonts w:eastAsiaTheme="minorHAnsi"/>
          <w:szCs w:val="20"/>
        </w:rPr>
        <w:fldChar w:fldCharType="begin"/>
      </w:r>
      <w:r>
        <w:rPr>
          <w:rFonts w:eastAsiaTheme="minorHAnsi"/>
          <w:szCs w:val="20"/>
        </w:rPr>
        <w:instrText xml:space="preserve"> ADDIN EN.CITE &lt;EndNote&gt;&lt;Cite&gt;&lt;Author&gt;Gal&lt;/Author&gt;&lt;Year&gt;2017&lt;/Year&gt;&lt;RecNum&gt;3&lt;/RecNum&gt;&lt;DisplayText&gt;(Gal, Islam, &amp;amp; Ghahramani, 2017; K. Wang, Zhang, Li, Zhang, &amp;amp; Lin, 2016)&lt;/DisplayText&gt;&lt;record&gt;&lt;rec-number&gt;3&lt;/rec-number&gt;&lt;foreign-keys&gt;&lt;key app="EN" db-id="rr0ztevxf59zeueereqxd5wc90a5rrp2v22a" timestamp="1665043094" guid="3e8b59ab-52da-4560-b699-d3e9277ee4b0"&gt;3&lt;/key&gt;&lt;/foreign-keys&gt;&lt;ref-type name="Conference Proceedings"&gt;10&lt;/ref-type&gt;&lt;contributors&gt;&lt;authors&gt;&lt;author&gt;Gal, Yarin&lt;/author&gt;&lt;author&gt;Islam, Riashat&lt;/author&gt;&lt;author&gt;Ghahramani, Zoubin&lt;/author&gt;&lt;/authors&gt;&lt;/contributors&gt;&lt;titles&gt;&lt;title&gt;Deep bayesian active learning with image data&lt;/title&gt;&lt;secondary-title&gt;International Conference on Machine Learning&lt;/secondary-title&gt;&lt;/titles&gt;&lt;pages&gt;1183-1192&lt;/pages&gt;&lt;dates&gt;&lt;year&gt;2017&lt;/year&gt;&lt;/dates&gt;&lt;publisher&gt;PMLR&lt;/publisher&gt;&lt;isbn&gt;2640-3498&lt;/isbn&gt;&lt;urls&gt;&lt;/urls&gt;&lt;/record&gt;&lt;/Cite&gt;&lt;Cite&gt;&lt;Author&gt;Wang&lt;/Author&gt;&lt;Year&gt;2016&lt;/Year&gt;&lt;RecNum&gt;14&lt;/RecNum&gt;&lt;record&gt;&lt;rec-number&gt;14&lt;/rec-number&gt;&lt;foreign-keys&gt;&lt;key app="EN" db-id="rr0ztevxf59zeueereqxd5wc90a5rrp2v22a" timestamp="1670307736" guid="d8738d0c-25c3-45ba-a35e-7506530e6bf6"&gt;14&lt;/key&gt;&lt;/foreign-keys&gt;&lt;ref-type name="Journal Article"&gt;17&lt;/ref-type&gt;&lt;contributors&gt;&lt;authors&gt;&lt;author&gt;Wang, Keze&lt;/author&gt;&lt;author&gt;Zhang, Dongyu&lt;/author&gt;&lt;author&gt;Li, Ya&lt;/author&gt;&lt;author&gt;Zhang, Ruimao&lt;/author&gt;&lt;author&gt;Lin, Liang&lt;/author&gt;&lt;/authors&gt;&lt;/contributors&gt;&lt;titles&gt;&lt;title&gt;Cost-effective active learning for deep image classification&lt;/title&gt;&lt;secondary-title&gt;IEEE Transactions on Circuits and Systems for Video Technology&lt;/secondary-title&gt;&lt;/titles&gt;&lt;periodical&gt;&lt;full-title&gt;IEEE Transactions on Circuits and Systems for Video Technology&lt;/full-title&gt;&lt;/periodical&gt;&lt;pages&gt;2591-2600&lt;/pages&gt;&lt;volume&gt;27&lt;/volume&gt;&lt;number&gt;12&lt;/number&gt;&lt;dates&gt;&lt;year&gt;2016&lt;/year&gt;&lt;/dates&gt;&lt;isbn&gt;1051-8215&lt;/isbn&gt;&lt;urls&gt;&lt;/urls&gt;&lt;/record&gt;&lt;/Cite&gt;&lt;/EndNote&gt;</w:instrText>
      </w:r>
      <w:r>
        <w:rPr>
          <w:rFonts w:eastAsiaTheme="minorHAnsi"/>
          <w:szCs w:val="20"/>
        </w:rPr>
        <w:fldChar w:fldCharType="separate"/>
      </w:r>
      <w:r>
        <w:rPr>
          <w:rFonts w:eastAsiaTheme="minorHAnsi"/>
          <w:noProof/>
          <w:szCs w:val="20"/>
        </w:rPr>
        <w:t>(Gal, Islam, &amp; Ghahramani, 2017; K. Wang, Zhang, Li, Zhang, &amp; Lin, 2016)</w:t>
      </w:r>
      <w:r>
        <w:rPr>
          <w:rFonts w:eastAsiaTheme="minorHAnsi"/>
          <w:szCs w:val="20"/>
        </w:rPr>
        <w:fldChar w:fldCharType="end"/>
      </w:r>
      <w:r>
        <w:rPr>
          <w:rFonts w:eastAsiaTheme="minorHAnsi"/>
          <w:szCs w:val="20"/>
        </w:rPr>
        <w:t xml:space="preserve">. </w:t>
      </w:r>
      <w:r>
        <w:rPr>
          <w:rFonts w:eastAsiaTheme="minorHAnsi"/>
          <w:szCs w:val="20"/>
        </w:rPr>
        <w:t xml:space="preserve">The expect-based approach also selects the data that is </w:t>
      </w:r>
      <w:r>
        <w:rPr>
          <w:rFonts w:eastAsiaTheme="minorHAnsi"/>
          <w:szCs w:val="20"/>
        </w:rPr>
        <w:t xml:space="preserve">expected to improve the model performance the most </w:t>
      </w:r>
      <w:r>
        <w:rPr>
          <w:rFonts w:eastAsiaTheme="minorHAnsi"/>
          <w:szCs w:val="20"/>
        </w:rPr>
        <w:fldChar w:fldCharType="begin"/>
      </w:r>
      <w:r>
        <w:rPr>
          <w:rFonts w:eastAsiaTheme="minorHAnsi"/>
          <w:szCs w:val="20"/>
        </w:rPr>
        <w:instrText xml:space="preserve"> ADDIN EN.CITE &lt;EndNote&gt;&lt;Cite&gt;&lt;Author&gt;Sener&lt;/Author&gt;&lt;Year&gt;2017&lt;/Year&gt;&lt;RecNum&gt;4&lt;/RecNum&gt;&lt;DisplayText&gt;(Sener &amp;amp; Savarese, 2017)&lt;/DisplayText&gt;&lt;record&gt;&lt;rec-number&gt;4&lt;/rec-number&gt;&lt;foreign-keys&gt;&lt;key app="EN" db-id="rr0ztevxf59zeueereqxd5wc90a5rrp2v22a" timestamp="1665043121" guid="eec0797b-c560-424b-8ef4-be3de4201359"&gt;4&lt;/key&gt;&lt;/foreign-keys&gt;&lt;ref-type name="Journal Article"&gt;17&lt;/ref-type&gt;&lt;contributors&gt;&lt;authors&gt;&lt;author&gt;Sener, Ozan&lt;/author&gt;&lt;author&gt;Savarese, Silvio&lt;/author&gt;&lt;/authors&gt;&lt;/contributors&gt;&lt;titles&gt;&lt;title&gt;Active learning for convolutional neural networks: A core-set approach&lt;/title&gt;&lt;secondary-title&gt;arXiv preprint arXiv:1708.00489&lt;/secondary-title&gt;&lt;/titles&gt;&lt;periodical&gt;&lt;full-title&gt;arXiv preprint arXiv:1708.00489&lt;/full-title&gt;&lt;/periodical&gt;&lt;dates&gt;&lt;year&gt;2017&lt;/year&gt;&lt;/dates&gt;&lt;urls&gt;&lt;/urls&gt;&lt;/record&gt;&lt;/Cite&gt;&lt;/EndNote&gt;</w:instrText>
      </w:r>
      <w:r>
        <w:rPr>
          <w:rFonts w:eastAsiaTheme="minorHAnsi"/>
          <w:szCs w:val="20"/>
        </w:rPr>
        <w:fldChar w:fldCharType="separate"/>
      </w:r>
      <w:r>
        <w:rPr>
          <w:rFonts w:eastAsiaTheme="minorHAnsi"/>
          <w:noProof/>
          <w:szCs w:val="20"/>
        </w:rPr>
        <w:t>(Sener &amp; Savarese, 2017)</w:t>
      </w:r>
      <w:r>
        <w:rPr>
          <w:rFonts w:eastAsiaTheme="minorHAnsi"/>
          <w:szCs w:val="20"/>
        </w:rPr>
        <w:fldChar w:fldCharType="end"/>
      </w:r>
      <w:r>
        <w:rPr>
          <w:rFonts w:eastAsiaTheme="minorHAnsi"/>
          <w:szCs w:val="20"/>
        </w:rPr>
        <w:t xml:space="preserve">, </w:t>
      </w:r>
      <w:r>
        <w:rPr>
          <w:rFonts w:eastAsiaTheme="minorHAnsi"/>
          <w:szCs w:val="20"/>
        </w:rPr>
        <w:t>and relies on the neural network model</w:t>
      </w:r>
      <w:r>
        <w:rPr>
          <w:rFonts w:eastAsiaTheme="minorHAnsi"/>
          <w:szCs w:val="20"/>
        </w:rPr>
        <w:t xml:space="preserve">. </w:t>
      </w:r>
      <w:r>
        <w:rPr>
          <w:rFonts w:eastAsiaTheme="minorHAnsi"/>
          <w:szCs w:val="20"/>
        </w:rPr>
        <w:t>Finally, diversity-based approach is a method of screening data that can guarantee the diversity of a dataset. Representatively, there is a coreset selection</w:t>
      </w:r>
      <w:r>
        <w:rPr>
          <w:rFonts w:eastAsiaTheme="minorHAnsi"/>
          <w:szCs w:val="20"/>
        </w:rPr>
        <w:fldChar w:fldCharType="begin"/>
      </w:r>
      <w:r>
        <w:rPr>
          <w:rFonts w:eastAsiaTheme="minorHAnsi"/>
          <w:szCs w:val="20"/>
        </w:rPr>
        <w:instrText xml:space="preserve"> ADDIN EN.CITE &lt;EndNote&gt;&lt;Cite&gt;&lt;Author&gt;Sener&lt;/Author&gt;&lt;Year&gt;2017&lt;/Year&gt;&lt;RecNum&gt;4&lt;/RecNum&gt;&lt;DisplayText&gt;(Sener &amp;amp; Savarese, 2017)&lt;/DisplayText&gt;&lt;record&gt;&lt;rec-number&gt;4&lt;/rec-number&gt;&lt;foreign-keys&gt;&lt;key app="EN" db-id="rr0ztevxf59zeueereqxd5wc90a5rrp2v22a" timestamp="1665043121" guid="eec0797b-c560-424b-8ef4-be3de4201359"&gt;4&lt;/key&gt;&lt;/foreign-keys&gt;&lt;ref-type name="Journal Article"&gt;17&lt;/ref-type&gt;&lt;contributors&gt;&lt;authors&gt;&lt;author&gt;Sener, Ozan&lt;/author&gt;&lt;author&gt;Savarese, Silvio&lt;/author&gt;&lt;/authors&gt;&lt;/contributors&gt;&lt;titles&gt;&lt;title&gt;Active learning for convolutional neural networks: A core-set approach&lt;/title&gt;&lt;secondary-title&gt;arXiv preprint arXiv:1708.00489&lt;/secondary-title&gt;&lt;/titles&gt;&lt;periodical&gt;&lt;full-title&gt;arXiv preprint arXiv:1708.00489&lt;/full-title&gt;&lt;/periodical&gt;&lt;dates&gt;&lt;year&gt;2017&lt;/year&gt;&lt;/dates&gt;&lt;urls&gt;&lt;/urls&gt;&lt;/record&gt;&lt;/Cite&gt;&lt;/EndNote&gt;</w:instrText>
      </w:r>
      <w:r>
        <w:rPr>
          <w:rFonts w:eastAsiaTheme="minorHAnsi"/>
          <w:szCs w:val="20"/>
        </w:rPr>
        <w:fldChar w:fldCharType="separate"/>
      </w:r>
      <w:r>
        <w:rPr>
          <w:rFonts w:eastAsiaTheme="minorHAnsi"/>
          <w:noProof/>
          <w:szCs w:val="20"/>
        </w:rPr>
        <w:t>(Sener &amp; Savarese, 2017)</w:t>
      </w:r>
      <w:r>
        <w:rPr>
          <w:rFonts w:eastAsiaTheme="minorHAnsi"/>
          <w:szCs w:val="20"/>
        </w:rPr>
        <w:fldChar w:fldCharType="end"/>
      </w:r>
      <w:r>
        <w:rPr>
          <w:rFonts w:eastAsiaTheme="minorHAnsi"/>
          <w:szCs w:val="20"/>
        </w:rPr>
        <w:t xml:space="preserve">. </w:t>
      </w:r>
      <w:r>
        <w:rPr>
          <w:rFonts w:eastAsiaTheme="minorHAnsi"/>
          <w:szCs w:val="20"/>
        </w:rPr>
        <w:t>Coreset Selection showed that selecting subgraphs with minimum radius covering all data is in the end most useful for model learning. While most ALs rely on the performance of neural network models, corset selection relies only on distance information between data. In this study, a subgraph formed between coreset selection will be used.</w:t>
      </w:r>
    </w:p>
    <w:p>
      <w:pPr>
        <w:ind w:firstLineChars="150" w:firstLine="300"/>
        <w:rPr>
          <w:szCs w:val="20"/>
        </w:rPr>
      </w:pPr>
      <w:r>
        <w:rPr>
          <w:szCs w:val="20"/>
        </w:rPr>
        <w:t>AL has a limitation that it is difficult to apply to high-dimensional data, and does not have the ability to calculate low-dimensional features from high-dimensional data</w:t>
      </w:r>
      <w:r>
        <w:rPr>
          <w:szCs w:val="20"/>
        </w:rPr>
        <w:fldChar w:fldCharType="begin"/>
      </w:r>
      <w:r>
        <w:rPr>
          <w:szCs w:val="20"/>
        </w:rPr>
        <w:instrText xml:space="preserve"> ADDIN EN.CITE &lt;EndNote&gt;&lt;Cite&gt;&lt;Author&gt;Tong&lt;/Author&gt;&lt;Year&gt;2001&lt;/Year&gt;&lt;RecNum&gt;15&lt;/RecNum&gt;&lt;DisplayText&gt;(Tong, 2001)&lt;/DisplayText&gt;&lt;record&gt;&lt;rec-number&gt;15&lt;/rec-number&gt;&lt;foreign-keys&gt;&lt;key app="EN" db-id="rr0ztevxf59zeueereqxd5wc90a5rrp2v22a" timestamp="1670307890" guid="a7d8066a-4891-4c13-a786-1881826776da"&gt;15&lt;/key&gt;&lt;/foreign-keys&gt;&lt;ref-type name="Book"&gt;6&lt;/ref-type&gt;&lt;contributors&gt;&lt;authors&gt;&lt;author&gt;Tong, Simon&lt;/author&gt;&lt;/authors&gt;&lt;/contributors&gt;&lt;titles&gt;&lt;title&gt;Active learning: theory and applications&lt;/title&gt;&lt;/titles&gt;&lt;dates&gt;&lt;year&gt;2001&lt;/year&gt;&lt;/dates&gt;&lt;publisher&gt;Stanford University&lt;/publisher&gt;&lt;isbn&gt;0493404740&lt;/isbn&gt;&lt;urls&gt;&lt;/urls&gt;&lt;/record&gt;&lt;/Cite&gt;&lt;/EndNote&gt;</w:instrText>
      </w:r>
      <w:r>
        <w:rPr>
          <w:szCs w:val="20"/>
        </w:rPr>
        <w:fldChar w:fldCharType="separate"/>
      </w:r>
      <w:r>
        <w:rPr>
          <w:noProof/>
          <w:szCs w:val="20"/>
        </w:rPr>
        <w:t>(Tong, 2001)</w:t>
      </w:r>
      <w:r>
        <w:rPr>
          <w:szCs w:val="20"/>
        </w:rPr>
        <w:fldChar w:fldCharType="end"/>
      </w:r>
      <w:r>
        <w:rPr>
          <w:rFonts w:hint="eastAsia"/>
          <w:szCs w:val="20"/>
        </w:rPr>
        <w:t>.</w:t>
      </w:r>
      <w:r>
        <w:rPr>
          <w:szCs w:val="20"/>
        </w:rPr>
        <w:t xml:space="preserve"> </w:t>
      </w:r>
      <w:r>
        <w:rPr>
          <w:szCs w:val="20"/>
        </w:rPr>
        <w:t>There are studies that apply low-dimensional feature extraction through DL to address this limitation. DL models can be easily applied to high-dimensional data and feature engineering without human intervention in the data. In the case of DBL, high-dimensional image data is derived from an autoencoder with a low-dimensional feature, and then sampling data which is represent</w:t>
      </w:r>
      <w:r>
        <w:rPr>
          <w:szCs w:val="20"/>
        </w:rPr>
        <w:t>ing</w:t>
      </w:r>
      <w:r>
        <w:rPr>
          <w:szCs w:val="20"/>
        </w:rPr>
        <w:t xml:space="preserve"> dataset and or have uncertainty </w:t>
      </w:r>
      <w:r>
        <w:rPr>
          <w:szCs w:val="20"/>
        </w:rPr>
        <w:fldChar w:fldCharType="begin"/>
      </w:r>
      <w:r>
        <w:rPr>
          <w:szCs w:val="20"/>
        </w:rPr>
        <w:instrText xml:space="preserve"> ADDIN EN.CITE &lt;EndNote&gt;&lt;Cite&gt;&lt;Author&gt;Liu&lt;/Author&gt;&lt;Year&gt;2016&lt;/Year&gt;&lt;RecNum&gt;1&lt;/RecNum&gt;&lt;DisplayText&gt;(Liu, Zhang, &amp;amp; Eom, 2016)&lt;/DisplayText&gt;&lt;record&gt;&lt;rec-number&gt;1&lt;/rec-number&gt;&lt;foreign-keys&gt;&lt;key app="EN" db-id="rr0ztevxf59zeueereqxd5wc90a5rrp2v22a" timestamp="1665043030" guid="736742f9-ee3a-451f-9c62-2be617714dbd"&gt;1&lt;/key&gt;&lt;/foreign-keys&gt;&lt;ref-type name="Journal Article"&gt;17&lt;/ref-type&gt;&lt;contributors&gt;&lt;authors&gt;&lt;author&gt;Liu, Peng&lt;/author&gt;&lt;author&gt;Zhang, Hui&lt;/author&gt;&lt;author&gt;Eom, Kie B&lt;/author&gt;&lt;/authors&gt;&lt;/contributors&gt;&lt;titles&gt;&lt;title&gt;Active deep learning for classification of hyperspectral images&lt;/title&gt;&lt;secondary-title&gt;IEEE Journal of Selected Topics in Applied Earth Observations and Remote Sensing&lt;/secondary-title&gt;&lt;/titles&gt;&lt;periodical&gt;&lt;full-title&gt;IEEE Journal of Selected Topics in Applied Earth Observations and Remote Sensing&lt;/full-title&gt;&lt;/periodical&gt;&lt;pages&gt;712-724&lt;/pages&gt;&lt;volume&gt;10&lt;/volume&gt;&lt;number&gt;2&lt;/number&gt;&lt;dates&gt;&lt;year&gt;2016&lt;/year&gt;&lt;/dates&gt;&lt;isbn&gt;1939-1404&lt;/isbn&gt;&lt;urls&gt;&lt;/urls&gt;&lt;/record&gt;&lt;/Cite&gt;&lt;/EndNote&gt;</w:instrText>
      </w:r>
      <w:r>
        <w:rPr>
          <w:szCs w:val="20"/>
        </w:rPr>
        <w:fldChar w:fldCharType="separate"/>
      </w:r>
      <w:r>
        <w:rPr>
          <w:noProof/>
          <w:szCs w:val="20"/>
        </w:rPr>
        <w:t>(Liu, Zhang, &amp; Eom, 2016)</w:t>
      </w:r>
      <w:r>
        <w:rPr>
          <w:szCs w:val="20"/>
        </w:rPr>
        <w:fldChar w:fldCharType="end"/>
      </w:r>
      <w:r>
        <w:rPr>
          <w:rFonts w:hint="eastAsia"/>
          <w:szCs w:val="20"/>
        </w:rPr>
        <w:t>.</w:t>
      </w:r>
      <w:r>
        <w:rPr>
          <w:szCs w:val="20"/>
        </w:rPr>
        <w:t xml:space="preserve"> </w:t>
      </w:r>
      <w:r>
        <w:rPr>
          <w:szCs w:val="20"/>
        </w:rPr>
        <w:t>In the case of CEAL, active learning is performed on the unreliable data of CNN's model, and pseudo-labeling is performed only when the reliability is above a certain level</w:t>
      </w:r>
      <w:r>
        <w:rPr>
          <w:szCs w:val="20"/>
        </w:rPr>
        <w:fldChar w:fldCharType="begin"/>
      </w:r>
      <w:r>
        <w:rPr>
          <w:szCs w:val="20"/>
        </w:rPr>
        <w:instrText xml:space="preserve"> ADDIN EN.CITE &lt;EndNote&gt;&lt;Cite&gt;&lt;Author&gt;Wang&lt;/Author&gt;&lt;Year&gt;2016&lt;/Year&gt;&lt;RecNum&gt;14&lt;/RecNum&gt;&lt;DisplayText&gt;(K. Wang et al., 2016)&lt;/DisplayText&gt;&lt;record&gt;&lt;rec-number&gt;14&lt;/rec-number&gt;&lt;foreign-keys&gt;&lt;key app="EN" db-id="rr0ztevxf59zeueereqxd5wc90a5rrp2v22a" timestamp="1670307736" guid="d8738d0c-25c3-45ba-a35e-7506530e6bf6"&gt;14&lt;/key&gt;&lt;/foreign-keys&gt;&lt;ref-type name="Journal Article"&gt;17&lt;/ref-type&gt;&lt;contributors&gt;&lt;authors&gt;&lt;author&gt;Wang, Keze&lt;/author&gt;&lt;author&gt;Zhang, Dongyu&lt;/author&gt;&lt;author&gt;Li, Ya&lt;/author&gt;&lt;author&gt;Zhang, Ruimao&lt;/author&gt;&lt;author&gt;Lin, Liang&lt;/author&gt;&lt;/authors&gt;&lt;/contributors&gt;&lt;titles&gt;&lt;title&gt;Cost-effective active learning for deep image classification&lt;/title&gt;&lt;secondary-title&gt;IEEE Transactions on Circuits and Systems for Video Technology&lt;/secondary-title&gt;&lt;/titles&gt;&lt;periodical&gt;&lt;full-title&gt;IEEE Transactions on Circuits and Systems for Video Technology&lt;/full-title&gt;&lt;/periodical&gt;&lt;pages&gt;2591-2600&lt;/pages&gt;&lt;volume&gt;27&lt;/volume&gt;&lt;number&gt;12&lt;/number&gt;&lt;dates&gt;&lt;year&gt;2016&lt;/year&gt;&lt;/dates&gt;&lt;isbn&gt;1051-8215&lt;/isbn&gt;&lt;urls&gt;&lt;/urls&gt;&lt;/record&gt;&lt;/Cite&gt;&lt;/EndNote&gt;</w:instrText>
      </w:r>
      <w:r>
        <w:rPr>
          <w:szCs w:val="20"/>
        </w:rPr>
        <w:fldChar w:fldCharType="separate"/>
      </w:r>
      <w:r>
        <w:rPr>
          <w:noProof/>
          <w:szCs w:val="20"/>
        </w:rPr>
        <w:t>(K. Wang et al., 2016)</w:t>
      </w:r>
      <w:r>
        <w:rPr>
          <w:szCs w:val="20"/>
        </w:rPr>
        <w:fldChar w:fldCharType="end"/>
      </w:r>
      <w:r>
        <w:rPr>
          <w:rFonts w:hint="eastAsia"/>
          <w:szCs w:val="20"/>
        </w:rPr>
        <w:t>.</w:t>
      </w:r>
      <w:r>
        <w:rPr>
          <w:szCs w:val="20"/>
        </w:rPr>
        <w:t xml:space="preserve"> </w:t>
      </w:r>
      <w:r>
        <w:rPr>
          <w:szCs w:val="20"/>
        </w:rPr>
        <w:t>For BCNNs, the bayesian network is utilized to calculate uncertain</w:t>
      </w:r>
      <w:r>
        <w:rPr>
          <w:szCs w:val="20"/>
        </w:rPr>
        <w:t>ty</w:t>
      </w:r>
      <w:r>
        <w:rPr>
          <w:szCs w:val="20"/>
        </w:rPr>
        <w:t xml:space="preserve"> and use it as an acquisition strategy</w:t>
      </w:r>
      <w:r>
        <w:rPr>
          <w:szCs w:val="20"/>
        </w:rPr>
        <w:fldChar w:fldCharType="begin"/>
      </w:r>
      <w:r>
        <w:rPr>
          <w:szCs w:val="20"/>
        </w:rPr>
        <w:instrText xml:space="preserve"> ADDIN EN.CITE &lt;EndNote&gt;&lt;Cite&gt;&lt;Author&gt;Gal&lt;/Author&gt;&lt;Year&gt;2017&lt;/Year&gt;&lt;RecNum&gt;3&lt;/RecNum&gt;&lt;DisplayText&gt;(Gal et al., 2017)&lt;/DisplayText&gt;&lt;record&gt;&lt;rec-number&gt;3&lt;/rec-number&gt;&lt;foreign-keys&gt;&lt;key app="EN" db-id="rr0ztevxf59zeueereqxd5wc90a5rrp2v22a" timestamp="1665043094" guid="3e8b59ab-52da-4560-b699-d3e9277ee4b0"&gt;3&lt;/key&gt;&lt;/foreign-keys&gt;&lt;ref-type name="Conference Proceedings"&gt;10&lt;/ref-type&gt;&lt;contributors&gt;&lt;authors&gt;&lt;author&gt;Gal, Yarin&lt;/author&gt;&lt;author&gt;Islam, Riashat&lt;/author&gt;&lt;author&gt;Ghahramani, Zoubin&lt;/author&gt;&lt;/authors&gt;&lt;/contributors&gt;&lt;titles&gt;&lt;title&gt;Deep bayesian active learning with image data&lt;/title&gt;&lt;secondary-title&gt;International Conference on Machine Learning&lt;/secondary-title&gt;&lt;/titles&gt;&lt;pages&gt;1183-1192&lt;/pages&gt;&lt;dates&gt;&lt;year&gt;2017&lt;/year&gt;&lt;/dates&gt;&lt;publisher&gt;PMLR&lt;/publisher&gt;&lt;isbn&gt;2640-3498&lt;/isbn&gt;&lt;urls&gt;&lt;/urls&gt;&lt;/record&gt;&lt;/Cite&gt;&lt;/EndNote&gt;</w:instrText>
      </w:r>
      <w:r>
        <w:rPr>
          <w:szCs w:val="20"/>
        </w:rPr>
        <w:fldChar w:fldCharType="separate"/>
      </w:r>
      <w:r>
        <w:rPr>
          <w:noProof/>
          <w:szCs w:val="20"/>
        </w:rPr>
        <w:t>(Gal et al., 2017)</w:t>
      </w:r>
      <w:r>
        <w:rPr>
          <w:szCs w:val="20"/>
        </w:rPr>
        <w:fldChar w:fldCharType="end"/>
      </w:r>
      <w:r>
        <w:rPr>
          <w:rFonts w:hint="eastAsia"/>
          <w:szCs w:val="20"/>
        </w:rPr>
        <w:t>.</w:t>
      </w:r>
      <w:r>
        <w:rPr>
          <w:szCs w:val="20"/>
        </w:rPr>
        <w:t xml:space="preserve"> </w:t>
      </w:r>
      <w:r>
        <w:rPr>
          <w:szCs w:val="20"/>
        </w:rPr>
        <w:t>However, the above studies become unreliable as performance of the neural network model unreliable. Acquisition strategy based on a neural network model that has not been sufficiently learned is not reliable.</w:t>
      </w:r>
    </w:p>
    <w:p>
      <w:pPr>
        <w:ind w:firstLineChars="150" w:firstLine="300"/>
        <w:rPr>
          <w:rFonts w:eastAsiaTheme="minorHAnsi"/>
          <w:szCs w:val="20"/>
        </w:rPr>
      </w:pPr>
      <w:r>
        <w:rPr>
          <w:szCs w:val="20"/>
        </w:rPr>
        <w:t xml:space="preserve">On the other hand, there are studies that extract the feature of high-dimensional data through the unsupervised deep learning method and then apply AL. Prior works mainly extract low-dimensional image data through </w:t>
      </w:r>
      <w:r>
        <w:rPr>
          <w:szCs w:val="20"/>
        </w:rPr>
        <w:t>a</w:t>
      </w:r>
      <w:r>
        <w:rPr>
          <w:szCs w:val="20"/>
        </w:rPr>
        <w:t>utoencoder</w:t>
      </w:r>
      <w:r>
        <w:rPr>
          <w:szCs w:val="20"/>
        </w:rPr>
        <w:fldChar w:fldCharType="begin"/>
      </w:r>
      <w:r>
        <w:rPr>
          <w:szCs w:val="20"/>
        </w:rPr>
        <w:instrText xml:space="preserve"> ADDIN EN.CITE &lt;EndNote&gt;&lt;Cite&gt;&lt;Author&gt;Liu&lt;/Author&gt;&lt;Year&gt;2016&lt;/Year&gt;&lt;RecNum&gt;1&lt;/RecNum&gt;&lt;DisplayText&gt;(Liu et al., 2016; Sun, Li, Wang, Plaza, &amp;amp; Chen, 2016)&lt;/DisplayText&gt;&lt;record&gt;&lt;rec-number&gt;1&lt;/rec-number&gt;&lt;foreign-keys&gt;&lt;key app="EN" db-id="rr0ztevxf59zeueereqxd5wc90a5rrp2v22a" timestamp="1665043030" guid="736742f9-ee3a-451f-9c62-2be617714dbd"&gt;1&lt;/key&gt;&lt;/foreign-keys&gt;&lt;ref-type name="Journal Article"&gt;17&lt;/ref-type&gt;&lt;contributors&gt;&lt;authors&gt;&lt;author&gt;Liu, Peng&lt;/author&gt;&lt;author&gt;Zhang, Hui&lt;/author&gt;&lt;author&gt;Eom, Kie B&lt;/author&gt;&lt;/authors&gt;&lt;/contributors&gt;&lt;titles&gt;&lt;title&gt;Active deep learning for classification of hyperspectral images&lt;/title&gt;&lt;secondary-title&gt;IEEE Journal of Selected Topics in Applied Earth Observations and Remote Sensing&lt;/secondary-title&gt;&lt;/titles&gt;&lt;periodical&gt;&lt;full-title&gt;IEEE Journal of Selected Topics in Applied Earth Observations and Remote Sensing&lt;/full-title&gt;&lt;/periodical&gt;&lt;pages&gt;712-724&lt;/pages&gt;&lt;volume&gt;10&lt;/volume&gt;&lt;number&gt;2&lt;/number&gt;&lt;dates&gt;&lt;year&gt;2016&lt;/year&gt;&lt;/dates&gt;&lt;isbn&gt;1939-1404&lt;/isbn&gt;&lt;urls&gt;&lt;/urls&gt;&lt;/record&gt;&lt;/Cite&gt;&lt;Cite&gt;&lt;Author&gt;Sun&lt;/Author&gt;&lt;Year&gt;2016&lt;/Year&gt;&lt;RecNum&gt;20&lt;/RecNum&gt;&lt;record&gt;&lt;rec-number&gt;20&lt;/rec-number&gt;&lt;foreign-keys&gt;&lt;key app="EN" db-id="rr0ztevxf59zeueereqxd5wc90a5rrp2v22a" timestamp="1670309616" guid="34bc640d-3ec5-4696-ad60-da9412f59e33"&gt;20&lt;/key&gt;&lt;/foreign-keys&gt;&lt;ref-type name="Conference Proceedings"&gt;10&lt;/ref-type&gt;&lt;contributors&gt;&lt;authors&gt;&lt;author&gt;Sun, Yibao&lt;/author&gt;&lt;author&gt;Li, Jun&lt;/author&gt;&lt;author&gt;Wang, Wei&lt;/author&gt;&lt;author&gt;Plaza, Antonio&lt;/author&gt;&lt;author&gt;Chen, Zeqiang&lt;/author&gt;&lt;/authors&gt;&lt;/contributors&gt;&lt;titles&gt;&lt;title&gt;Active learning based autoencoder for hyperspectral imagery classification&lt;/title&gt;&lt;secondary-title&gt;2016 IEEE International Geoscience and Remote Sensing Symposium (IGARSS)&lt;/secondary-title&gt;&lt;/titles&gt;&lt;pages&gt;469-472&lt;/pages&gt;&lt;dates&gt;&lt;year&gt;2016&lt;/year&gt;&lt;/dates&gt;&lt;publisher&gt;IEEE&lt;/publisher&gt;&lt;isbn&gt;1509033327&lt;/isbn&gt;&lt;urls&gt;&lt;/urls&gt;&lt;/record&gt;&lt;/Cite&gt;&lt;/EndNote&gt;</w:instrText>
      </w:r>
      <w:r>
        <w:rPr>
          <w:szCs w:val="20"/>
        </w:rPr>
        <w:fldChar w:fldCharType="separate"/>
      </w:r>
      <w:r>
        <w:rPr>
          <w:noProof/>
          <w:szCs w:val="20"/>
        </w:rPr>
        <w:t>(Liu et al., 2016; Sun, Li, Wang, Plaza, &amp; Chen, 2016)</w:t>
      </w:r>
      <w:r>
        <w:rPr>
          <w:szCs w:val="20"/>
        </w:rPr>
        <w:fldChar w:fldCharType="end"/>
      </w:r>
      <w:r>
        <w:rPr>
          <w:rFonts w:hint="eastAsia"/>
          <w:szCs w:val="20"/>
        </w:rPr>
        <w:t>.</w:t>
      </w:r>
      <w:r>
        <w:rPr>
          <w:szCs w:val="20"/>
        </w:rPr>
        <w:t xml:space="preserve"> </w:t>
      </w:r>
      <w:r>
        <w:rPr>
          <w:szCs w:val="20"/>
        </w:rPr>
        <w:t>VAL samples data focusing on diversity in latent space through a variational autoencoder</w:t>
      </w:r>
      <w:r>
        <w:rPr>
          <w:szCs w:val="20"/>
        </w:rPr>
        <w:fldChar w:fldCharType="begin"/>
      </w:r>
      <w:r>
        <w:rPr>
          <w:szCs w:val="20"/>
        </w:rPr>
        <w:instrText xml:space="preserve"> ADDIN EN.CITE &lt;EndNote&gt;&lt;Cite&gt;&lt;Author&gt;Sinha&lt;/Author&gt;&lt;Year&gt;2019&lt;/Year&gt;&lt;RecNum&gt;18&lt;/RecNum&gt;&lt;DisplayText&gt;(Sinha, Ebrahimi, &amp;amp; Darrell, 2019)&lt;/DisplayText&gt;&lt;record&gt;&lt;rec-number&gt;18&lt;/rec-number&gt;&lt;foreign-keys&gt;&lt;key app="EN" db-id="rr0ztevxf59zeueereqxd5wc90a5rrp2v22a" timestamp="1670308685" guid="532c0338-bad6-41e1-aa77-21debe235b19"&gt;18&lt;/key&gt;&lt;/foreign-keys&gt;&lt;ref-type name="Conference Proceedings"&gt;10&lt;/ref-type&gt;&lt;contributors&gt;&lt;authors&gt;&lt;author&gt;Sinha, Samarth&lt;/author&gt;&lt;author&gt;Ebrahimi, Sayna&lt;/author&gt;&lt;author&gt;Darrell, Trevor&lt;/author&gt;&lt;/authors&gt;&lt;/contributors&gt;&lt;titles&gt;&lt;title&gt;Variational adversarial active learning&lt;/title&gt;&lt;secondary-title&gt;Proceedings of the IEEE/CVF International Conference on Computer Vision&lt;/secondary-title&gt;&lt;/titles&gt;&lt;pages&gt;5972-5981&lt;/pages&gt;&lt;dates&gt;&lt;year&gt;2019&lt;/year&gt;&lt;/dates&gt;&lt;urls&gt;&lt;/urls&gt;&lt;/record&gt;&lt;/Cite&gt;&lt;/EndNote&gt;</w:instrText>
      </w:r>
      <w:r>
        <w:rPr>
          <w:szCs w:val="20"/>
        </w:rPr>
        <w:fldChar w:fldCharType="separate"/>
      </w:r>
      <w:r>
        <w:rPr>
          <w:noProof/>
          <w:szCs w:val="20"/>
        </w:rPr>
        <w:t>(Sinha, Ebrahimi, &amp; Darrell, 2019)</w:t>
      </w:r>
      <w:r>
        <w:rPr>
          <w:szCs w:val="20"/>
        </w:rPr>
        <w:fldChar w:fldCharType="end"/>
      </w:r>
      <w:r>
        <w:rPr>
          <w:rFonts w:hint="eastAsia"/>
          <w:szCs w:val="20"/>
        </w:rPr>
        <w:t>.</w:t>
      </w:r>
      <w:r>
        <w:rPr>
          <w:szCs w:val="20"/>
        </w:rPr>
        <w:t xml:space="preserve"> </w:t>
      </w:r>
      <w:r>
        <w:rPr>
          <w:szCs w:val="20"/>
        </w:rPr>
        <w:t>This method can produce its original performance even if label data is insufficient due to unsupervi</w:t>
      </w:r>
      <w:r>
        <w:rPr>
          <w:szCs w:val="20"/>
        </w:rPr>
        <w:t>s</w:t>
      </w:r>
      <w:r>
        <w:rPr>
          <w:szCs w:val="20"/>
        </w:rPr>
        <w:t>ed learning. Therefore, in this study, we will also apply feature extraction through unsupervised learning to apply high-dimensional image data.</w:t>
      </w:r>
    </w:p>
    <w:p>
      <w:pPr>
        <w:rPr>
          <w:rFonts w:eastAsiaTheme="minorHAnsi"/>
          <w:b/>
          <w:bCs/>
          <w:szCs w:val="20"/>
        </w:rPr>
      </w:pPr>
      <w:r>
        <w:rPr>
          <w:rFonts w:eastAsiaTheme="minorHAnsi"/>
          <w:b/>
          <w:bCs/>
          <w:szCs w:val="20"/>
        </w:rPr>
        <w:t xml:space="preserve">3. Method </w:t>
      </w:r>
    </w:p>
    <w:p>
      <w:pPr>
        <w:rPr>
          <w:rFonts w:eastAsiaTheme="minorHAnsi"/>
          <w:b/>
          <w:bCs/>
          <w:szCs w:val="20"/>
        </w:rPr>
      </w:pPr>
      <w:r>
        <w:rPr>
          <w:rFonts w:eastAsiaTheme="minorHAnsi"/>
          <w:b/>
          <w:bCs/>
          <w:szCs w:val="20"/>
        </w:rPr>
        <w:t xml:space="preserve"> 3.1) Model structure</w:t>
      </w:r>
    </w:p>
    <w:p>
      <w:pPr>
        <w:ind w:leftChars="50" w:left="100" w:firstLineChars="100" w:firstLine="200"/>
        <w:rPr>
          <w:szCs w:val="20"/>
        </w:rPr>
      </w:pPr>
      <w:r>
        <w:rPr>
          <w:rFonts w:eastAsiaTheme="minorHAnsi"/>
          <w:bCs/>
          <w:szCs w:val="20"/>
        </w:rPr>
        <w:t>Notation</w:t>
      </w:r>
      <w:r>
        <w:rPr>
          <w:rFonts w:eastAsiaTheme="minorHAnsi"/>
          <w:bCs/>
          <w:szCs w:val="20"/>
        </w:rPr>
        <w:t xml:space="preserve"> </w:t>
      </w:r>
      <w:r>
        <w:rPr>
          <w:rFonts w:eastAsiaTheme="minorHAnsi"/>
          <w:bCs/>
          <w:szCs w:val="20"/>
        </w:rPr>
        <w:t>refers to</w:t>
      </w:r>
      <w:r>
        <w:rPr>
          <w:rFonts w:eastAsiaTheme="minorHAnsi"/>
          <w:bCs/>
          <w:szCs w:val="20"/>
        </w:rPr>
        <w:t xml:space="preserve"> Arazo</w:t>
      </w:r>
      <w:r>
        <w:rPr>
          <w:rFonts w:eastAsiaTheme="minorHAnsi"/>
          <w:bCs/>
          <w:szCs w:val="20"/>
        </w:rPr>
        <w:t xml:space="preserve">’s research </w:t>
      </w:r>
      <w:r>
        <w:rPr>
          <w:rFonts w:eastAsiaTheme="minorHAnsi"/>
          <w:bCs/>
          <w:szCs w:val="20"/>
        </w:rPr>
        <w:fldChar w:fldCharType="begin"/>
      </w:r>
      <w:r>
        <w:rPr>
          <w:rFonts w:eastAsiaTheme="minorHAnsi"/>
          <w:bCs/>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bCs/>
          <w:szCs w:val="20"/>
        </w:rPr>
        <w:fldChar w:fldCharType="separate"/>
      </w:r>
      <w:r>
        <w:rPr>
          <w:rFonts w:eastAsiaTheme="minorHAnsi"/>
          <w:bCs/>
          <w:noProof/>
          <w:szCs w:val="20"/>
        </w:rPr>
        <w:t>(Arazo et al., 2020)</w:t>
      </w:r>
      <w:r>
        <w:rPr>
          <w:rFonts w:eastAsiaTheme="minorHAnsi"/>
          <w:bCs/>
          <w:szCs w:val="20"/>
        </w:rPr>
        <w:fldChar w:fldCharType="end"/>
      </w:r>
      <w:r>
        <w:rPr>
          <w:rFonts w:eastAsiaTheme="minorHAnsi"/>
          <w:bCs/>
          <w:szCs w:val="20"/>
        </w:rPr>
        <w:t xml:space="preserve">. </w:t>
      </w:r>
      <w:r>
        <w:rPr>
          <w:rFonts w:eastAsiaTheme="minorHAnsi"/>
          <w:bCs/>
          <w:szCs w:val="20"/>
        </w:rPr>
        <w:t xml:space="preserve">Let </w:t>
      </w:r>
      <w:r>
        <w:rPr>
          <w:rFonts w:eastAsiaTheme="minorHAnsi"/>
          <w:bCs/>
          <w:szCs w:val="20"/>
        </w:rPr>
        <w:t>Dataset D</w:t>
      </w:r>
      <w:r>
        <w:rPr>
          <w:rFonts w:eastAsiaTheme="minorHAnsi"/>
          <w:bCs/>
          <w:szCs w:val="20"/>
        </w:rPr>
        <w:t xml:space="preserve"> </w:t>
      </w:r>
      <w:r>
        <w:rPr>
          <w:rFonts w:eastAsiaTheme="minorHAnsi"/>
          <w:bCs/>
          <w:szCs w:val="20"/>
        </w:rPr>
        <w:t>as</w:t>
      </w:r>
      <w:r>
        <w:rPr>
          <w:rFonts w:eastAsiaTheme="minorHAnsi"/>
          <w:bCs/>
          <w:szCs w:val="20"/>
        </w:rPr>
        <w:t xml:space="preserve"> </w:t>
      </w:r>
      <w:r>
        <w:rPr>
          <w:rFonts w:hint="eastAsia"/>
          <w:szCs w:val="20"/>
        </w:rPr>
        <w:t>unlabeled</w:t>
      </w:r>
      <w:r>
        <w:rPr>
          <w:szCs w:val="20"/>
        </w:rPr>
        <w:t xml:space="preserve"> </w:t>
      </w:r>
      <w:r>
        <w:rPr>
          <w:rFonts w:hint="eastAsia"/>
          <w:szCs w:val="20"/>
        </w:rPr>
        <w:t xml:space="preserve">set </w:t>
      </w:r>
      <m:oMath>
        <m:sSub>
          <m:sSubPr>
            <m:ctrlPr>
              <w:rPr>
                <w:rFonts w:ascii="Cambria Math" w:eastAsiaTheme="minorHAnsi" w:hAnsi="Cambria Math"/>
                <w:i/>
                <w:szCs w:val="20"/>
              </w:rPr>
            </m:ctrlPr>
          </m:sSubPr>
          <m:e>
            <m:r>
              <w:rPr>
                <w:rFonts w:ascii="Cambria Math" w:eastAsiaTheme="minorHAnsi" w:hAnsi="Cambria Math"/>
                <w:szCs w:val="20"/>
              </w:rPr>
              <m:t>D</m:t>
            </m:r>
          </m:e>
          <m:sub>
            <m:r>
              <w:rPr>
                <w:rFonts w:ascii="Cambria Math" w:eastAsiaTheme="minorHAnsi" w:hAnsi="Cambria Math"/>
                <w:szCs w:val="20"/>
              </w:rPr>
              <m:t>u</m:t>
            </m:r>
          </m:sub>
        </m:sSub>
        <m:r>
          <w:rPr>
            <w:rFonts w:ascii="Cambria Math" w:eastAsiaTheme="minorHAnsi" w:hAnsi="Cambria Math"/>
            <w:szCs w:val="20"/>
          </w:rPr>
          <m:t>=</m:t>
        </m:r>
        <m:sSubSup>
          <m:sSubSupPr>
            <m:ctrlPr>
              <w:rPr>
                <w:rFonts w:ascii="Cambria Math" w:eastAsiaTheme="minorHAnsi" w:hAnsi="Cambria Math"/>
                <w:i/>
                <w:szCs w:val="20"/>
              </w:rPr>
            </m:ctrlPr>
          </m:sSubSupPr>
          <m:e>
            <m:d>
              <m:dPr>
                <m:begChr m:val="{"/>
                <m:endChr m:val="}"/>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e>
            </m:d>
          </m:e>
          <m:sub>
            <m:r>
              <w:rPr>
                <w:rFonts w:ascii="Cambria Math" w:eastAsiaTheme="minorHAnsi" w:hAnsi="Cambria Math"/>
                <w:szCs w:val="20"/>
              </w:rPr>
              <m:t>i=1</m:t>
            </m:r>
          </m:sub>
          <m:sup>
            <m:sSub>
              <m:sSubPr>
                <m:ctrlPr>
                  <w:rPr>
                    <w:rFonts w:ascii="Cambria Math" w:eastAsiaTheme="minorHAnsi" w:hAnsi="Cambria Math"/>
                    <w:bCs/>
                    <w:i/>
                    <w:szCs w:val="20"/>
                  </w:rPr>
                </m:ctrlPr>
              </m:sSubPr>
              <m:e>
                <m:r>
                  <w:rPr>
                    <w:rFonts w:ascii="Cambria Math" w:eastAsiaTheme="minorHAnsi" w:hAnsi="Cambria Math"/>
                    <w:szCs w:val="20"/>
                  </w:rPr>
                  <m:t>N</m:t>
                </m:r>
              </m:e>
              <m:sub>
                <m:r>
                  <w:rPr>
                    <w:rFonts w:ascii="Cambria Math" w:eastAsiaTheme="minorHAnsi" w:hAnsi="Cambria Math"/>
                    <w:szCs w:val="20"/>
                  </w:rPr>
                  <m:t>u</m:t>
                </m:r>
              </m:sub>
            </m:sSub>
          </m:sup>
        </m:sSubSup>
      </m:oMath>
      <w:r>
        <w:rPr>
          <w:rFonts w:hint="eastAsia"/>
          <w:bCs/>
          <w:szCs w:val="20"/>
        </w:rPr>
        <w:t xml:space="preserve"> </w:t>
      </w:r>
      <w:r>
        <w:rPr>
          <w:bCs/>
          <w:szCs w:val="20"/>
        </w:rPr>
        <w:t>and</w:t>
      </w:r>
      <w:r>
        <w:rPr>
          <w:bCs/>
          <w:szCs w:val="20"/>
        </w:rPr>
        <w:t xml:space="preserve"> </w:t>
      </w:r>
      <w:r>
        <w:rPr>
          <w:rFonts w:hint="eastAsia"/>
          <w:bCs/>
          <w:szCs w:val="20"/>
        </w:rPr>
        <w:t>labeled</w:t>
      </w:r>
      <w:r>
        <w:rPr>
          <w:bCs/>
          <w:szCs w:val="20"/>
        </w:rPr>
        <w:t xml:space="preserve"> </w:t>
      </w:r>
      <w:r>
        <w:rPr>
          <w:rFonts w:hint="eastAsia"/>
          <w:bCs/>
          <w:szCs w:val="20"/>
        </w:rPr>
        <w:t>set</w:t>
      </w:r>
      <w:r>
        <w:rPr>
          <w:bCs/>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D</m:t>
            </m:r>
          </m:e>
          <m:sub>
            <m:r>
              <w:rPr>
                <w:rFonts w:ascii="Cambria Math" w:eastAsiaTheme="minorHAnsi" w:hAnsi="Cambria Math"/>
                <w:szCs w:val="20"/>
              </w:rPr>
              <m:t>l</m:t>
            </m:r>
          </m:sub>
        </m:sSub>
        <m:r>
          <w:rPr>
            <w:rFonts w:ascii="Cambria Math" w:eastAsiaTheme="minorHAnsi" w:hAnsi="Cambria Math"/>
            <w:szCs w:val="20"/>
          </w:rPr>
          <m:t>=</m:t>
        </m:r>
        <m:sSubSup>
          <m:sSubSupPr>
            <m:ctrlPr>
              <w:rPr>
                <w:rFonts w:ascii="Cambria Math" w:eastAsiaTheme="minorHAnsi" w:hAnsi="Cambria Math"/>
                <w:i/>
                <w:szCs w:val="20"/>
              </w:rPr>
            </m:ctrlPr>
          </m:sSubSupPr>
          <m:e>
            <m:d>
              <m:dPr>
                <m:begChr m:val="{"/>
                <m:endChr m:val="}"/>
                <m:ctrlPr>
                  <w:rPr>
                    <w:rFonts w:ascii="Cambria Math" w:eastAsiaTheme="minorHAnsi" w:hAnsi="Cambria Math"/>
                    <w:i/>
                    <w:szCs w:val="20"/>
                  </w:rPr>
                </m:ctrlPr>
              </m:dPr>
              <m:e>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y</m:t>
                    </m:r>
                  </m:e>
                  <m:sub>
                    <m:r>
                      <w:rPr>
                        <w:rFonts w:ascii="Cambria Math" w:eastAsiaTheme="minorHAnsi" w:hAnsi="Cambria Math"/>
                        <w:szCs w:val="20"/>
                      </w:rPr>
                      <m:t>i</m:t>
                    </m:r>
                  </m:sub>
                </m:sSub>
                <m:r>
                  <w:rPr>
                    <w:rFonts w:ascii="Cambria Math" w:eastAsiaTheme="minorHAnsi" w:hAnsi="Cambria Math"/>
                    <w:szCs w:val="20"/>
                  </w:rPr>
                  <m:t>)</m:t>
                </m:r>
              </m:e>
            </m:d>
          </m:e>
          <m:sub>
            <m:r>
              <w:rPr>
                <w:rFonts w:ascii="Cambria Math" w:eastAsiaTheme="minorHAnsi" w:hAnsi="Cambria Math"/>
                <w:szCs w:val="20"/>
              </w:rPr>
              <m:t>i=1</m:t>
            </m:r>
          </m:sub>
          <m:sup>
            <m:sSub>
              <m:sSubPr>
                <m:ctrlPr>
                  <w:rPr>
                    <w:rFonts w:ascii="Cambria Math" w:eastAsiaTheme="minorHAnsi" w:hAnsi="Cambria Math"/>
                    <w:bCs/>
                    <w:i/>
                    <w:szCs w:val="20"/>
                  </w:rPr>
                </m:ctrlPr>
              </m:sSubPr>
              <m:e>
                <m:r>
                  <w:rPr>
                    <w:rFonts w:ascii="Cambria Math" w:eastAsiaTheme="minorHAnsi" w:hAnsi="Cambria Math"/>
                    <w:szCs w:val="20"/>
                  </w:rPr>
                  <m:t>N</m:t>
                </m:r>
              </m:e>
              <m:sub>
                <m:r>
                  <w:rPr>
                    <w:rFonts w:ascii="Cambria Math" w:eastAsiaTheme="minorHAnsi" w:hAnsi="Cambria Math"/>
                    <w:szCs w:val="20"/>
                  </w:rPr>
                  <m:t>l</m:t>
                </m:r>
              </m:sub>
            </m:sSub>
          </m:sup>
        </m:sSubSup>
      </m:oMath>
      <w:r>
        <w:rPr>
          <w:rFonts w:hint="eastAsia"/>
          <w:bCs/>
          <w:szCs w:val="20"/>
        </w:rPr>
        <w:t xml:space="preserve"> s.t.</w:t>
      </w:r>
      <w:r>
        <w:rPr>
          <w:bCs/>
          <w:szCs w:val="20"/>
        </w:rPr>
        <w:t xml:space="preserve"> </w:t>
      </w:r>
      <m:oMath>
        <m:r>
          <w:rPr>
            <w:rFonts w:ascii="Cambria Math" w:eastAsiaTheme="minorHAnsi" w:hAnsi="Cambria Math"/>
            <w:szCs w:val="20"/>
          </w:rPr>
          <m:t>N</m:t>
        </m:r>
        <m:r>
          <m:rPr>
            <m:sty m:val="p"/>
          </m:rPr>
          <w:rPr>
            <w:rFonts w:ascii="Cambria Math" w:hAnsi="Cambria Math" w:hint="eastAsia"/>
            <w:szCs w:val="20"/>
          </w:rPr>
          <m:t>=</m:t>
        </m:r>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r>
          <w:rPr>
            <w:rFonts w:ascii="Cambria Math" w:hAnsi="Cambria Math" w:hint="eastAsia"/>
            <w:szCs w:val="20"/>
          </w:rPr>
          <m:t>+</m:t>
        </m:r>
        <m:r>
          <w:rPr>
            <w:rFonts w:ascii="Cambria Math" w:hAnsi="Cambria Math"/>
            <w:szCs w:val="20"/>
          </w:rPr>
          <m:t xml:space="preserve"> </m:t>
        </m:r>
        <m:sSub>
          <m:sSubPr>
            <m:ctrlPr>
              <w:rPr>
                <w:rFonts w:ascii="Cambria Math" w:hAnsi="Cambria Math"/>
                <w:i/>
                <w:szCs w:val="20"/>
              </w:rPr>
            </m:ctrlPr>
          </m:sSubPr>
          <m:e>
            <m:r>
              <w:rPr>
                <w:rFonts w:ascii="Cambria Math" w:hAnsi="Cambria Math" w:hint="eastAsia"/>
                <w:szCs w:val="20"/>
              </w:rPr>
              <m:t>N</m:t>
            </m:r>
          </m:e>
          <m:sub>
            <m:r>
              <w:rPr>
                <w:rFonts w:ascii="Cambria Math" w:hAnsi="Cambria Math" w:hint="eastAsia"/>
                <w:szCs w:val="20"/>
              </w:rPr>
              <m:t>u</m:t>
            </m:r>
          </m:sub>
        </m:sSub>
      </m:oMath>
      <w:r>
        <w:rPr>
          <w:rFonts w:hint="eastAsia"/>
          <w:szCs w:val="20"/>
        </w:rPr>
        <w:t>.</w:t>
      </w:r>
      <w:r>
        <w:rPr>
          <w:szCs w:val="20"/>
        </w:rPr>
        <w:t xml:space="preserve"> </w:t>
      </w:r>
      <w:r>
        <w:rPr>
          <w:bCs/>
          <w:szCs w:val="20"/>
        </w:rPr>
        <w:t xml:space="preserve">The two new classification methods presented in this study will be called </w:t>
      </w:r>
      <w:r>
        <w:rPr>
          <w:bCs/>
          <w:szCs w:val="20"/>
        </w:rPr>
        <w:t>CS (</w:t>
      </w:r>
      <w:r>
        <w:rPr>
          <w:bCs/>
          <w:szCs w:val="20"/>
        </w:rPr>
        <w:t xml:space="preserve">Coreset </w:t>
      </w:r>
      <w:r>
        <w:rPr>
          <w:bCs/>
          <w:szCs w:val="20"/>
        </w:rPr>
        <w:t>selection-based</w:t>
      </w:r>
      <w:r>
        <w:rPr>
          <w:bCs/>
          <w:szCs w:val="20"/>
        </w:rPr>
        <w:t xml:space="preserve"> classification) 1 and CS2, respectively</w:t>
      </w:r>
      <w:r>
        <w:rPr>
          <w:rFonts w:hint="eastAsia"/>
          <w:szCs w:val="20"/>
        </w:rPr>
        <w:t>.</w:t>
      </w:r>
      <w:r>
        <w:rPr>
          <w:szCs w:val="20"/>
        </w:rPr>
        <w:t xml:space="preserve"> </w:t>
      </w:r>
      <w:r>
        <w:rPr>
          <w:szCs w:val="20"/>
        </w:rPr>
        <w:t xml:space="preserve">CS1 performs classification in the form of a hard label by utilizing the geometric relationship between subgraphs in contact. CS2 calculates a class- probability vector </w:t>
      </w:r>
      <m:oMath>
        <m:sSub>
          <m:sSubPr>
            <m:ctrlPr>
              <w:rPr>
                <w:rFonts w:ascii="Cambria Math" w:eastAsiaTheme="minorHAnsi" w:hAnsi="Cambria Math"/>
                <w:i/>
                <w:szCs w:val="20"/>
              </w:rPr>
            </m:ctrlPr>
          </m:sSubPr>
          <m:e>
            <m:r>
              <w:rPr>
                <w:rFonts w:ascii="Cambria Math" w:eastAsia="MS Gothic" w:hAnsi="Cambria Math" w:cs="MS Gothic" w:hint="eastAsia"/>
                <w:szCs w:val="20"/>
              </w:rPr>
              <m:t>h</m:t>
            </m:r>
          </m:e>
          <m:sub>
            <m:r>
              <w:rPr>
                <w:rFonts w:ascii="Cambria Math" w:eastAsiaTheme="minorHAnsi" w:hAnsi="Cambria Math"/>
                <w:szCs w:val="20"/>
              </w:rPr>
              <m:t>CS2</m:t>
            </m:r>
          </m:sub>
        </m:sSub>
      </m:oMath>
      <w:r>
        <w:rPr>
          <w:szCs w:val="20"/>
        </w:rPr>
        <w:t xml:space="preserve"> according to the degree of overlap of subgraphs for each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oMath>
      <w:r>
        <w:rPr>
          <w:szCs w:val="20"/>
        </w:rPr>
        <w:t xml:space="preserve"> when performing multiple </w:t>
      </w:r>
      <w:r>
        <w:rPr>
          <w:szCs w:val="20"/>
        </w:rPr>
        <w:t xml:space="preserve">iterations of the coreset selection. A specific method will be described in detail later. </w:t>
      </w:r>
    </w:p>
    <w:p>
      <w:pPr>
        <w:ind w:firstLine="204"/>
        <w:rPr>
          <w:rFonts w:eastAsiaTheme="minorHAnsi"/>
          <w:bCs/>
          <w:szCs w:val="20"/>
        </w:rPr>
      </w:pPr>
      <w:r>
        <w:rPr>
          <w:szCs w:val="20"/>
        </w:rPr>
        <w:t>To prevent Confirmation bias</w:t>
      </w:r>
      <w:r>
        <w:rPr>
          <w:rFonts w:hint="eastAsia"/>
          <w:szCs w:val="20"/>
        </w:rPr>
        <w:t>,</w:t>
      </w:r>
      <w:r>
        <w:rPr>
          <w:szCs w:val="20"/>
        </w:rPr>
        <w:t xml:space="preserve"> we apply</w:t>
      </w:r>
      <w:r>
        <w:rPr>
          <w:rFonts w:hint="eastAsia"/>
          <w:szCs w:val="20"/>
        </w:rPr>
        <w:t xml:space="preserve"> </w:t>
      </w:r>
      <w:r>
        <w:rPr>
          <w:szCs w:val="20"/>
        </w:rPr>
        <w:t>Mix-up data augmentation</w:t>
      </w:r>
      <w:r>
        <w:rPr>
          <w:rFonts w:hint="eastAsia"/>
          <w:szCs w:val="20"/>
        </w:rPr>
        <w:t xml:space="preserve"> </w:t>
      </w:r>
      <w:r>
        <w:rPr>
          <w:szCs w:val="20"/>
        </w:rPr>
        <w:t>and</w:t>
      </w:r>
      <w:r>
        <w:rPr>
          <w:rFonts w:hint="eastAsia"/>
          <w:szCs w:val="20"/>
        </w:rPr>
        <w:t xml:space="preserve"> </w:t>
      </w:r>
      <w:r>
        <w:rPr>
          <w:szCs w:val="20"/>
        </w:rPr>
        <w:t>setting a minimum number of labeled samples per mini-batch</w:t>
      </w:r>
      <w:r>
        <w:rPr>
          <w:rFonts w:hint="eastAsia"/>
          <w:szCs w:val="20"/>
        </w:rPr>
        <w:t>.</w:t>
      </w:r>
      <w:r>
        <w:rPr>
          <w:szCs w:val="20"/>
        </w:rPr>
        <w:t xml:space="preserve"> Mix-up data augmentation</w:t>
      </w:r>
      <w:r>
        <w:rPr>
          <w:rFonts w:hint="eastAsia"/>
          <w:szCs w:val="20"/>
        </w:rPr>
        <w:t xml:space="preserve"> </w:t>
      </w:r>
      <w:r>
        <w:rPr>
          <w:szCs w:val="20"/>
        </w:rPr>
        <w:t>is a powerful regulatory method that combines data augmentation and</w:t>
      </w:r>
      <w:r>
        <w:rPr>
          <w:rFonts w:hint="eastAsia"/>
          <w:szCs w:val="20"/>
        </w:rPr>
        <w:t xml:space="preserve"> </w:t>
      </w:r>
      <w:r>
        <w:rPr>
          <w:szCs w:val="20"/>
        </w:rPr>
        <w:t>label smoothing</w:t>
      </w:r>
      <w:r>
        <w:rPr>
          <w:szCs w:val="20"/>
        </w:rPr>
        <w:t xml:space="preserve"> </w:t>
      </w:r>
      <w:r>
        <w:rPr>
          <w:szCs w:val="20"/>
        </w:rPr>
        <w:fldChar w:fldCharType="begin"/>
      </w:r>
      <w:r>
        <w:rPr>
          <w:szCs w:val="20"/>
        </w:rPr>
        <w:instrText xml:space="preserve"> ADDIN EN.CITE &lt;EndNote&gt;&lt;Cite&gt;&lt;Author&gt;Zhang&lt;/Author&gt;&lt;Year&gt;2017&lt;/Year&gt;&lt;RecNum&gt;8&lt;/RecNum&gt;&lt;DisplayText&gt;(Zhang et al., 2017)&lt;/DisplayText&gt;&lt;record&gt;&lt;rec-number&gt;8&lt;/rec-number&gt;&lt;foreign-keys&gt;&lt;key app="EN" db-id="rr0ztevxf59zeueereqxd5wc90a5rrp2v22a" timestamp="1666760357" guid="741b3de5-cd6d-41bf-a883-056b9264892e"&gt;8&lt;/key&gt;&lt;/foreign-keys&gt;&lt;ref-type name="Journal Article"&gt;17&lt;/ref-type&gt;&lt;contributors&gt;&lt;authors&gt;&lt;author&gt;Zhang, Hongyi&lt;/author&gt;&lt;author&gt;Cisse, Moustapha&lt;/author&gt;&lt;author&gt;Dauphin, Yann N&lt;/author&gt;&lt;author&gt;Lopez-Paz, David&lt;/author&gt;&lt;/authors&gt;&lt;/contributors&gt;&lt;titles&gt;&lt;title&gt;mixup: Beyond empirical risk minimization&lt;/title&gt;&lt;secondary-title&gt;arXiv preprint arXiv:1710.09412&lt;/secondary-title&gt;&lt;/titles&gt;&lt;periodical&gt;&lt;full-title&gt;arXiv preprint arXiv:1710.09412&lt;/full-title&gt;&lt;/periodical&gt;&lt;dates&gt;&lt;year&gt;2017&lt;/year&gt;&lt;/dates&gt;&lt;urls&gt;&lt;/urls&gt;&lt;/record&gt;&lt;/Cite&gt;&lt;/EndNote&gt;</w:instrText>
      </w:r>
      <w:r>
        <w:rPr>
          <w:szCs w:val="20"/>
        </w:rPr>
        <w:fldChar w:fldCharType="separate"/>
      </w:r>
      <w:r>
        <w:rPr>
          <w:noProof/>
          <w:szCs w:val="20"/>
        </w:rPr>
        <w:t>(Zhang et al., 2017)</w:t>
      </w:r>
      <w:r>
        <w:rPr>
          <w:szCs w:val="20"/>
        </w:rPr>
        <w:fldChar w:fldCharType="end"/>
      </w:r>
      <w:r>
        <w:rPr>
          <w:rFonts w:hint="eastAsia"/>
          <w:szCs w:val="20"/>
        </w:rPr>
        <w:t>.</w:t>
      </w:r>
      <w:r>
        <w:rPr>
          <w:szCs w:val="20"/>
        </w:rPr>
        <w:t xml:space="preserve"> </w:t>
      </w:r>
      <w:r>
        <w:rPr>
          <w:szCs w:val="20"/>
        </w:rPr>
        <w:t xml:space="preserve">Confirmation bias is well prevented when </w:t>
      </w:r>
      <w:r>
        <w:rPr>
          <w:rFonts w:eastAsiaTheme="minorHAnsi"/>
          <w:bCs/>
          <w:szCs w:val="20"/>
        </w:rPr>
        <w:t>Mix-up data augmentation</w:t>
      </w:r>
      <w:r>
        <w:rPr>
          <w:rFonts w:eastAsiaTheme="minorHAnsi"/>
          <w:bCs/>
          <w:szCs w:val="20"/>
        </w:rPr>
        <w:t xml:space="preserve"> and</w:t>
      </w:r>
      <w:r>
        <w:rPr>
          <w:rFonts w:eastAsiaTheme="minorHAnsi"/>
          <w:bCs/>
          <w:szCs w:val="20"/>
        </w:rPr>
        <w:t xml:space="preserve"> setting a minimum number of labeled samples for mini-batch k</w:t>
      </w:r>
      <w:r>
        <w:rPr>
          <w:rFonts w:eastAsiaTheme="minorHAnsi"/>
          <w:bCs/>
          <w:szCs w:val="20"/>
        </w:rPr>
        <w:t xml:space="preserve"> simultaneously</w:t>
      </w:r>
      <w:r>
        <w:rPr>
          <w:rFonts w:eastAsiaTheme="minorHAnsi"/>
          <w:bCs/>
          <w:szCs w:val="20"/>
        </w:rPr>
        <w:fldChar w:fldCharType="begin"/>
      </w:r>
      <w:r>
        <w:rPr>
          <w:rFonts w:eastAsiaTheme="minorHAnsi"/>
          <w:bCs/>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bCs/>
          <w:szCs w:val="20"/>
        </w:rPr>
        <w:fldChar w:fldCharType="separate"/>
      </w:r>
      <w:r>
        <w:rPr>
          <w:rFonts w:eastAsiaTheme="minorHAnsi"/>
          <w:bCs/>
          <w:noProof/>
          <w:szCs w:val="20"/>
        </w:rPr>
        <w:t>(Arazo et al., 2020)</w:t>
      </w:r>
      <w:r>
        <w:rPr>
          <w:rFonts w:eastAsiaTheme="minorHAnsi"/>
          <w:bCs/>
          <w:szCs w:val="20"/>
        </w:rPr>
        <w:fldChar w:fldCharType="end"/>
      </w:r>
      <w:r>
        <w:rPr>
          <w:rFonts w:eastAsiaTheme="minorHAnsi"/>
          <w:bCs/>
          <w:szCs w:val="20"/>
        </w:rPr>
        <w:t xml:space="preserve">. </w:t>
      </w:r>
      <w:r>
        <w:rPr>
          <w:szCs w:val="20"/>
        </w:rPr>
        <w:t>We will make a difference in the number of epoch and batch size between label data and pseudo labe</w:t>
      </w:r>
      <w:r>
        <w:rPr>
          <w:szCs w:val="20"/>
        </w:rPr>
        <w:t>le</w:t>
      </w:r>
      <w:r>
        <w:rPr>
          <w:szCs w:val="20"/>
        </w:rPr>
        <w:t>d data by CS1 and CS2 during CNN model learning.</w:t>
      </w:r>
    </w:p>
    <w:p>
      <w:pPr>
        <w:rPr>
          <w:rFonts w:eastAsiaTheme="minorHAnsi"/>
          <w:bCs/>
          <w:szCs w:val="20"/>
        </w:rPr>
      </w:pPr>
      <w:r>
        <w:rPr>
          <w:rFonts w:eastAsiaTheme="minorHAnsi"/>
          <w:b/>
          <w:bCs/>
          <w:szCs w:val="20"/>
        </w:rPr>
        <w:t xml:space="preserve">3-2) Coreset selection </w:t>
      </w:r>
    </w:p>
    <w:p>
      <w:pPr>
        <w:ind w:firstLineChars="150" w:firstLine="300"/>
        <w:rPr>
          <w:rFonts w:eastAsiaTheme="minorHAnsi"/>
          <w:szCs w:val="20"/>
        </w:rPr>
      </w:pPr>
      <w:r>
        <w:rPr>
          <w:szCs w:val="20"/>
        </w:rPr>
        <w:t xml:space="preserve">Coreset selection samples data that maximizes the expected model performance. This is the same as sampling data that makes it have a minimum radius </w:t>
      </w:r>
      <m:oMath>
        <m:r>
          <w:rPr>
            <w:rFonts w:ascii="Cambria Math" w:eastAsiaTheme="minorHAnsi" w:hAnsi="Cambria Math"/>
            <w:szCs w:val="20"/>
          </w:rPr>
          <m:t>δ</m:t>
        </m:r>
      </m:oMath>
      <w:r>
        <w:rPr>
          <w:szCs w:val="20"/>
        </w:rPr>
        <w:t xml:space="preserve"> when constructing subgraphs that can cover the entire data with a given sampling size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oMath>
      <w:r>
        <w:rPr>
          <w:rFonts w:eastAsiaTheme="minorHAnsi"/>
          <w:szCs w:val="20"/>
        </w:rPr>
        <w:fldChar w:fldCharType="begin"/>
      </w:r>
      <w:r>
        <w:rPr>
          <w:rFonts w:eastAsiaTheme="minorHAnsi"/>
          <w:szCs w:val="20"/>
        </w:rPr>
        <w:instrText xml:space="preserve"> ADDIN EN.CITE &lt;EndNote&gt;&lt;Cite&gt;&lt;Author&gt;Sener&lt;/Author&gt;&lt;Year&gt;2017&lt;/Year&gt;&lt;RecNum&gt;4&lt;/RecNum&gt;&lt;DisplayText&gt;(Sener &amp;amp; Savarese, 2017)&lt;/DisplayText&gt;&lt;record&gt;&lt;rec-number&gt;4&lt;/rec-number&gt;&lt;foreign-keys&gt;&lt;key app="EN" db-id="rr0ztevxf59zeueereqxd5wc90a5rrp2v22a" timestamp="1665043121" guid="eec0797b-c560-424b-8ef4-be3de4201359"&gt;4&lt;/key&gt;&lt;/foreign-keys&gt;&lt;ref-type name="Journal Article"&gt;17&lt;/ref-type&gt;&lt;contributors&gt;&lt;authors&gt;&lt;author&gt;Sener, Ozan&lt;/author&gt;&lt;author&gt;Savarese, Silvio&lt;/author&gt;&lt;/authors&gt;&lt;/contributors&gt;&lt;titles&gt;&lt;title&gt;Active learning for convolutional neural networks: A core-set approach&lt;/title&gt;&lt;secondary-title&gt;arXiv preprint arXiv:1708.00489&lt;/secondary-title&gt;&lt;/titles&gt;&lt;periodical&gt;&lt;full-title&gt;arXiv preprint arXiv:1708.00489&lt;/full-title&gt;&lt;/periodical&gt;&lt;dates&gt;&lt;year&gt;2017&lt;/year&gt;&lt;/dates&gt;&lt;urls&gt;&lt;/urls&gt;&lt;/record&gt;&lt;/Cite&gt;&lt;/EndNote&gt;</w:instrText>
      </w:r>
      <w:r>
        <w:rPr>
          <w:rFonts w:eastAsiaTheme="minorHAnsi"/>
          <w:szCs w:val="20"/>
        </w:rPr>
        <w:fldChar w:fldCharType="separate"/>
      </w:r>
      <w:r>
        <w:rPr>
          <w:rFonts w:eastAsiaTheme="minorHAnsi"/>
          <w:noProof/>
          <w:szCs w:val="20"/>
        </w:rPr>
        <w:t>(Sener &amp; Savarese, 2017)</w:t>
      </w:r>
      <w:r>
        <w:rPr>
          <w:rFonts w:eastAsiaTheme="minorHAnsi"/>
          <w:szCs w:val="20"/>
        </w:rPr>
        <w:fldChar w:fldCharType="end"/>
      </w:r>
      <w:r>
        <w:rPr>
          <w:rFonts w:eastAsiaTheme="minorHAnsi"/>
          <w:szCs w:val="20"/>
        </w:rPr>
        <w:t xml:space="preserve">. </w:t>
      </w:r>
      <w:r>
        <w:rPr>
          <w:rFonts w:eastAsiaTheme="minorHAnsi"/>
          <w:szCs w:val="20"/>
        </w:rPr>
        <w:t>Each sampling data is widely spread</w:t>
      </w:r>
      <w:r>
        <w:rPr>
          <w:rFonts w:eastAsiaTheme="minorHAnsi"/>
          <w:szCs w:val="20"/>
        </w:rPr>
        <w:t>,</w:t>
      </w:r>
      <w:r>
        <w:rPr>
          <w:rFonts w:eastAsiaTheme="minorHAnsi"/>
          <w:szCs w:val="20"/>
        </w:rPr>
        <w:t xml:space="preserve"> regardless of the density of the dataset. For this reason, sampling point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 xml:space="preserve"> </w:t>
      </w:r>
      <w:r>
        <w:rPr>
          <w:rFonts w:eastAsiaTheme="minorHAnsi"/>
          <w:szCs w:val="20"/>
        </w:rPr>
        <w:t xml:space="preserve">not only includes a specific class, but also reflects an overall dataset. It also samples based on the distance between the data. Therefore, the same sampling performance can be achieved even when label data is insufficient. </w:t>
      </w:r>
    </w:p>
    <w:p>
      <w:pPr>
        <w:ind w:firstLineChars="150" w:firstLine="300"/>
        <w:rPr>
          <w:szCs w:val="20"/>
        </w:rPr>
      </w:pPr>
      <w:r>
        <w:rPr>
          <w:szCs w:val="20"/>
        </w:rPr>
        <w:t>AL has difficulty expanding to high-dimensional data such as images and text</w:t>
      </w:r>
      <w:r>
        <w:rPr>
          <w:szCs w:val="20"/>
        </w:rPr>
        <w:fldChar w:fldCharType="begin"/>
      </w:r>
      <w:r>
        <w:rPr>
          <w:szCs w:val="20"/>
        </w:rPr>
        <w:instrText xml:space="preserve"> ADDIN EN.CITE &lt;EndNote&gt;&lt;Cite&gt;&lt;Author&gt;Tong&lt;/Author&gt;&lt;Year&gt;2001&lt;/Year&gt;&lt;RecNum&gt;15&lt;/RecNum&gt;&lt;DisplayText&gt;(Tong, 2001)&lt;/DisplayText&gt;&lt;record&gt;&lt;rec-number&gt;15&lt;/rec-number&gt;&lt;foreign-keys&gt;&lt;key app="EN" db-id="rr0ztevxf59zeueereqxd5wc90a5rrp2v22a" timestamp="1670307890" guid="a7d8066a-4891-4c13-a786-1881826776da"&gt;15&lt;/key&gt;&lt;/foreign-keys&gt;&lt;ref-type name="Book"&gt;6&lt;/ref-type&gt;&lt;contributors&gt;&lt;authors&gt;&lt;author&gt;Tong, Simon&lt;/author&gt;&lt;/authors&gt;&lt;/contributors&gt;&lt;titles&gt;&lt;title&gt;Active learning: theory and applications&lt;/title&gt;&lt;/titles&gt;&lt;dates&gt;&lt;year&gt;2001&lt;/year&gt;&lt;/dates&gt;&lt;publisher&gt;Stanford University&lt;/publisher&gt;&lt;isbn&gt;0493404740&lt;/isbn&gt;&lt;urls&gt;&lt;/urls&gt;&lt;/record&gt;&lt;/Cite&gt;&lt;/EndNote&gt;</w:instrText>
      </w:r>
      <w:r>
        <w:rPr>
          <w:szCs w:val="20"/>
        </w:rPr>
        <w:fldChar w:fldCharType="separate"/>
      </w:r>
      <w:r>
        <w:rPr>
          <w:noProof/>
          <w:szCs w:val="20"/>
        </w:rPr>
        <w:t>(Tong, 2001)</w:t>
      </w:r>
      <w:r>
        <w:rPr>
          <w:szCs w:val="20"/>
        </w:rPr>
        <w:fldChar w:fldCharType="end"/>
      </w:r>
      <w:r>
        <w:rPr>
          <w:rFonts w:hint="eastAsia"/>
          <w:szCs w:val="20"/>
        </w:rPr>
        <w:t>.</w:t>
      </w:r>
      <w:r>
        <w:rPr>
          <w:szCs w:val="20"/>
        </w:rPr>
        <w:t xml:space="preserve"> </w:t>
      </w:r>
      <w:r>
        <w:rPr>
          <w:szCs w:val="20"/>
        </w:rPr>
        <w:t>For this reason, most studies on AL focus on low-dimensional problems or utilize features of pre-extracted high-dimensional data. To apply AL in the latter case, since AL does not have the ability to extract features of data, so it is necessary to apply additional measures. Accordingly, synergy can be improved by using DL and AL together, which have the ability to process high-dimensional data and perform feature extraction without human intervention</w:t>
      </w:r>
      <w:r>
        <w:rPr>
          <w:szCs w:val="20"/>
        </w:rPr>
        <w:fldChar w:fldCharType="begin"/>
      </w:r>
      <w:r>
        <w:rPr>
          <w:szCs w:val="20"/>
        </w:rPr>
        <w:instrText xml:space="preserve"> ADDIN EN.CITE &lt;EndNote&gt;&lt;Cite&gt;&lt;Author&gt;Ren&lt;/Author&gt;&lt;Year&gt;2021&lt;/Year&gt;&lt;RecNum&gt;6&lt;/RecNum&gt;&lt;DisplayText&gt;(Ren et al., 2021)&lt;/DisplayText&gt;&lt;record&gt;&lt;rec-number&gt;6&lt;/rec-number&gt;&lt;foreign-keys&gt;&lt;key app="EN" db-id="rr0ztevxf59zeueereqxd5wc90a5rrp2v22a" timestamp="1665043174" guid="3d8d437d-f319-4db8-9672-2971ea15d538"&gt;6&lt;/key&gt;&lt;/foreign-keys&gt;&lt;ref-type name="Journal Article"&gt;17&lt;/ref-type&gt;&lt;contributors&gt;&lt;authors&gt;&lt;author&gt;Ren, Pengzhen&lt;/author&gt;&lt;author&gt;Xiao, Yun&lt;/author&gt;&lt;author&gt;Chang, Xiaojun&lt;/author&gt;&lt;author&gt;Huang, Po-Yao&lt;/author&gt;&lt;author&gt;Li, Zhihui&lt;/author&gt;&lt;author&gt;Gupta, Brij B&lt;/author&gt;&lt;author&gt;Chen, Xiaojiang&lt;/author&gt;&lt;author&gt;Wang, Xin&lt;/author&gt;&lt;/authors&gt;&lt;/contributors&gt;&lt;titles&gt;&lt;title&gt;A survey of deep active learning&lt;/title&gt;&lt;secondary-title&gt;ACM computing surveys (CSUR)&lt;/secondary-title&gt;&lt;/titles&gt;&lt;periodical&gt;&lt;full-title&gt;ACM computing surveys (CSUR)&lt;/full-title&gt;&lt;/periodical&gt;&lt;pages&gt;1-40&lt;/pages&gt;&lt;volume&gt;54&lt;/volume&gt;&lt;number&gt;9&lt;/number&gt;&lt;dates&gt;&lt;year&gt;2021&lt;/year&gt;&lt;/dates&gt;&lt;isbn&gt;0360-0300&lt;/isbn&gt;&lt;urls&gt;&lt;/urls&gt;&lt;/record&gt;&lt;/Cite&gt;&lt;/EndNote&gt;</w:instrText>
      </w:r>
      <w:r>
        <w:rPr>
          <w:szCs w:val="20"/>
        </w:rPr>
        <w:fldChar w:fldCharType="separate"/>
      </w:r>
      <w:r>
        <w:rPr>
          <w:noProof/>
          <w:szCs w:val="20"/>
        </w:rPr>
        <w:t>(Ren et al., 2021)</w:t>
      </w:r>
      <w:r>
        <w:rPr>
          <w:szCs w:val="20"/>
        </w:rPr>
        <w:fldChar w:fldCharType="end"/>
      </w:r>
      <w:r>
        <w:rPr>
          <w:rFonts w:hint="eastAsia"/>
          <w:szCs w:val="20"/>
        </w:rPr>
        <w:t>.</w:t>
      </w:r>
    </w:p>
    <w:p>
      <w:pPr>
        <w:rPr>
          <w:rFonts w:eastAsiaTheme="minorHAnsi"/>
          <w:b/>
          <w:bCs/>
          <w:szCs w:val="20"/>
        </w:rPr>
      </w:pPr>
      <w:r>
        <w:rPr>
          <w:rFonts w:eastAsiaTheme="minorHAnsi"/>
          <w:b/>
          <w:bCs/>
          <w:szCs w:val="20"/>
        </w:rPr>
        <w:t xml:space="preserve"> 3-3) Dimension reduction </w:t>
      </w:r>
    </w:p>
    <w:p>
      <w:pPr>
        <w:ind w:firstLineChars="100" w:firstLine="200"/>
        <w:rPr>
          <w:rFonts w:eastAsiaTheme="minorHAnsi"/>
          <w:szCs w:val="20"/>
        </w:rPr>
      </w:pPr>
      <w:r>
        <w:rPr>
          <w:rFonts w:eastAsiaTheme="minorHAnsi"/>
          <w:szCs w:val="20"/>
        </w:rPr>
        <w:t xml:space="preserve">Dimension reduction through feature extraction is required to apply coreset selection to high-dimensional image data. The CS1 method requires two-dimensional or three-dimensional features in that it utilizes the adjacency between subgraphs. CS1 can be applied when the central classes of the subgraphs encountered are all the same. The detailed process will be described later. The number of being able to classified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szCs w:val="20"/>
              </w:rPr>
              <m:t>CS1</m:t>
            </m:r>
          </m:sub>
        </m:sSub>
      </m:oMath>
      <w:r>
        <w:rPr>
          <w:rFonts w:eastAsiaTheme="minorHAnsi"/>
          <w:szCs w:val="20"/>
        </w:rPr>
        <w:t xml:space="preserve"> have a trade</w:t>
      </w:r>
      <w:r>
        <w:rPr>
          <w:rFonts w:eastAsiaTheme="minorHAnsi"/>
          <w:szCs w:val="20"/>
        </w:rPr>
        <w:t>-</w:t>
      </w:r>
      <w:r>
        <w:rPr>
          <w:rFonts w:eastAsiaTheme="minorHAnsi"/>
          <w:szCs w:val="20"/>
        </w:rPr>
        <w:t>off relationship with accuracy of CS</w:t>
      </w:r>
      <w:r>
        <w:rPr>
          <w:rFonts w:eastAsiaTheme="minorHAnsi"/>
          <w:szCs w:val="20"/>
        </w:rPr>
        <w:t>1.</w:t>
      </w:r>
      <w:r>
        <w:rPr>
          <w:rFonts w:eastAsiaTheme="minorHAnsi"/>
          <w:szCs w:val="20"/>
        </w:rPr>
        <w:t xml:space="preserve"> The higher the number of subgraphs encountered, the stronger the conditions and the higher the precision. On the other hand,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szCs w:val="20"/>
              </w:rPr>
              <m:t>CS1</m:t>
            </m:r>
          </m:sub>
        </m:sSub>
      </m:oMath>
      <w:r>
        <w:rPr>
          <w:rFonts w:hint="eastAsia"/>
          <w:szCs w:val="20"/>
        </w:rPr>
        <w:t xml:space="preserve"> </w:t>
      </w:r>
      <w:r>
        <w:rPr>
          <w:rFonts w:eastAsiaTheme="minorHAnsi"/>
          <w:szCs w:val="20"/>
        </w:rPr>
        <w:t xml:space="preserve">decreases as the conditions are strengthened. The dimension of the data controls the number of subgraphs encountered. In the case of two dimensions, the number of subgraphs available to contact for each subgraph is 7 to 8 at most, but in the case of three dimensions, the number increases to 20 to 30. As the dimension increases, the number of subgraphs encountered increases exponentially. Even if MNIST data of 784 dimensions is reduced to 10 </w:t>
      </w:r>
      <w:r>
        <w:rPr>
          <w:rFonts w:eastAsiaTheme="minorHAnsi"/>
          <w:szCs w:val="20"/>
        </w:rPr>
        <w:t xml:space="preserve">dimensions, it is still high. In this study, the dimension of </w:t>
      </w:r>
      <w:r>
        <w:rPr>
          <w:rFonts w:eastAsiaTheme="minorHAnsi"/>
          <w:szCs w:val="20"/>
        </w:rPr>
        <w:t xml:space="preserve">the </w:t>
      </w:r>
      <w:r>
        <w:rPr>
          <w:rFonts w:eastAsiaTheme="minorHAnsi"/>
          <w:szCs w:val="20"/>
        </w:rPr>
        <w:t xml:space="preserve">feature is reduced to two dimensions.  </w:t>
      </w:r>
    </w:p>
    <w:p>
      <w:pPr>
        <w:ind w:firstLineChars="100" w:firstLine="200"/>
        <w:rPr>
          <w:rFonts w:eastAsiaTheme="minorHAnsi"/>
          <w:szCs w:val="20"/>
        </w:rPr>
      </w:pPr>
      <w:r>
        <w:rPr>
          <w:rFonts w:eastAsiaTheme="minorHAnsi"/>
          <w:szCs w:val="20"/>
        </w:rPr>
        <w:t xml:space="preserve">In this study, convolution </w:t>
      </w:r>
      <w:r>
        <w:rPr>
          <w:rFonts w:eastAsiaTheme="minorHAnsi"/>
          <w:szCs w:val="20"/>
        </w:rPr>
        <w:t>autoencoder (</w:t>
      </w:r>
      <w:r>
        <w:rPr>
          <w:rFonts w:eastAsiaTheme="minorHAnsi"/>
          <w:szCs w:val="20"/>
        </w:rPr>
        <w:t>CAE) is used to reduce dimensions. In this study, it is assumed that when dimension of data reduced through CAE, the information for each class will be well</w:t>
      </w:r>
      <w:r>
        <w:rPr>
          <w:rFonts w:eastAsiaTheme="minorHAnsi"/>
          <w:szCs w:val="20"/>
        </w:rPr>
        <w:t>-</w:t>
      </w:r>
      <w:r>
        <w:rPr>
          <w:rFonts w:eastAsiaTheme="minorHAnsi"/>
          <w:szCs w:val="20"/>
        </w:rPr>
        <w:t>preserved and clustered for each class. Autoencoder not only capture the repetitive structure but also play the role of dimension reduction</w:t>
      </w:r>
      <w:r>
        <w:rPr>
          <w:rFonts w:eastAsiaTheme="minorHAnsi"/>
          <w:szCs w:val="20"/>
        </w:rPr>
        <w:fldChar w:fldCharType="begin"/>
      </w:r>
      <w:r>
        <w:rPr>
          <w:rFonts w:eastAsiaTheme="minorHAnsi"/>
          <w:szCs w:val="20"/>
        </w:rPr>
        <w:instrText xml:space="preserve"> ADDIN EN.CITE &lt;EndNote&gt;&lt;Cite&gt;&lt;Author&gt;Wang&lt;/Author&gt;&lt;Year&gt;2016&lt;/Year&gt;&lt;RecNum&gt;10&lt;/RecNum&gt;&lt;DisplayText&gt;(Y. Wang, Yao, &amp;amp; Zhao, 2016)&lt;/DisplayText&gt;&lt;record&gt;&lt;rec-number&gt;10&lt;/rec-number&gt;&lt;foreign-keys&gt;&lt;key app="EN" db-id="rr0ztevxf59zeueereqxd5wc90a5rrp2v22a" timestamp="1670289088" guid="46d9f31f-49bf-4075-8ac7-e39f0d641052"&gt;10&lt;/key&gt;&lt;/foreign-keys&gt;&lt;ref-type name="Journal Article"&gt;17&lt;/ref-type&gt;&lt;contributors&gt;&lt;authors&gt;&lt;author&gt;Wang, Yasi&lt;/author&gt;&lt;author&gt;Yao, Hongxun&lt;/author&gt;&lt;author&gt;Zhao, Sicheng&lt;/author&gt;&lt;/authors&gt;&lt;/contributors&gt;&lt;titles&gt;&lt;title&gt;Auto-encoder based dimensionality reduction&lt;/title&gt;&lt;secondary-title&gt;Neurocomputing&lt;/secondary-title&gt;&lt;/titles&gt;&lt;periodical&gt;&lt;full-title&gt;Neurocomputing&lt;/full-title&gt;&lt;/periodical&gt;&lt;pages&gt;232-242&lt;/pages&gt;&lt;volume&gt;184&lt;/volume&gt;&lt;dates&gt;&lt;year&gt;2016&lt;/year&gt;&lt;/dates&gt;&lt;isbn&gt;0925-2312&lt;/isbn&gt;&lt;urls&gt;&lt;/urls&gt;&lt;/record&gt;&lt;/Cite&gt;&lt;/EndNote&gt;</w:instrText>
      </w:r>
      <w:r>
        <w:rPr>
          <w:rFonts w:eastAsiaTheme="minorHAnsi"/>
          <w:szCs w:val="20"/>
        </w:rPr>
        <w:fldChar w:fldCharType="separate"/>
      </w:r>
      <w:r>
        <w:rPr>
          <w:rFonts w:eastAsiaTheme="minorHAnsi"/>
          <w:noProof/>
          <w:szCs w:val="20"/>
        </w:rPr>
        <w:t>(Y. Wang, Yao, &amp; Zhao, 2016)</w:t>
      </w:r>
      <w:r>
        <w:rPr>
          <w:rFonts w:eastAsiaTheme="minorHAnsi"/>
          <w:szCs w:val="20"/>
        </w:rPr>
        <w:fldChar w:fldCharType="end"/>
      </w:r>
      <w:r>
        <w:rPr>
          <w:rFonts w:eastAsiaTheme="minorHAnsi"/>
          <w:szCs w:val="20"/>
        </w:rPr>
        <w:t xml:space="preserve">. </w:t>
      </w:r>
      <w:r>
        <w:rPr>
          <w:rFonts w:eastAsiaTheme="minorHAnsi"/>
          <w:szCs w:val="20"/>
        </w:rPr>
        <w:t>In addition, when classification was performed by the k-nearest neighbor method using the unsupervised dimension reduction methods, CAE was one of the most accurate methods with an accuracy of about 85 percent</w:t>
      </w:r>
      <w:r>
        <w:rPr>
          <w:rFonts w:eastAsiaTheme="minorHAnsi"/>
          <w:szCs w:val="20"/>
        </w:rPr>
        <w:fldChar w:fldCharType="begin"/>
      </w:r>
      <w:r>
        <w:rPr>
          <w:rFonts w:eastAsiaTheme="minorHAnsi"/>
          <w:szCs w:val="20"/>
        </w:rPr>
        <w:instrText xml:space="preserve"> ADDIN EN.CITE &lt;EndNote&gt;&lt;Cite&gt;&lt;Author&gt;Hurtik&lt;/Author&gt;&lt;Year&gt;2020&lt;/Year&gt;&lt;RecNum&gt;11&lt;/RecNum&gt;&lt;DisplayText&gt;(Hurtik, Molek, &amp;amp; Perfilieva, 2020)&lt;/DisplayText&gt;&lt;record&gt;&lt;rec-number&gt;11&lt;/rec-number&gt;&lt;foreign-keys&gt;&lt;key app="EN" db-id="rr0ztevxf59zeueereqxd5wc90a5rrp2v22a" timestamp="1670289503" guid="e393ca61-9257-470a-876b-b88c6ae6c9c4"&gt;11&lt;/key&gt;&lt;/foreign-keys&gt;&lt;ref-type name="Journal Article"&gt;17&lt;/ref-type&gt;&lt;contributors&gt;&lt;authors&gt;&lt;author&gt;Hurtik, Petr&lt;/author&gt;&lt;author&gt;Molek, Vojtech&lt;/author&gt;&lt;author&gt;Perfilieva, Irina&lt;/author&gt;&lt;/authors&gt;&lt;/contributors&gt;&lt;titles&gt;&lt;title&gt;Novel dimensionality reduction approach for unsupervised learning on small datasets&lt;/title&gt;&lt;secondary-title&gt;Pattern Recognition&lt;/secondary-title&gt;&lt;/titles&gt;&lt;periodical&gt;&lt;full-title&gt;Pattern Recognition&lt;/full-title&gt;&lt;/periodical&gt;&lt;pages&gt;107291&lt;/pages&gt;&lt;volume&gt;103&lt;/volume&gt;&lt;dates&gt;&lt;year&gt;2020&lt;/year&gt;&lt;/dates&gt;&lt;isbn&gt;0031-3203&lt;/isbn&gt;&lt;urls&gt;&lt;/urls&gt;&lt;/record&gt;&lt;/Cite&gt;&lt;/EndNote&gt;</w:instrText>
      </w:r>
      <w:r>
        <w:rPr>
          <w:rFonts w:eastAsiaTheme="minorHAnsi"/>
          <w:szCs w:val="20"/>
        </w:rPr>
        <w:fldChar w:fldCharType="separate"/>
      </w:r>
      <w:r>
        <w:rPr>
          <w:rFonts w:eastAsiaTheme="minorHAnsi"/>
          <w:noProof/>
          <w:szCs w:val="20"/>
        </w:rPr>
        <w:t>(Hurtik, Molek, &amp; Perfilieva, 2020)</w:t>
      </w:r>
      <w:r>
        <w:rPr>
          <w:rFonts w:eastAsiaTheme="minorHAnsi"/>
          <w:szCs w:val="20"/>
        </w:rPr>
        <w:fldChar w:fldCharType="end"/>
      </w:r>
      <w:r>
        <w:rPr>
          <w:rFonts w:eastAsiaTheme="minorHAnsi"/>
          <w:szCs w:val="20"/>
        </w:rPr>
        <w:t xml:space="preserve">. </w:t>
      </w:r>
      <w:r>
        <w:rPr>
          <w:rFonts w:eastAsiaTheme="minorHAnsi"/>
          <w:szCs w:val="20"/>
        </w:rPr>
        <w:t>From this, it can be inferred that there is an effect of clustering similar classes of data when dimension reduction is performed through CAE.</w:t>
      </w:r>
    </w:p>
    <w:p>
      <w:pPr>
        <w:ind w:firstLineChars="100" w:firstLine="200"/>
        <w:rPr>
          <w:rFonts w:eastAsiaTheme="minorHAnsi"/>
          <w:b/>
          <w:bCs/>
          <w:szCs w:val="20"/>
        </w:rPr>
      </w:pPr>
      <w:r>
        <w:rPr>
          <w:rFonts w:eastAsiaTheme="minorHAnsi"/>
          <w:b/>
          <w:bCs/>
          <w:szCs w:val="20"/>
        </w:rPr>
        <w:t>3-4) Coreset selection based classification (CS1 &amp; CS2)</w:t>
      </w:r>
    </w:p>
    <w:p>
      <w:pPr>
        <w:ind w:firstLineChars="100" w:firstLine="200"/>
        <w:rPr>
          <w:rFonts w:eastAsiaTheme="minorHAnsi"/>
          <w:szCs w:val="20"/>
        </w:rPr>
      </w:pPr>
      <w:r>
        <w:rPr>
          <w:rFonts w:eastAsiaTheme="minorHAnsi"/>
          <w:szCs w:val="20"/>
        </w:rPr>
        <w:t>Extract the two-dimensional feature using CAE from the given dataset. After that, the coreset selection is performed based on the distance between features. At this time, the euclian distance is applied.</w:t>
      </w:r>
      <w:r>
        <w:rPr>
          <w:rFonts w:eastAsiaTheme="minorHAnsi"/>
          <w:szCs w:val="20"/>
        </w:rPr>
        <w:t xml:space="preserve">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oMath>
      <w:r>
        <w:t xml:space="preserve"> </w:t>
      </w:r>
      <w:r>
        <w:rPr>
          <w:szCs w:val="20"/>
        </w:rPr>
        <w:t>l</w:t>
      </w:r>
      <w:r>
        <w:rPr>
          <w:szCs w:val="20"/>
        </w:rPr>
        <w:t>abeled data are the results of sampling through coreset selection</w:t>
      </w:r>
      <w:r>
        <w:rPr>
          <w:rFonts w:hint="eastAsia"/>
          <w:szCs w:val="20"/>
        </w:rPr>
        <w:t>.</w:t>
      </w:r>
      <w:r>
        <w:rPr>
          <w:szCs w:val="20"/>
        </w:rPr>
        <w:t xml:space="preserve"> </w:t>
      </w:r>
      <w:r>
        <w:rPr>
          <w:szCs w:val="20"/>
        </w:rPr>
        <w:t>When a total of p coreset selections are performed</w:t>
      </w:r>
      <w:r>
        <w:rPr>
          <w:rFonts w:hint="eastAsia"/>
          <w:szCs w:val="20"/>
        </w:rPr>
        <w:t>,</w:t>
      </w:r>
      <w:r>
        <w:rPr>
          <w:szCs w:val="20"/>
        </w:rPr>
        <w:t xml:space="preserve"> </w:t>
      </w:r>
      <m:oMath>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m:rPr>
            <m:sty m:val="p"/>
          </m:rPr>
          <w:rPr>
            <w:rFonts w:ascii="Cambria Math" w:hAnsi="Cambria Math"/>
            <w:szCs w:val="20"/>
          </w:rPr>
          <m:t xml:space="preserve"> s.t. p∈{1, …, P}</m:t>
        </m:r>
      </m:oMath>
      <w:r>
        <w:rPr>
          <w:rFonts w:hint="eastAsia"/>
          <w:szCs w:val="20"/>
        </w:rPr>
        <w:t xml:space="preserve"> </w:t>
      </w:r>
      <w:r>
        <w:rPr>
          <w:szCs w:val="20"/>
        </w:rPr>
        <w:t>is called a data set sampled between p-th iterations, and</w:t>
      </w:r>
      <w:r>
        <w:rPr>
          <w:rFonts w:hint="eastAsia"/>
          <w:szCs w:val="20"/>
        </w:rPr>
        <w:t xml:space="preserve"> </w:t>
      </w:r>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p</m:t>
            </m:r>
          </m:sup>
        </m:sSubSup>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S</m:t>
            </m:r>
          </m:e>
          <m:sup>
            <m:r>
              <w:rPr>
                <w:rFonts w:ascii="Cambria Math" w:hAnsi="Cambria Math"/>
                <w:szCs w:val="20"/>
              </w:rPr>
              <m:t>p</m:t>
            </m:r>
          </m:sup>
        </m:sSup>
        <m:r>
          <w:rPr>
            <w:rFonts w:ascii="Cambria Math" w:hAnsi="Cambria Math"/>
            <w:szCs w:val="20"/>
          </w:rPr>
          <m:t xml:space="preserve">  s.t. i∈ {1, …, |</m:t>
        </m:r>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w:rPr>
            <w:rFonts w:ascii="Cambria Math" w:hAnsi="Cambria Math"/>
            <w:szCs w:val="20"/>
          </w:rPr>
          <m:t xml:space="preserve">|} </m:t>
        </m:r>
      </m:oMath>
      <w:r>
        <w:rPr>
          <w:szCs w:val="20"/>
        </w:rPr>
        <w:t>be each sampling point</w:t>
      </w:r>
      <w:r>
        <w:rPr>
          <w:rFonts w:hint="eastAsia"/>
          <w:szCs w:val="20"/>
        </w:rPr>
        <w:t>.</w:t>
      </w:r>
      <w:r>
        <w:rPr>
          <w:szCs w:val="20"/>
        </w:rPr>
        <w:t xml:space="preserve"> </w:t>
      </w:r>
      <w:r>
        <w:rPr>
          <w:rFonts w:hint="eastAsia"/>
          <w:szCs w:val="20"/>
        </w:rPr>
        <w:t>I</w:t>
      </w:r>
      <w:r>
        <w:rPr>
          <w:szCs w:val="20"/>
        </w:rPr>
        <w:t>n this case</w:t>
      </w:r>
      <w:r>
        <w:rPr>
          <w:szCs w:val="20"/>
        </w:rPr>
        <w:t>,</w:t>
      </w:r>
      <w:r>
        <w:rPr>
          <w:rFonts w:hint="eastAsia"/>
          <w:szCs w:val="20"/>
        </w:rPr>
        <w:t xml:space="preserve">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P</m:t>
            </m:r>
          </m:sup>
          <m:e>
            <m:r>
              <w:rPr>
                <w:rFonts w:ascii="Cambria Math" w:hAnsi="Cambria Math"/>
                <w:szCs w:val="20"/>
              </w:rPr>
              <m:t>|</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i</m:t>
                </m:r>
              </m:sub>
            </m:sSub>
            <m:r>
              <w:rPr>
                <w:rFonts w:ascii="Cambria Math" w:hAnsi="Cambria Math"/>
                <w:szCs w:val="20"/>
              </w:rPr>
              <m:t>|</m:t>
            </m:r>
          </m:e>
        </m:nary>
      </m:oMath>
      <w:r>
        <w:rPr>
          <w:rFonts w:hint="eastAsia"/>
          <w:szCs w:val="20"/>
        </w:rPr>
        <w:t xml:space="preserve"> </w:t>
      </w:r>
      <w:r>
        <w:rPr>
          <w:szCs w:val="20"/>
        </w:rPr>
        <w:t>is satisfied</w:t>
      </w:r>
      <w:r>
        <w:rPr>
          <w:rFonts w:hint="eastAsia"/>
          <w:szCs w:val="20"/>
        </w:rPr>
        <w:t>.</w:t>
      </w:r>
      <w:r>
        <w:rPr>
          <w:szCs w:val="20"/>
        </w:rPr>
        <w:t xml:space="preserve"> Let the radius of subgraph </w:t>
      </w:r>
      <m:oMath>
        <m:sSubSup>
          <m:sSubSupPr>
            <m:ctrlPr>
              <w:rPr>
                <w:rFonts w:ascii="Cambria Math" w:hAnsi="Cambria Math"/>
                <w:i/>
                <w:szCs w:val="20"/>
              </w:rPr>
            </m:ctrlPr>
          </m:sSubSupPr>
          <m:e>
            <m:r>
              <w:rPr>
                <w:rFonts w:ascii="Cambria Math" w:hAnsi="Cambria Math"/>
                <w:szCs w:val="20"/>
              </w:rPr>
              <m:t>G</m:t>
            </m:r>
          </m:e>
          <m:sub>
            <m:r>
              <w:rPr>
                <w:rFonts w:ascii="Cambria Math" w:hAnsi="Cambria Math"/>
                <w:szCs w:val="20"/>
              </w:rPr>
              <m:t>i</m:t>
            </m:r>
          </m:sub>
          <m:sup>
            <m:r>
              <w:rPr>
                <w:rFonts w:ascii="Cambria Math" w:hAnsi="Cambria Math"/>
                <w:szCs w:val="20"/>
              </w:rPr>
              <m:t>p</m:t>
            </m:r>
          </m:sup>
        </m:sSubSup>
      </m:oMath>
      <w:r>
        <w:rPr>
          <w:rFonts w:hint="eastAsia"/>
          <w:szCs w:val="20"/>
        </w:rPr>
        <w:t xml:space="preserve"> </w:t>
      </w:r>
      <w:r>
        <w:rPr>
          <w:szCs w:val="20"/>
        </w:rPr>
        <w:t xml:space="preserve">centered on each </w:t>
      </w:r>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p</m:t>
            </m:r>
          </m:sup>
        </m:sSubSup>
      </m:oMath>
      <w:r>
        <w:rPr>
          <w:rFonts w:hint="eastAsia"/>
          <w:szCs w:val="20"/>
        </w:rPr>
        <w:t xml:space="preserve"> </w:t>
      </w:r>
      <w:r>
        <w:rPr>
          <w:szCs w:val="20"/>
        </w:rPr>
        <w:t>be</w:t>
      </w:r>
      <w:r>
        <w:rPr>
          <w:rFonts w:hint="eastAsia"/>
          <w:szCs w:val="20"/>
        </w:rPr>
        <w:t xml:space="preserve">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w:t>
      </w:r>
      <w:r>
        <w:rPr>
          <w:szCs w:val="20"/>
        </w:rPr>
        <w:t xml:space="preserve"> Coreset selection</w:t>
      </w:r>
      <w:r>
        <w:rPr>
          <w:rFonts w:hint="eastAsia"/>
          <w:szCs w:val="20"/>
        </w:rPr>
        <w:t xml:space="preserve"> </w:t>
      </w:r>
      <w:r>
        <w:rPr>
          <w:szCs w:val="20"/>
        </w:rPr>
        <w:t>is the same as</w:t>
      </w:r>
      <w:r>
        <w:rPr>
          <w:rFonts w:hint="eastAsia"/>
          <w:szCs w:val="20"/>
        </w:rPr>
        <w:t xml:space="preserve"> </w:t>
      </w:r>
      <w:r>
        <w:rPr>
          <w:szCs w:val="20"/>
        </w:rPr>
        <w:t xml:space="preserve">K-centers algorithm. </w:t>
      </w:r>
      <w:r>
        <w:rPr>
          <w:szCs w:val="20"/>
        </w:rPr>
        <w:t>It</w:t>
      </w:r>
      <w:r>
        <w:rPr>
          <w:szCs w:val="20"/>
        </w:rPr>
        <w:t xml:space="preserve"> samples the unlabeled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D</m:t>
            </m:r>
          </m:e>
          <m:sub>
            <m:r>
              <w:rPr>
                <w:rFonts w:ascii="Cambria Math" w:eastAsiaTheme="minorHAnsi" w:hAnsi="Cambria Math"/>
                <w:szCs w:val="20"/>
              </w:rPr>
              <m:t>u</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p</m:t>
            </m:r>
          </m:sub>
        </m:sSub>
      </m:oMath>
      <w:r>
        <w:rPr>
          <w:rFonts w:hint="eastAsia"/>
          <w:szCs w:val="20"/>
        </w:rPr>
        <w:t xml:space="preserve"> </w:t>
      </w:r>
      <w:r>
        <w:rPr>
          <w:szCs w:val="20"/>
        </w:rPr>
        <w:t xml:space="preserve">as </w:t>
      </w:r>
      <m:oMath>
        <m:sSubSup>
          <m:sSubSupPr>
            <m:ctrlPr>
              <w:rPr>
                <w:rFonts w:ascii="Cambria Math" w:eastAsiaTheme="minorHAnsi" w:hAnsi="Cambria Math"/>
                <w:i/>
                <w:szCs w:val="20"/>
              </w:rPr>
            </m:ctrlPr>
          </m:sSubSupPr>
          <m:e>
            <m:r>
              <w:rPr>
                <w:rFonts w:ascii="Cambria Math" w:eastAsiaTheme="minorHAnsi" w:hAnsi="Cambria Math"/>
                <w:szCs w:val="20"/>
              </w:rPr>
              <m:t>u</m:t>
            </m:r>
          </m:e>
          <m:sub>
            <m:r>
              <w:rPr>
                <w:rFonts w:ascii="Cambria Math" w:eastAsiaTheme="minorHAnsi" w:hAnsi="Cambria Math"/>
                <w:szCs w:val="20"/>
              </w:rPr>
              <m:t>i+1</m:t>
            </m:r>
          </m:sub>
          <m:sup>
            <m:r>
              <w:rPr>
                <w:rFonts w:ascii="Cambria Math" w:eastAsiaTheme="minorHAnsi" w:hAnsi="Cambria Math"/>
                <w:szCs w:val="20"/>
              </w:rPr>
              <m:t>p</m:t>
            </m:r>
          </m:sup>
        </m:sSubSup>
      </m:oMath>
      <w:r>
        <w:rPr>
          <w:rFonts w:hint="eastAsia"/>
          <w:szCs w:val="20"/>
        </w:rPr>
        <w:t>,</w:t>
      </w:r>
      <w:r>
        <w:rPr>
          <w:szCs w:val="20"/>
        </w:rPr>
        <w:t xml:space="preserve"> which minimizes the radius </w:t>
      </w:r>
      <m:oMath>
        <m:sSup>
          <m:sSupPr>
            <m:ctrlPr>
              <w:rPr>
                <w:rFonts w:ascii="Cambria Math" w:hAnsi="Cambria Math"/>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 xml:space="preserve"> </w:t>
      </w:r>
      <w:r>
        <w:rPr>
          <w:szCs w:val="20"/>
        </w:rPr>
        <w:t xml:space="preserve">of </w:t>
      </w:r>
      <w:r>
        <w:rPr>
          <w:rFonts w:eastAsiaTheme="minorHAnsi"/>
          <w:szCs w:val="20"/>
        </w:rPr>
        <w:t xml:space="preserve">subgraph </w:t>
      </w:r>
      <m:oMath>
        <m:sSubSup>
          <m:sSubSupPr>
            <m:ctrlPr>
              <w:rPr>
                <w:rFonts w:ascii="Cambria Math" w:hAnsi="Cambria Math"/>
                <w:szCs w:val="20"/>
              </w:rPr>
            </m:ctrlPr>
          </m:sSubSupPr>
          <m:e>
            <m:r>
              <w:rPr>
                <w:rFonts w:ascii="Cambria Math" w:eastAsiaTheme="minorHAnsi" w:hAnsi="Cambria Math"/>
                <w:szCs w:val="20"/>
              </w:rPr>
              <m:t>G</m:t>
            </m:r>
          </m:e>
          <m:sub>
            <m:r>
              <w:rPr>
                <w:rFonts w:ascii="Cambria Math" w:eastAsiaTheme="minorHAnsi" w:hAnsi="Cambria Math"/>
                <w:szCs w:val="20"/>
              </w:rPr>
              <m:t>i+1</m:t>
            </m:r>
          </m:sub>
          <m:sup>
            <m:r>
              <w:rPr>
                <w:rFonts w:ascii="Cambria Math" w:eastAsiaTheme="minorHAnsi" w:hAnsi="Cambria Math"/>
                <w:szCs w:val="20"/>
              </w:rPr>
              <m:t>p</m:t>
            </m:r>
          </m:sup>
        </m:sSubSup>
      </m:oMath>
      <w:r>
        <w:rPr>
          <w:rFonts w:hint="eastAsia"/>
          <w:szCs w:val="20"/>
        </w:rPr>
        <w:t>.</w:t>
      </w:r>
      <w:r>
        <w:rPr>
          <w:szCs w:val="20"/>
        </w:rPr>
        <w:t xml:space="preserve"> </w:t>
      </w:r>
      <w:r>
        <w:rPr>
          <w:rFonts w:hint="eastAsia"/>
          <w:szCs w:val="20"/>
        </w:rPr>
        <w:t>T</w:t>
      </w:r>
      <w:r>
        <w:rPr>
          <w:szCs w:val="20"/>
        </w:rPr>
        <w:t>hus</w:t>
      </w:r>
      <w:r>
        <w:rPr>
          <w:szCs w:val="20"/>
        </w:rPr>
        <w:t>,</w:t>
      </w:r>
      <w:r>
        <w:rPr>
          <w:rFonts w:hint="eastAsia"/>
          <w:szCs w:val="20"/>
        </w:rPr>
        <w:t xml:space="preserve">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szCs w:val="20"/>
        </w:rPr>
        <w:t xml:space="preserve"> is</w:t>
      </w:r>
      <w:r>
        <w:rPr>
          <w:rFonts w:hint="eastAsia"/>
          <w:szCs w:val="20"/>
        </w:rPr>
        <w:t xml:space="preserve"> </w:t>
      </w:r>
      <m:oMath>
        <m:func>
          <m:funcPr>
            <m:ctrlPr>
              <w:rPr>
                <w:rFonts w:ascii="Cambria Math" w:hAnsi="Cambria Math"/>
                <w:szCs w:val="20"/>
              </w:rPr>
            </m:ctrlPr>
          </m:funcPr>
          <m:fName>
            <m:limLow>
              <m:limLowPr>
                <m:ctrlPr>
                  <w:rPr>
                    <w:rFonts w:ascii="Cambria Math" w:hAnsi="Cambria Math"/>
                    <w:szCs w:val="20"/>
                  </w:rPr>
                </m:ctrlPr>
              </m:limLowPr>
              <m:e>
                <m:r>
                  <m:rPr>
                    <m:sty m:val="p"/>
                  </m:rPr>
                  <w:rPr>
                    <w:rFonts w:ascii="Cambria Math" w:hAnsi="Cambria Math"/>
                    <w:szCs w:val="20"/>
                  </w:rPr>
                  <m:t>max</m:t>
                </m:r>
              </m:e>
              <m:lim>
                <m:r>
                  <w:rPr>
                    <w:rFonts w:ascii="Cambria Math" w:hAnsi="Cambria Math"/>
                    <w:szCs w:val="20"/>
                  </w:rPr>
                  <m:t>i∈</m:t>
                </m:r>
                <m:d>
                  <m:dPr>
                    <m:begChr m:val="{"/>
                    <m:endChr m:val="}"/>
                    <m:ctrlPr>
                      <w:rPr>
                        <w:rFonts w:ascii="Cambria Math" w:hAnsi="Cambria Math"/>
                        <w:i/>
                        <w:szCs w:val="20"/>
                      </w:rPr>
                    </m:ctrlPr>
                  </m:dPr>
                  <m:e>
                    <m:r>
                      <w:rPr>
                        <w:rFonts w:ascii="Cambria Math" w:hAnsi="Cambria Math"/>
                        <w:szCs w:val="20"/>
                      </w:rPr>
                      <m:t xml:space="preserve">1, …,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l</m:t>
                        </m:r>
                      </m:sub>
                    </m:sSub>
                  </m:e>
                </m:d>
                <m:r>
                  <w:rPr>
                    <w:rFonts w:ascii="Cambria Math" w:hAnsi="Cambria Math"/>
                    <w:szCs w:val="20"/>
                  </w:rPr>
                  <m:t xml:space="preserve">&amp; k∈{1, …,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u</m:t>
                    </m:r>
                  </m:sub>
                </m:sSub>
                <m:r>
                  <w:rPr>
                    <w:rFonts w:ascii="Cambria Math" w:hAnsi="Cambria Math"/>
                    <w:szCs w:val="20"/>
                  </w:rPr>
                  <m:t>}</m:t>
                </m:r>
              </m:lim>
            </m:limLow>
          </m:fName>
          <m:e>
            <m:r>
              <w:rPr>
                <w:rFonts w:ascii="Cambria Math" w:hAnsi="Cambria Math"/>
                <w:szCs w:val="20"/>
              </w:rPr>
              <m:t>dist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k</m:t>
                    </m:r>
                  </m:sub>
                </m:sSub>
              </m:e>
            </m:d>
          </m:e>
        </m:func>
      </m:oMath>
      <w:r>
        <w:rPr>
          <w:rFonts w:hint="eastAsia"/>
          <w:szCs w:val="20"/>
        </w:rPr>
        <w:t>.</w:t>
      </w:r>
      <w:r>
        <w:rPr>
          <w:szCs w:val="20"/>
        </w:rPr>
        <w:t xml:space="preserve"> The density of each subgraph</w:t>
      </w:r>
      <w:r>
        <w:rPr>
          <w:rFonts w:hint="eastAsia"/>
          <w:szCs w:val="20"/>
        </w:rPr>
        <w:t xml:space="preserve"> </w:t>
      </w:r>
      <m:oMath>
        <m:sSubSup>
          <m:sSubSupPr>
            <m:ctrlPr>
              <w:rPr>
                <w:rFonts w:ascii="Cambria Math" w:eastAsiaTheme="minorHAnsi" w:hAnsi="Cambria Math"/>
                <w:i/>
                <w:szCs w:val="20"/>
              </w:rPr>
            </m:ctrlPr>
          </m:sSubSupPr>
          <m:e>
            <m:r>
              <w:rPr>
                <w:rFonts w:ascii="Cambria Math" w:eastAsiaTheme="minorHAnsi" w:hAnsi="Cambria Math"/>
                <w:szCs w:val="20"/>
              </w:rPr>
              <m:t>G</m:t>
            </m:r>
          </m:e>
          <m:sub>
            <m:r>
              <w:rPr>
                <w:rFonts w:ascii="Cambria Math" w:eastAsiaTheme="minorHAnsi" w:hAnsi="Cambria Math"/>
                <w:szCs w:val="20"/>
              </w:rPr>
              <m:t>i</m:t>
            </m:r>
          </m:sub>
          <m:sup>
            <m:r>
              <w:rPr>
                <w:rFonts w:ascii="Cambria Math" w:eastAsiaTheme="minorHAnsi" w:hAnsi="Cambria Math"/>
                <w:szCs w:val="20"/>
              </w:rPr>
              <m:t>p</m:t>
            </m:r>
          </m:sup>
        </m:sSubSup>
      </m:oMath>
      <w:r>
        <w:rPr>
          <w:rFonts w:hint="eastAsia"/>
          <w:szCs w:val="20"/>
        </w:rPr>
        <w:t xml:space="preserve"> w</w:t>
      </w:r>
      <w:r>
        <w:rPr>
          <w:szCs w:val="20"/>
        </w:rPr>
        <w:t xml:space="preserve">ould be measured by the number of data </w:t>
      </w:r>
      <m:oMath>
        <m:sSubSup>
          <m:sSubSupPr>
            <m:ctrlPr>
              <w:rPr>
                <w:rFonts w:ascii="Cambria Math" w:eastAsiaTheme="minorHAnsi" w:hAnsi="Cambria Math"/>
                <w:i/>
                <w:szCs w:val="20"/>
              </w:rPr>
            </m:ctrlPr>
          </m:sSubSupPr>
          <m:e>
            <m:r>
              <w:rPr>
                <w:rFonts w:ascii="Cambria Math" w:eastAsiaTheme="minorHAnsi" w:hAnsi="Cambria Math"/>
                <w:szCs w:val="20"/>
              </w:rPr>
              <m:t>x</m:t>
            </m:r>
          </m:e>
          <m:sub>
            <m:r>
              <w:rPr>
                <w:rFonts w:ascii="Cambria Math" w:eastAsiaTheme="minorHAnsi" w:hAnsi="Cambria Math"/>
                <w:szCs w:val="20"/>
              </w:rPr>
              <m:t>k</m:t>
            </m:r>
          </m:sub>
          <m:sup>
            <m:r>
              <w:rPr>
                <w:rFonts w:ascii="Cambria Math" w:eastAsiaTheme="minorHAnsi" w:hAnsi="Cambria Math"/>
                <w:szCs w:val="20"/>
              </w:rPr>
              <m:t>p</m:t>
            </m:r>
          </m:sup>
        </m:sSubSup>
        <m:r>
          <w:rPr>
            <w:rFonts w:ascii="Cambria Math" w:eastAsiaTheme="minorHAnsi" w:hAnsi="Cambria Math"/>
            <w:szCs w:val="20"/>
          </w:rPr>
          <m:t>∈</m:t>
        </m:r>
        <m:sSubSup>
          <m:sSubSupPr>
            <m:ctrlPr>
              <w:rPr>
                <w:rFonts w:ascii="Cambria Math" w:eastAsiaTheme="minorHAnsi" w:hAnsi="Cambria Math"/>
                <w:i/>
                <w:szCs w:val="20"/>
              </w:rPr>
            </m:ctrlPr>
          </m:sSubSupPr>
          <m:e>
            <m:r>
              <w:rPr>
                <w:rFonts w:ascii="Cambria Math" w:eastAsiaTheme="minorHAnsi" w:hAnsi="Cambria Math"/>
                <w:szCs w:val="20"/>
              </w:rPr>
              <m:t>G</m:t>
            </m:r>
          </m:e>
          <m:sub>
            <m:r>
              <w:rPr>
                <w:rFonts w:ascii="Cambria Math" w:eastAsiaTheme="minorHAnsi" w:hAnsi="Cambria Math"/>
                <w:szCs w:val="20"/>
              </w:rPr>
              <m:t>i</m:t>
            </m:r>
          </m:sub>
          <m:sup>
            <m:r>
              <w:rPr>
                <w:rFonts w:ascii="Cambria Math" w:eastAsiaTheme="minorHAnsi" w:hAnsi="Cambria Math"/>
                <w:szCs w:val="20"/>
              </w:rPr>
              <m:t>p</m:t>
            </m:r>
          </m:sup>
        </m:sSubSup>
      </m:oMath>
      <w:r>
        <w:rPr>
          <w:rFonts w:hint="eastAsia"/>
          <w:szCs w:val="20"/>
        </w:rPr>
        <w:t>.</w:t>
      </w:r>
      <w:r>
        <w:rPr>
          <w:szCs w:val="20"/>
        </w:rPr>
        <w:t xml:space="preserve"> </w:t>
      </w:r>
    </w:p>
    <w:p>
      <w:pPr>
        <w:ind w:firstLineChars="100" w:firstLine="200"/>
        <w:rPr>
          <w:szCs w:val="20"/>
        </w:rPr>
      </w:pPr>
      <w:r>
        <w:rPr>
          <w:rFonts w:eastAsiaTheme="minorHAnsi"/>
          <w:szCs w:val="20"/>
        </w:rPr>
        <w:t>The CS1 method is classified through a geometric relationship between subgraphs. For convenience, we will simplify the notation to</w:t>
      </w:r>
      <w:r>
        <w:rPr>
          <w:rFonts w:eastAsiaTheme="minorHAnsi"/>
          <w:szCs w:val="20"/>
        </w:rPr>
        <w:t xml:space="preserve"> </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p</m:t>
            </m:r>
          </m:sup>
        </m:sSup>
        <m:r>
          <w:rPr>
            <w:rFonts w:ascii="Cambria Math" w:eastAsiaTheme="minorHAnsi" w:hAnsi="Cambria Math"/>
            <w:szCs w:val="20"/>
          </w:rPr>
          <m:t xml:space="preserve">=S, </m:t>
        </m:r>
        <m:sSubSup>
          <m:sSubSupPr>
            <m:ctrlPr>
              <w:rPr>
                <w:rFonts w:ascii="Cambria Math" w:eastAsiaTheme="minorHAnsi" w:hAnsi="Cambria Math"/>
                <w:i/>
                <w:szCs w:val="20"/>
              </w:rPr>
            </m:ctrlPr>
          </m:sSubSupPr>
          <m:e>
            <m:r>
              <w:rPr>
                <w:rFonts w:ascii="Cambria Math" w:eastAsiaTheme="minorHAnsi" w:hAnsi="Cambria Math"/>
                <w:szCs w:val="20"/>
              </w:rPr>
              <m:t>u</m:t>
            </m:r>
          </m:e>
          <m:sub>
            <m:r>
              <w:rPr>
                <w:rFonts w:ascii="Cambria Math" w:eastAsiaTheme="minorHAnsi" w:hAnsi="Cambria Math"/>
                <w:szCs w:val="20"/>
              </w:rPr>
              <m:t>i</m:t>
            </m:r>
          </m:sub>
          <m:sup>
            <m:r>
              <w:rPr>
                <w:rFonts w:ascii="Cambria Math" w:eastAsiaTheme="minorHAnsi" w:hAnsi="Cambria Math"/>
                <w:szCs w:val="20"/>
              </w:rPr>
              <m:t>p</m:t>
            </m:r>
          </m:sup>
        </m:sSubSup>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sSubSup>
          <m:sSubSupPr>
            <m:ctrlPr>
              <w:rPr>
                <w:rFonts w:ascii="Cambria Math" w:eastAsiaTheme="minorHAnsi" w:hAnsi="Cambria Math"/>
                <w:i/>
                <w:szCs w:val="20"/>
              </w:rPr>
            </m:ctrlPr>
          </m:sSubSupPr>
          <m:e>
            <m:r>
              <w:rPr>
                <w:rFonts w:ascii="Cambria Math" w:eastAsiaTheme="minorHAnsi" w:hAnsi="Cambria Math"/>
                <w:szCs w:val="20"/>
              </w:rPr>
              <m:t>G</m:t>
            </m:r>
          </m:e>
          <m:sub>
            <m:r>
              <w:rPr>
                <w:rFonts w:ascii="Cambria Math" w:eastAsiaTheme="minorHAnsi" w:hAnsi="Cambria Math"/>
                <w:szCs w:val="20"/>
              </w:rPr>
              <m:t>i</m:t>
            </m:r>
          </m:sub>
          <m:sup>
            <m:r>
              <w:rPr>
                <w:rFonts w:ascii="Cambria Math" w:eastAsiaTheme="minorHAnsi" w:hAnsi="Cambria Math"/>
                <w:szCs w:val="20"/>
              </w:rPr>
              <m:t>p</m:t>
            </m:r>
          </m:sup>
        </m:sSubSup>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r>
          <w:rPr>
            <w:rFonts w:ascii="Cambria Math" w:eastAsiaTheme="minorHAnsi" w:hAnsi="Cambria Math"/>
            <w:szCs w:val="20"/>
          </w:rPr>
          <m:t xml:space="preserve">, </m:t>
        </m:r>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r>
          <w:rPr>
            <w:rFonts w:ascii="Cambria Math" w:eastAsiaTheme="minorHAnsi" w:hAnsi="Cambria Math"/>
            <w:szCs w:val="20"/>
          </w:rPr>
          <m:t>= δ</m:t>
        </m:r>
      </m:oMath>
      <w:r>
        <w:rPr>
          <w:rFonts w:hint="eastAsia"/>
          <w:szCs w:val="20"/>
        </w:rPr>
        <w:t>.</w:t>
      </w:r>
      <w:r>
        <w:rPr>
          <w:szCs w:val="20"/>
        </w:rPr>
        <w:t xml:space="preserve"> SSL assumes that the </w:t>
      </w:r>
      <w:r>
        <w:rPr>
          <w:rFonts w:eastAsiaTheme="minorHAnsi"/>
          <w:szCs w:val="20"/>
        </w:rPr>
        <w:t>d</w:t>
      </w:r>
      <w:r>
        <w:rPr>
          <w:rFonts w:eastAsiaTheme="minorHAnsi"/>
          <w:szCs w:val="20"/>
        </w:rPr>
        <w:t xml:space="preserve">ata x1, x2 in the probability-dense region are close, then the associated Label y1, y2 are similar </w:t>
      </w:r>
      <w:r>
        <w:rPr>
          <w:rFonts w:eastAsiaTheme="minorHAnsi"/>
          <w:szCs w:val="20"/>
        </w:rPr>
        <w:fldChar w:fldCharType="begin"/>
      </w:r>
      <w:r>
        <w:rPr>
          <w:rFonts w:eastAsiaTheme="minorHAnsi"/>
          <w:szCs w:val="20"/>
        </w:rPr>
        <w:instrText xml:space="preserve"> ADDIN EN.CITE &lt;EndNote&gt;&lt;Cite&gt;&lt;Author&gt;Chapelle&lt;/Author&gt;&lt;Year&gt;2009&lt;/Year&gt;&lt;RecNum&gt;23&lt;/RecNum&gt;&lt;DisplayText&gt;(Chapelle, Scholkopf, &amp;amp; Zien, 2009)&lt;/DisplayText&gt;&lt;record&gt;&lt;rec-number&gt;23&lt;/rec-number&gt;&lt;foreign-keys&gt;&lt;key app="EN" db-id="rr0ztevxf59zeueereqxd5wc90a5rrp2v22a" timestamp="1670313734" guid="68fd5e45-95a0-4a56-9db3-2a360f7889e8"&gt;23&lt;/key&gt;&lt;/foreign-keys&gt;&lt;ref-type name="Journal Article"&gt;17&lt;/ref-type&gt;&lt;contributors&gt;&lt;authors&gt;&lt;author&gt;Chapelle, Olivier&lt;/author&gt;&lt;author&gt;Scholkopf, Bernhard&lt;/author&gt;&lt;author&gt;Zien, Alexander&lt;/author&gt;&lt;/authors&gt;&lt;/contributors&gt;&lt;titles&gt;&lt;title&gt;Semi-supervised learning (chapelle, o. et al., eds.; 2006)[book reviews]&lt;/title&gt;&lt;secondary-title&gt;IEEE Transactions on Neural Networks&lt;/secondary-title&gt;&lt;/titles&gt;&lt;periodical&gt;&lt;full-title&gt;IEEE Transactions on Neural Networks&lt;/full-title&gt;&lt;/periodical&gt;&lt;pages&gt;542-542&lt;/pages&gt;&lt;volume&gt;20&lt;/volume&gt;&lt;number&gt;3&lt;/number&gt;&lt;dates&gt;&lt;year&gt;2009&lt;/year&gt;&lt;/dates&gt;&lt;isbn&gt;1045-9227&lt;/isbn&gt;&lt;urls&gt;&lt;/urls&gt;&lt;/record&gt;&lt;/Cite&gt;&lt;/EndNote&gt;</w:instrText>
      </w:r>
      <w:r>
        <w:rPr>
          <w:rFonts w:eastAsiaTheme="minorHAnsi"/>
          <w:szCs w:val="20"/>
        </w:rPr>
        <w:fldChar w:fldCharType="separate"/>
      </w:r>
      <w:r>
        <w:rPr>
          <w:rFonts w:eastAsiaTheme="minorHAnsi"/>
          <w:noProof/>
          <w:szCs w:val="20"/>
        </w:rPr>
        <w:t>(Chapelle, Scholkopf, &amp; Zien, 2009)</w:t>
      </w:r>
      <w:r>
        <w:rPr>
          <w:rFonts w:eastAsiaTheme="minorHAnsi"/>
          <w:szCs w:val="20"/>
        </w:rPr>
        <w:fldChar w:fldCharType="end"/>
      </w:r>
      <w:r>
        <w:rPr>
          <w:rFonts w:eastAsiaTheme="minorHAnsi"/>
          <w:szCs w:val="20"/>
        </w:rPr>
        <w:t xml:space="preserve">. </w:t>
      </w:r>
      <w:r>
        <w:rPr>
          <w:szCs w:val="20"/>
        </w:rPr>
        <w:t xml:space="preserve">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ij</m:t>
            </m:r>
          </m:sub>
        </m:sSub>
      </m:oMath>
      <w:r>
        <w:rPr>
          <w:szCs w:val="20"/>
        </w:rPr>
        <w:t xml:space="preserve"> </w:t>
      </w:r>
      <w:r>
        <w:rPr>
          <w:rFonts w:hint="eastAsia"/>
          <w:szCs w:val="20"/>
        </w:rPr>
        <w:t>s.t.</w:t>
      </w:r>
      <w:r>
        <w:rPr>
          <w:szCs w:val="20"/>
        </w:rPr>
        <w:t xml:space="preserve"> </w:t>
      </w:r>
      <w:r>
        <w:rPr>
          <w:rFonts w:hint="eastAsia"/>
          <w:szCs w:val="20"/>
        </w:rPr>
        <w:t>j</w:t>
      </w:r>
      <w:r>
        <w:rPr>
          <w:szCs w:val="20"/>
        </w:rPr>
        <w:t xml:space="preserve"> </w:t>
      </w:r>
      <w:r>
        <w:rPr>
          <w:rFonts w:eastAsiaTheme="minorHAnsi"/>
          <w:szCs w:val="20"/>
        </w:rPr>
        <w:t>∈</w:t>
      </w:r>
      <w:r>
        <w:rPr>
          <w:szCs w:val="20"/>
        </w:rPr>
        <w:t xml:space="preserve"> </w:t>
      </w:r>
      <w:r>
        <w:rPr>
          <w:rFonts w:hint="eastAsia"/>
          <w:szCs w:val="20"/>
        </w:rPr>
        <w:t>{1,</w:t>
      </w:r>
      <w:r>
        <w:rPr>
          <w:szCs w:val="20"/>
        </w:rPr>
        <w:t>…</w:t>
      </w:r>
      <w:r>
        <w:rPr>
          <w:rFonts w:hint="eastAsia"/>
          <w:szCs w:val="20"/>
        </w:rPr>
        <w:t>,</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oMath>
      <w:r>
        <w:rPr>
          <w:rFonts w:hint="eastAsia"/>
          <w:szCs w:val="20"/>
        </w:rPr>
        <w:t xml:space="preserve"> |</w:t>
      </w:r>
      <w:r>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=number</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m:t>
        </m:r>
        <m:r>
          <w:rPr>
            <w:rFonts w:ascii="Cambria Math" w:hAnsi="Cambria Math" w:hint="eastAsia"/>
            <w:szCs w:val="20"/>
          </w:rPr>
          <m:t>unlabel</m:t>
        </m:r>
        <m:r>
          <w:rPr>
            <w:rFonts w:ascii="Cambria Math" w:hAnsi="Cambria Math"/>
            <w:szCs w:val="20"/>
          </w:rPr>
          <m:t xml:space="preserve"> </m:t>
        </m:r>
        <m:r>
          <w:rPr>
            <w:rFonts w:ascii="Cambria Math" w:hAnsi="Cambria Math" w:hint="eastAsia"/>
            <w:szCs w:val="20"/>
          </w:rPr>
          <m:t>data</m:t>
        </m:r>
        <m:r>
          <w:rPr>
            <w:rFonts w:ascii="Cambria Math" w:hAnsi="Cambria Math"/>
            <w:szCs w:val="20"/>
          </w:rPr>
          <m:t xml:space="preserve"> </m:t>
        </m:r>
        <m:r>
          <w:rPr>
            <w:rFonts w:ascii="Cambria Math" w:hAnsi="Cambria Math" w:hint="eastAsia"/>
            <w:szCs w:val="20"/>
          </w:rPr>
          <m:t>in</m:t>
        </m:r>
        <m:r>
          <w:rPr>
            <w:rFonts w:ascii="Cambria Math" w:hAnsi="Cambria Math"/>
            <w:szCs w:val="20"/>
          </w:rPr>
          <m:t xml:space="preserve">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Pr>
          <w:rFonts w:hint="eastAsia"/>
          <w:szCs w:val="20"/>
        </w:rPr>
        <w:t>}</w:t>
      </w:r>
      <w:r>
        <w:rPr>
          <w:rFonts w:hint="eastAsia"/>
          <w:szCs w:val="20"/>
        </w:rPr>
        <w:t xml:space="preserve"> </w:t>
      </w:r>
      <w:r>
        <w:rPr>
          <w:szCs w:val="20"/>
        </w:rPr>
        <w:t>belonging to the dense subgraph</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Pr>
          <w:rFonts w:hint="eastAsia"/>
          <w:szCs w:val="20"/>
        </w:rPr>
        <w:t xml:space="preserve"> c</w:t>
      </w:r>
      <w:r>
        <w:rPr>
          <w:szCs w:val="20"/>
        </w:rPr>
        <w:t>an be assumed that label is same as</w:t>
      </w:r>
      <w:r>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szCs w:val="20"/>
        </w:rPr>
        <w:t>’s label</w:t>
      </w:r>
      <w:r>
        <w:rPr>
          <w:rFonts w:hint="eastAsia"/>
          <w:szCs w:val="20"/>
        </w:rPr>
        <w:t>.</w:t>
      </w:r>
      <w:r>
        <w:rPr>
          <w:szCs w:val="20"/>
        </w:rPr>
        <w:t xml:space="preserve"> </w:t>
      </w:r>
      <w:r>
        <w:rPr>
          <w:rFonts w:hint="eastAsia"/>
          <w:szCs w:val="20"/>
        </w:rPr>
        <w:t>T</w:t>
      </w:r>
      <w:r>
        <w:rPr>
          <w:szCs w:val="20"/>
        </w:rPr>
        <w:t>hus</w:t>
      </w:r>
      <w:r>
        <w:rPr>
          <w:szCs w:val="20"/>
        </w:rPr>
        <w:t>,</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 xml:space="preserve"> </w:t>
      </w:r>
      <w:r>
        <w:rPr>
          <w:rFonts w:hint="eastAsia"/>
          <w:szCs w:val="20"/>
        </w:rPr>
        <w:t>c</w:t>
      </w:r>
      <w:r>
        <w:rPr>
          <w:szCs w:val="20"/>
        </w:rPr>
        <w:t xml:space="preserve">ould represent </w:t>
      </w:r>
      <w:r>
        <w:rPr>
          <w:szCs w:val="20"/>
        </w:rPr>
        <w:t>unlabeled</w:t>
      </w:r>
      <w:r>
        <w:rPr>
          <w:szCs w:val="20"/>
        </w:rPr>
        <w:t xml:space="preserve"> </w:t>
      </w:r>
      <w:r>
        <w:rPr>
          <w:szCs w:val="20"/>
        </w:rPr>
        <w:t>d</w:t>
      </w:r>
      <w:r>
        <w:rPr>
          <w:szCs w:val="20"/>
        </w:rPr>
        <w:t xml:space="preserve">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ij</m:t>
            </m:r>
          </m:sub>
        </m:sSub>
      </m:oMath>
      <w:r>
        <w:rPr>
          <w:rFonts w:hint="eastAsia"/>
          <w:szCs w:val="20"/>
        </w:rPr>
        <w:t xml:space="preserve"> </w:t>
      </w:r>
      <w:r>
        <w:rPr>
          <w:szCs w:val="20"/>
        </w:rPr>
        <w:t>belonging to the subgraph</w:t>
      </w:r>
      <w:r>
        <w:rPr>
          <w:rFonts w:hint="eastAsia"/>
          <w:szCs w:val="20"/>
        </w:rPr>
        <w:t>.</w:t>
      </w:r>
      <w:r>
        <w:rPr>
          <w:szCs w:val="20"/>
        </w:rPr>
        <w:t xml:space="preserve"> Fu</w:t>
      </w:r>
      <w:r>
        <w:rPr>
          <w:szCs w:val="20"/>
        </w:rPr>
        <w:t>r</w:t>
      </w:r>
      <w:r>
        <w:rPr>
          <w:szCs w:val="20"/>
        </w:rPr>
        <w:t xml:space="preserve">thermore, it is assumed that subgraphs formed through active selection have a radius </w:t>
      </w:r>
      <m:oMath>
        <m:r>
          <w:rPr>
            <w:rFonts w:ascii="Cambria Math" w:eastAsiaTheme="minorHAnsi" w:hAnsi="Cambria Math"/>
            <w:szCs w:val="20"/>
          </w:rPr>
          <m:t>δ</m:t>
        </m:r>
      </m:oMath>
      <w:r>
        <w:rPr>
          <w:rFonts w:hint="eastAsia"/>
          <w:szCs w:val="20"/>
        </w:rPr>
        <w:t xml:space="preserve"> </w:t>
      </w:r>
      <w:r>
        <w:rPr>
          <w:szCs w:val="20"/>
        </w:rPr>
        <w:t xml:space="preserve">small enough to cover </w:t>
      </w:r>
      <w:r>
        <w:rPr>
          <w:szCs w:val="20"/>
        </w:rPr>
        <w:t xml:space="preserve">the </w:t>
      </w:r>
      <w:r>
        <w:rPr>
          <w:szCs w:val="20"/>
        </w:rPr>
        <w:t>dataset tightly. Let</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ik</m:t>
            </m:r>
          </m:sub>
        </m:sSub>
      </m:oMath>
      <w:r>
        <w:rPr>
          <w:szCs w:val="20"/>
        </w:rPr>
        <w:t xml:space="preserve"> s.t. k </w:t>
      </w:r>
      <w:r>
        <w:rPr>
          <w:rFonts w:eastAsiaTheme="minorHAnsi"/>
          <w:szCs w:val="20"/>
        </w:rPr>
        <w:t>∈</w:t>
      </w:r>
      <w:r>
        <w:rPr>
          <w:szCs w:val="20"/>
        </w:rPr>
        <w:t xml:space="preserve"> </w:t>
      </w:r>
      <w:r>
        <w:rPr>
          <w:rFonts w:hint="eastAsia"/>
          <w:szCs w:val="20"/>
        </w:rPr>
        <w:t>{1,</w:t>
      </w:r>
      <w:r>
        <w:rPr>
          <w:szCs w:val="20"/>
        </w:rPr>
        <w:t>…</w:t>
      </w:r>
      <w:r>
        <w:rPr>
          <w:rFonts w:hint="eastAsia"/>
          <w:szCs w:val="20"/>
        </w:rPr>
        <w:t>,</w:t>
      </w:r>
      <m:oMath>
        <m:sSub>
          <m:sSubPr>
            <m:ctrlPr>
              <w:rPr>
                <w:rFonts w:ascii="Cambria Math" w:hAnsi="Cambria Math"/>
                <w:szCs w:val="20"/>
              </w:rPr>
            </m:ctrlPr>
          </m:sSubPr>
          <m:e>
            <m:r>
              <m:rPr>
                <m:sty m:val="p"/>
              </m:rPr>
              <w:rPr>
                <w:rFonts w:ascii="Cambria Math" w:hAnsi="Cambria Math"/>
                <w:szCs w:val="20"/>
              </w:rPr>
              <m:t>m</m:t>
            </m:r>
          </m:e>
          <m:sub>
            <m:r>
              <w:rPr>
                <w:rFonts w:ascii="Cambria Math" w:hAnsi="Cambria Math"/>
                <w:szCs w:val="20"/>
              </w:rPr>
              <m:t>i</m:t>
            </m:r>
          </m:sub>
        </m:sSub>
      </m:oMath>
      <w:r>
        <w:rPr>
          <w:rFonts w:hint="eastAsia"/>
          <w:szCs w:val="20"/>
        </w:rPr>
        <w:t xml:space="preserve"> |</w:t>
      </w:r>
      <w:r>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=number</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subgraph which has connection with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Pr>
          <w:rFonts w:hint="eastAsia"/>
          <w:szCs w:val="20"/>
        </w:rPr>
        <w:t>}</w:t>
      </w:r>
      <w:r>
        <w:rPr>
          <w:szCs w:val="20"/>
        </w:rPr>
        <w:t xml:space="preserve"> </w:t>
      </w:r>
      <w:r>
        <w:rPr>
          <w:szCs w:val="20"/>
        </w:rPr>
        <w:t>be the subgraph which has connection with</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Pr>
          <w:rFonts w:hint="eastAsia"/>
          <w:szCs w:val="20"/>
        </w:rPr>
        <w:t>.</w:t>
      </w:r>
      <w:r>
        <w:rPr>
          <w:szCs w:val="20"/>
        </w:rPr>
        <w:t xml:space="preserve"> </w:t>
      </w:r>
      <w:r>
        <w:rPr>
          <w:szCs w:val="20"/>
        </w:rPr>
        <w:t>We know the classes of the central</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 xml:space="preserve"> </w:t>
      </w:r>
      <w:r>
        <w:rPr>
          <w:szCs w:val="20"/>
        </w:rPr>
        <w:t>and</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ik</m:t>
            </m:r>
          </m:sub>
        </m:sSub>
      </m:oMath>
      <w:r>
        <w:rPr>
          <w:rFonts w:hint="eastAsia"/>
          <w:szCs w:val="20"/>
        </w:rPr>
        <w:t xml:space="preserve"> </w:t>
      </w:r>
      <w:r>
        <w:rPr>
          <w:szCs w:val="20"/>
        </w:rPr>
        <w:t>of each subgraph</w:t>
      </w:r>
      <w:r>
        <w:rPr>
          <w:rFonts w:hint="eastAsia"/>
          <w:szCs w:val="20"/>
        </w:rPr>
        <w:t>.</w:t>
      </w:r>
      <w:r>
        <w:rPr>
          <w:szCs w:val="20"/>
        </w:rPr>
        <w:t xml:space="preserve"> </w:t>
      </w:r>
      <w:r>
        <w:rPr>
          <w:szCs w:val="20"/>
        </w:rPr>
        <w:t xml:space="preserve">At this time, if the classes of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r>
          <m:rPr>
            <m:sty m:val="p"/>
          </m:rPr>
          <w:rPr>
            <w:rFonts w:ascii="Cambria Math" w:hAnsi="Cambria Math"/>
            <w:szCs w:val="20"/>
          </w:rPr>
          <m:t>and</m:t>
        </m:r>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k</m:t>
            </m:r>
          </m:sub>
        </m:sSub>
      </m:oMath>
      <w:r>
        <w:rPr>
          <w:rFonts w:hint="eastAsia"/>
          <w:szCs w:val="20"/>
        </w:rPr>
        <w:t xml:space="preserve"> </w:t>
      </w:r>
      <w:r>
        <w:rPr>
          <w:szCs w:val="20"/>
        </w:rPr>
        <w:t xml:space="preserve">are different, it can be inferred that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Pr>
          <w:rFonts w:hint="eastAsia"/>
          <w:szCs w:val="20"/>
        </w:rPr>
        <w:t xml:space="preserve"> </w:t>
      </w:r>
      <w:r>
        <w:rPr>
          <w:szCs w:val="20"/>
        </w:rPr>
        <w:t>and</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k</m:t>
            </m:r>
          </m:sub>
        </m:sSub>
      </m:oMath>
      <w:r>
        <w:rPr>
          <w:rFonts w:hint="eastAsia"/>
          <w:szCs w:val="20"/>
        </w:rPr>
        <w:t xml:space="preserve"> </w:t>
      </w:r>
      <w:r>
        <w:rPr>
          <w:szCs w:val="20"/>
        </w:rPr>
        <w:t xml:space="preserve">are in the boundary area of different classes from a geometric point of view. Conversely, it will be located in the center of a particular class when all the classes of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ik</m:t>
            </m:r>
          </m:sub>
        </m:sSub>
      </m:oMath>
      <w:r>
        <w:rPr>
          <w:rFonts w:hint="eastAsia"/>
          <w:szCs w:val="20"/>
        </w:rPr>
        <w:t xml:space="preserve"> </w:t>
      </w:r>
      <w:r>
        <w:rPr>
          <w:szCs w:val="20"/>
        </w:rPr>
        <w:t>and</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 xml:space="preserve"> </w:t>
      </w:r>
      <w:r>
        <w:rPr>
          <w:szCs w:val="20"/>
        </w:rPr>
        <w:t>are the same. That is, when</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sub>
        </m:sSub>
        <m:r>
          <m:rPr>
            <m:sty m:val="p"/>
          </m:rPr>
          <w:rPr>
            <w:rFonts w:ascii="Cambria Math" w:hAnsi="Cambria Math"/>
            <w:szCs w:val="20"/>
          </w:rPr>
          <m:t xml:space="preserve"> </m:t>
        </m:r>
      </m:oMath>
      <w:r>
        <w:rPr>
          <w:rFonts w:hint="eastAsia"/>
          <w:szCs w:val="20"/>
        </w:rPr>
        <w:t xml:space="preserve"> a</w:t>
      </w:r>
      <w:r>
        <w:rPr>
          <w:szCs w:val="20"/>
        </w:rPr>
        <w:t>nd</w:t>
      </w:r>
      <w:r>
        <w:rPr>
          <w:szCs w:val="20"/>
        </w:rPr>
        <w:t xml:space="preserve"> density of subgraph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r>
          <m:rPr>
            <m:sty m:val="p"/>
          </m:rPr>
          <w:rPr>
            <w:rFonts w:ascii="Cambria Math" w:hAnsi="Cambria Math"/>
            <w:szCs w:val="20"/>
          </w:rPr>
          <m:t xml:space="preserve">&gt;α </m:t>
        </m:r>
      </m:oMath>
      <w:r>
        <w:rPr>
          <w:rFonts w:hint="eastAsia"/>
          <w:szCs w:val="20"/>
        </w:rPr>
        <w:t xml:space="preserve"> </w:t>
      </w:r>
      <w:r>
        <w:rPr>
          <w:rFonts w:hint="eastAsia"/>
          <w:szCs w:val="20"/>
        </w:rPr>
        <w:t>i</w:t>
      </w:r>
      <w:r>
        <w:rPr>
          <w:szCs w:val="20"/>
        </w:rPr>
        <w:t xml:space="preserve">s satisfied, the unlabeled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ij</m:t>
            </m:r>
          </m:sub>
        </m:sSub>
      </m:oMath>
      <w:r>
        <w:rPr>
          <w:szCs w:val="20"/>
        </w:rPr>
        <w:t xml:space="preserve"> belonging to</w:t>
      </w:r>
      <w:r>
        <w:rPr>
          <w:szCs w:val="20"/>
        </w:rPr>
        <w:t xml:space="preserve"> </w:t>
      </w:r>
      <w:r>
        <w:rPr>
          <w:szCs w:val="20"/>
        </w:rPr>
        <w:t xml:space="preserve">subgraph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Pr>
          <w:rFonts w:hint="eastAsia"/>
          <w:szCs w:val="20"/>
        </w:rPr>
        <w:t xml:space="preserve"> </w:t>
      </w:r>
      <w:r>
        <w:rPr>
          <w:szCs w:val="20"/>
        </w:rPr>
        <w:t>can be classified as same class as</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w:t>
      </w:r>
      <w:r>
        <w:rPr>
          <w:szCs w:val="20"/>
        </w:rPr>
        <w:t xml:space="preserve"> </w:t>
      </w:r>
      <m:oMath>
        <m:r>
          <m:rPr>
            <m:sty m:val="p"/>
          </m:rPr>
          <w:rPr>
            <w:rFonts w:ascii="Cambria Math" w:hAnsi="Cambria Math"/>
            <w:szCs w:val="20"/>
          </w:rPr>
          <m:t>α</m:t>
        </m:r>
      </m:oMath>
      <w:r>
        <w:rPr>
          <w:rFonts w:hint="eastAsia"/>
          <w:szCs w:val="20"/>
        </w:rPr>
        <w:t xml:space="preserve"> </w:t>
      </w:r>
      <w:r>
        <w:rPr>
          <w:rFonts w:hint="eastAsia"/>
          <w:szCs w:val="20"/>
        </w:rPr>
        <w:t>i</w:t>
      </w:r>
      <w:r>
        <w:rPr>
          <w:szCs w:val="20"/>
        </w:rPr>
        <w:t>s the hyperparameter for the subgraph density</w:t>
      </w:r>
      <w:r>
        <w:rPr>
          <w:rFonts w:hint="eastAsia"/>
          <w:szCs w:val="20"/>
        </w:rPr>
        <w:t>.</w:t>
      </w:r>
      <w:r>
        <w:rPr>
          <w:szCs w:val="20"/>
        </w:rPr>
        <w:t xml:space="preserve"> </w:t>
      </w:r>
      <w:r>
        <w:rPr>
          <w:szCs w:val="20"/>
        </w:rPr>
        <w:t xml:space="preserve">In addition, when a few subgraphs overlap, it is necessary to prevent accidental </w:t>
      </w:r>
      <w:r>
        <w:rPr>
          <w:szCs w:val="20"/>
        </w:rPr>
        <w:t>mis</w:t>
      </w:r>
      <w:r>
        <w:rPr>
          <w:szCs w:val="20"/>
        </w:rPr>
        <w:t>classification</w:t>
      </w:r>
      <w:r>
        <w:rPr>
          <w:szCs w:val="20"/>
        </w:rPr>
        <w:t xml:space="preserve"> by having </w:t>
      </w:r>
    </w:p>
    <w:p>
      <w:pPr>
        <w:ind w:firstLineChars="50" w:firstLine="100"/>
        <w:jc w:val="center"/>
        <w:rPr>
          <w:szCs w:val="20"/>
        </w:rPr>
      </w:pPr>
      <w:r>
        <w:rPr>
          <w:noProof/>
        </w:rPr>
        <w:drawing>
          <wp:anchor distT="0" distB="0" distL="114300" distR="114300" behindDoc="0" locked="0" layoutInCell="1" simplePos="0" relativeHeight="251658240" allowOverlap="1" hidden="0">
            <wp:simplePos x="0" y="0"/>
            <wp:positionH relativeFrom="column">
              <wp:posOffset>800100</wp:posOffset>
            </wp:positionH>
            <wp:positionV relativeFrom="paragraph">
              <wp:posOffset>177800</wp:posOffset>
            </wp:positionV>
            <wp:extent cx="3943350" cy="1850290"/>
            <wp:effectExtent l="0" t="0" r="0" b="0"/>
            <wp:wrapTopAndBottom/>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943350" cy="1850290"/>
                    </a:xfrm>
                    <a:prstGeom prst="rect"/>
                    <a:noFill/>
                    <a:ln>
                      <a:noFill/>
                    </a:ln>
                  </pic:spPr>
                </pic:pic>
              </a:graphicData>
            </a:graphic>
          </wp:anchor>
        </w:drawing>
      </w:r>
      <w:r>
        <w:rPr>
          <w:rFonts w:hint="eastAsia"/>
          <w:szCs w:val="20"/>
        </w:rPr>
        <w:t>[F</w:t>
      </w:r>
      <w:r>
        <w:rPr>
          <w:szCs w:val="20"/>
        </w:rPr>
        <w:t>igure 2. Concept of SC1(</w:t>
      </w:r>
      <w:r>
        <w:rPr>
          <w:rFonts w:hint="eastAsia"/>
          <w:szCs w:val="20"/>
        </w:rPr>
        <w:t>L</w:t>
      </w:r>
      <w:r>
        <w:rPr>
          <w:szCs w:val="20"/>
        </w:rPr>
        <w:t>eft</w:t>
      </w:r>
      <w:r>
        <w:rPr>
          <w:rFonts w:hint="eastAsia"/>
          <w:szCs w:val="20"/>
        </w:rPr>
        <w:t>)</w:t>
      </w:r>
      <w:r>
        <w:rPr>
          <w:szCs w:val="20"/>
        </w:rPr>
        <w:t>, SC2(</w:t>
      </w:r>
      <w:r>
        <w:rPr>
          <w:rFonts w:hint="eastAsia"/>
          <w:szCs w:val="20"/>
        </w:rPr>
        <w:t>r</w:t>
      </w:r>
      <w:r>
        <w:rPr>
          <w:szCs w:val="20"/>
        </w:rPr>
        <w:t>ight</w:t>
      </w:r>
      <w:r>
        <w:rPr>
          <w:rFonts w:hint="eastAsia"/>
          <w:szCs w:val="20"/>
        </w:rPr>
        <w:t>)</w:t>
      </w:r>
      <w:r>
        <w:rPr>
          <w:szCs w:val="20"/>
        </w:rPr>
        <w:t>]</w:t>
      </w:r>
    </w:p>
    <w:p>
      <w:pPr>
        <w:rPr>
          <w:szCs w:val="20"/>
        </w:rPr>
      </w:pPr>
      <w:r>
        <w:rPr>
          <w:szCs w:val="20"/>
        </w:rPr>
        <w:t xml:space="preserve">different classes even though it is not the center of a specific class. The number of </w:t>
      </w:r>
      <m:oMath>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oMath>
      <w:r>
        <w:rPr>
          <w:rFonts w:hint="eastAsia"/>
          <w:szCs w:val="20"/>
        </w:rPr>
        <w:t xml:space="preserve"> o</w:t>
      </w:r>
      <w:r>
        <w:rPr>
          <w:szCs w:val="20"/>
        </w:rPr>
        <w:t>f subgraphs which contact to other subgraphs is also added as a condition to be greater than or equal to the hyperparameter</w:t>
      </w:r>
      <w:r>
        <w:rPr>
          <w:rFonts w:hint="eastAsia"/>
          <w:szCs w:val="20"/>
        </w:rPr>
        <w:t xml:space="preserve"> M. </w:t>
      </w:r>
    </w:p>
    <w:p>
      <w:pPr>
        <w:ind w:firstLineChars="100" w:firstLine="200"/>
        <w:rPr>
          <w:szCs w:val="20"/>
        </w:rPr>
      </w:pPr>
      <w:r>
        <w:rPr>
          <w:szCs w:val="20"/>
        </w:rPr>
        <w:t xml:space="preserve">CS2 can be applied when subgraphs overlap by performing the coreset selection multiple times. All </w:t>
      </w:r>
      <w:r>
        <w:rPr>
          <w:szCs w:val="20"/>
        </w:rPr>
        <w:t>unlabeled</w:t>
      </w:r>
      <w:r>
        <w:rPr>
          <w:szCs w:val="20"/>
        </w:rPr>
        <w:t xml:space="preserve">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Pr>
          <w:szCs w:val="20"/>
        </w:rPr>
        <w:t xml:space="preserve"> between one coreset selection are included in one or more subgraphs. If the coreset selection is performed a total of P times, all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Pr>
          <w:szCs w:val="20"/>
        </w:rPr>
        <w:t xml:space="preserve"> belong to at least P subgraphs. The more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Pr>
          <w:szCs w:val="20"/>
        </w:rPr>
        <w:t xml:space="preserve"> belongs to a subgraph whose center is a specific class, the higher the probability that it is the same class. In addition, the probability will be high in inverse proportion to the radius </w:t>
      </w:r>
      <m:oMath>
        <m:sSup>
          <m:sSupPr>
            <m:ctrlPr>
              <w:rPr>
                <w:rFonts w:ascii="Cambria Math" w:hAnsi="Cambria Math"/>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 xml:space="preserve"> </w:t>
      </w:r>
      <w:r>
        <w:rPr>
          <w:szCs w:val="20"/>
        </w:rPr>
        <w:t>of each subgraph.</w:t>
      </w:r>
      <w:r>
        <w:rPr>
          <w:szCs w:val="20"/>
        </w:rPr>
        <w:t xml:space="preserve"> For each class, we calculate probability of class via </w:t>
      </w:r>
      <w:r>
        <w:rPr>
          <w:szCs w:val="20"/>
        </w:rPr>
        <w:t>SoftMax</w:t>
      </w:r>
      <w:r>
        <w:rPr>
          <w:szCs w:val="20"/>
        </w:rPr>
        <w:t xml:space="preserve"> based on the number of times </w:t>
      </w:r>
      <m:oMath>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1</m:t>
                </m:r>
              </m:sub>
            </m:sSub>
          </m:sub>
          <m:sup>
            <m:r>
              <w:rPr>
                <w:rFonts w:ascii="Cambria Math" w:hAnsi="Cambria Math"/>
                <w:szCs w:val="20"/>
              </w:rPr>
              <m:t>p</m:t>
            </m:r>
          </m:sup>
        </m:sSub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J</m:t>
                </m:r>
              </m:sub>
            </m:sSub>
          </m:sub>
          <m:sup>
            <m:r>
              <w:rPr>
                <w:rFonts w:ascii="Cambria Math" w:hAnsi="Cambria Math"/>
                <w:szCs w:val="20"/>
              </w:rPr>
              <m:t>p</m:t>
            </m:r>
          </m:sup>
        </m:sSubSup>
        <m:r>
          <w:rPr>
            <w:rFonts w:ascii="Cambria Math" w:hAnsi="Cambria Math"/>
            <w:szCs w:val="20"/>
          </w:rPr>
          <m:t xml:space="preserve"> s.t.  J is number of class)</m:t>
        </m:r>
      </m:oMath>
      <w:r>
        <w:rPr>
          <w:szCs w:val="20"/>
        </w:rPr>
        <w:t xml:space="preserve"> and</w:t>
      </w:r>
      <m:oMath>
        <m:r>
          <w:rPr>
            <w:rFonts w:ascii="Cambria Math" w:hAnsi="Cambria Math"/>
            <w:szCs w:val="20"/>
          </w:rPr>
          <m:t xml:space="preserve"> </m:t>
        </m:r>
        <m:sSup>
          <m:sSupPr>
            <m:ctrlPr>
              <w:rPr>
                <w:rFonts w:ascii="Cambria Math" w:hAnsi="Cambria Math"/>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szCs w:val="20"/>
        </w:rPr>
        <w:t xml:space="preserve">. </w:t>
      </w:r>
      <w:r>
        <w:rPr>
          <w:szCs w:val="20"/>
        </w:rPr>
        <w:t xml:space="preserve">In addition, the length of each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r>
          <w:rPr>
            <w:rFonts w:ascii="Cambria Math" w:eastAsiaTheme="minorHAnsi" w:hAnsi="Cambria Math"/>
            <w:szCs w:val="20"/>
          </w:rPr>
          <m:t xml:space="preserve"> </m:t>
        </m:r>
      </m:oMath>
      <w:r>
        <w:rPr>
          <w:szCs w:val="20"/>
        </w:rPr>
        <w:t xml:space="preserve">compared to the smallest radius </w:t>
      </w:r>
      <m:oMath>
        <m:sSup>
          <m:sSupPr>
            <m:ctrlPr>
              <w:rPr>
                <w:rFonts w:ascii="Cambria Math" w:hAnsi="Cambria Math"/>
                <w:szCs w:val="20"/>
              </w:rPr>
            </m:ctrlPr>
          </m:sSupPr>
          <m:e>
            <m:r>
              <m:rPr>
                <m:sty m:val="p"/>
              </m:rPr>
              <w:rPr>
                <w:rFonts w:ascii="Cambria Math" w:eastAsiaTheme="minorHAnsi" w:hAnsi="Cambria Math"/>
                <w:szCs w:val="20"/>
              </w:rPr>
              <m:t>min⁡</m:t>
            </m:r>
            <m:r>
              <w:rPr>
                <w:rFonts w:ascii="Cambria Math" w:eastAsiaTheme="minorHAnsi" w:hAnsi="Cambria Math"/>
                <w:szCs w:val="20"/>
              </w:rPr>
              <m:t>{δ</m:t>
            </m:r>
          </m:e>
          <m:sup>
            <m:r>
              <w:rPr>
                <w:rFonts w:ascii="Cambria Math" w:eastAsiaTheme="minorHAnsi" w:hAnsi="Cambria Math"/>
                <w:szCs w:val="20"/>
              </w:rPr>
              <m:t>p</m:t>
            </m:r>
          </m:sup>
        </m:sSup>
        <m:r>
          <w:rPr>
            <w:rFonts w:ascii="Cambria Math" w:hAnsi="Cambria Math"/>
            <w:szCs w:val="20"/>
          </w:rPr>
          <m:t>}</m:t>
        </m:r>
      </m:oMath>
      <w:r>
        <w:rPr>
          <w:rFonts w:hint="eastAsia"/>
          <w:szCs w:val="20"/>
        </w:rPr>
        <w:t xml:space="preserve"> </w:t>
      </w:r>
      <w:r>
        <w:rPr>
          <w:szCs w:val="20"/>
        </w:rPr>
        <w:t xml:space="preserve">in p cycles is used to prevent the size of the radius from being very large and the probability value of each become low. In addition, to give weight to the recent iteration, we will add the weight of </w:t>
      </w:r>
      <m:oMath>
        <m:f>
          <m:fPr>
            <m:ctrlPr>
              <w:rPr>
                <w:rFonts w:ascii="Cambria Math" w:eastAsiaTheme="minorHAnsi" w:hAnsi="Cambria Math"/>
                <w:i/>
                <w:szCs w:val="20"/>
              </w:rPr>
            </m:ctrlPr>
          </m:fPr>
          <m:num>
            <m:r>
              <w:rPr>
                <w:rFonts w:ascii="Cambria Math" w:eastAsiaTheme="minorHAnsi" w:hAnsi="Cambria Math"/>
                <w:szCs w:val="20"/>
              </w:rPr>
              <m:t>i</m:t>
            </m:r>
          </m:num>
          <m:den>
            <m:r>
              <w:rPr>
                <w:rFonts w:ascii="Cambria Math" w:eastAsiaTheme="minorHAnsi" w:hAnsi="Cambria Math"/>
                <w:szCs w:val="20"/>
              </w:rPr>
              <m:t>P</m:t>
            </m:r>
          </m:den>
        </m:f>
      </m:oMath>
      <w:r>
        <w:rPr>
          <w:szCs w:val="20"/>
        </w:rPr>
        <w:t xml:space="preserve"> for the i-th Iteration. Hard label is given only when the most likely value is greater than </w:t>
      </w:r>
      <w:r>
        <w:rPr>
          <w:szCs w:val="20"/>
        </w:rPr>
        <w:t xml:space="preserve">threshold </w:t>
      </w:r>
      <m:oMath>
        <m:r>
          <m:rPr>
            <m:sty m:val="p"/>
          </m:rPr>
          <w:rPr>
            <w:rFonts w:ascii="Cambria Math" w:hAnsi="Cambria Math"/>
            <w:szCs w:val="20"/>
          </w:rPr>
          <m:t>β</m:t>
        </m:r>
      </m:oMath>
    </w:p>
    <w:p>
      <w:pPr>
        <w:ind w:firstLineChars="50" w:firstLine="120"/>
        <w:jc w:val="center"/>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k</m:t>
                </m:r>
              </m:sub>
              <m:sup>
                <m:r>
                  <w:rPr>
                    <w:rFonts w:ascii="Cambria Math" w:hAnsi="Cambria Math"/>
                    <w:sz w:val="24"/>
                    <w:szCs w:val="24"/>
                  </w:rPr>
                  <m:t>p</m:t>
                </m:r>
              </m:sup>
            </m:sSubSup>
          </m:e>
        </m:d>
        <m:r>
          <w:rPr>
            <w:rFonts w:ascii="Cambria Math" w:hAnsi="Cambria Math"/>
            <w:sz w:val="24"/>
            <w:szCs w:val="24"/>
          </w:rPr>
          <m:t xml:space="preserve">= </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sup>
            </m:sSup>
          </m:num>
          <m:den>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j=1</m:t>
                </m:r>
              </m:sub>
              <m:sup>
                <m:r>
                  <w:rPr>
                    <w:rFonts w:ascii="Cambria Math" w:hAnsi="Cambria Math"/>
                    <w:sz w:val="24"/>
                    <w:szCs w:val="24"/>
                  </w:rPr>
                  <m:t>J</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sup>
            </m:sSup>
          </m:den>
        </m:f>
        <m:r>
          <m:rPr>
            <m:sty m:val="p"/>
          </m:rPr>
          <w:rPr>
            <w:rFonts w:ascii="Cambria Math" w:hAnsi="Cambria Math"/>
            <w:sz w:val="24"/>
            <w:szCs w:val="24"/>
          </w:rPr>
          <m:t xml:space="preserve"> s.t. </m:t>
        </m:r>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num>
          <m:den>
            <m:sSup>
              <m:sSupPr>
                <m:ctrlPr>
                  <w:rPr>
                    <w:rFonts w:ascii="Cambria Math" w:eastAsiaTheme="minorHAnsi" w:hAnsi="Cambria Math"/>
                    <w:i/>
                    <w:sz w:val="24"/>
                    <w:szCs w:val="24"/>
                  </w:rPr>
                </m:ctrlPr>
              </m:sSupPr>
              <m:e>
                <m:r>
                  <m:rPr>
                    <m:sty m:val="p"/>
                  </m:rPr>
                  <w:rPr>
                    <w:rFonts w:ascii="Cambria Math" w:eastAsiaTheme="minorHAnsi" w:hAnsi="Cambria Math"/>
                    <w:sz w:val="24"/>
                    <w:szCs w:val="24"/>
                  </w:rPr>
                  <m:t>min⁡</m:t>
                </m:r>
                <m:r>
                  <w:rPr>
                    <w:rFonts w:ascii="Cambria Math" w:eastAsiaTheme="minorHAnsi" w:hAnsi="Cambria Math"/>
                    <w:sz w:val="24"/>
                    <w:szCs w:val="24"/>
                  </w:rPr>
                  <m:t>{δ</m:t>
                </m:r>
              </m:e>
              <m:sup>
                <m:r>
                  <w:rPr>
                    <w:rFonts w:ascii="Cambria Math" w:eastAsiaTheme="minorHAnsi" w:hAnsi="Cambria Math"/>
                    <w:sz w:val="24"/>
                    <w:szCs w:val="24"/>
                  </w:rPr>
                  <m:t>p</m:t>
                </m:r>
              </m:sup>
            </m:sSup>
            <m:r>
              <w:rPr>
                <w:rFonts w:ascii="Cambria Math" w:eastAsiaTheme="minorHAnsi" w:hAnsi="Cambria Math"/>
                <w:sz w:val="24"/>
                <w:szCs w:val="24"/>
              </w:rPr>
              <m:t>}</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i</m:t>
            </m:r>
          </m:num>
          <m:den>
            <m:r>
              <w:rPr>
                <w:rFonts w:ascii="Cambria Math" w:hAnsi="Cambria Math"/>
                <w:sz w:val="24"/>
                <w:szCs w:val="24"/>
              </w:rPr>
              <m:t>P</m:t>
            </m:r>
          </m:den>
        </m:f>
        <m:r>
          <m:rPr>
            <m:sty m:val="p"/>
          </m:rPr>
          <w:rPr>
            <w:rFonts w:ascii="Cambria Math" w:hAnsi="Cambria Math"/>
            <w:sz w:val="24"/>
            <w:szCs w:val="24"/>
          </w:rPr>
          <m:t xml:space="preserve"> &amp;  k∈{1…, </m:t>
        </m:r>
        <m:sSup>
          <m:sSupPr>
            <m:ctrlPr>
              <w:rPr>
                <w:rFonts w:ascii="Cambria Math" w:hAnsi="Cambria Math"/>
                <w:sz w:val="24"/>
                <w:szCs w:val="24"/>
              </w:rPr>
            </m:ctrlPr>
          </m:sSupPr>
          <m:e>
            <m:r>
              <m:rPr>
                <m:sty m:val="p"/>
              </m:rPr>
              <w:rPr>
                <w:rFonts w:ascii="Cambria Math" w:hAnsi="Cambria Math"/>
                <w:sz w:val="24"/>
                <w:szCs w:val="24"/>
              </w:rPr>
              <m:t>K</m:t>
            </m:r>
          </m:e>
          <m:sup>
            <m:r>
              <w:rPr>
                <w:rFonts w:ascii="Cambria Math" w:hAnsi="Cambria Math"/>
                <w:sz w:val="24"/>
                <w:szCs w:val="24"/>
              </w:rPr>
              <m:t>p</m:t>
            </m:r>
          </m:sup>
        </m:sSup>
        <m:r>
          <m:rPr>
            <m:sty m:val="p"/>
          </m:rPr>
          <w:rPr>
            <w:rFonts w:ascii="Cambria Math" w:hAnsi="Cambria Math"/>
            <w:sz w:val="24"/>
            <w:szCs w:val="24"/>
          </w:rPr>
          <m:t>}</m:t>
        </m:r>
      </m:oMath>
      <w:r>
        <w:rPr>
          <w:rFonts w:hint="eastAsia"/>
          <w:sz w:val="24"/>
          <w:szCs w:val="24"/>
        </w:rPr>
        <w:t xml:space="preserve"> </w:t>
      </w:r>
      <w:r>
        <w:rPr>
          <w:sz w:val="24"/>
          <w:szCs w:val="24"/>
        </w:rPr>
        <w:t xml:space="preserve"> (3.1)</w:t>
      </w:r>
    </w:p>
    <w:p>
      <w:pPr>
        <w:autoSpaceDE/>
        <w:autoSpaceDN/>
        <w:widowControl/>
        <w:wordWrap/>
        <w:rPr>
          <w:szCs w:val="20"/>
        </w:rPr>
      </w:pPr>
    </w:p>
    <w:p>
      <w:pPr>
        <w:autoSpaceDE/>
        <w:autoSpaceDN/>
        <w:widowControl/>
        <w:wordWrap/>
        <w:rPr>
          <w:szCs w:val="20"/>
        </w:rPr>
      </w:pPr>
      <w:r>
        <w:rPr>
          <w:rFonts w:hint="eastAsia"/>
          <w:szCs w:val="20"/>
        </w:rPr>
        <w:t>4</w:t>
      </w:r>
      <w:r>
        <w:rPr>
          <w:szCs w:val="20"/>
        </w:rPr>
        <w:t>.</w:t>
      </w:r>
      <w:r>
        <w:rPr>
          <w:rFonts w:hint="eastAsia"/>
          <w:szCs w:val="20"/>
        </w:rPr>
        <w:t xml:space="preserve"> </w:t>
      </w:r>
      <w:r>
        <w:rPr>
          <w:rFonts w:hint="eastAsia"/>
          <w:szCs w:val="20"/>
        </w:rPr>
        <w:t>E</w:t>
      </w:r>
      <w:r>
        <w:rPr>
          <w:szCs w:val="20"/>
        </w:rPr>
        <w:t>xperiment</w:t>
      </w:r>
    </w:p>
    <w:p>
      <w:pPr>
        <w:autoSpaceDE/>
        <w:autoSpaceDN/>
        <w:widowControl/>
        <w:wordWrap/>
        <w:rPr>
          <w:szCs w:val="20"/>
        </w:rPr>
      </w:pPr>
      <w:r>
        <w:rPr>
          <w:szCs w:val="20"/>
        </w:rPr>
        <w:t xml:space="preserve"> 4-1) </w:t>
      </w:r>
      <w:r>
        <w:rPr>
          <w:rFonts w:hint="eastAsia"/>
          <w:szCs w:val="20"/>
        </w:rPr>
        <w:t>D</w:t>
      </w:r>
      <w:r>
        <w:rPr>
          <w:szCs w:val="20"/>
        </w:rPr>
        <w:t xml:space="preserve">ataset </w:t>
      </w:r>
      <w:r>
        <w:rPr>
          <w:rFonts w:hint="eastAsia"/>
          <w:szCs w:val="20"/>
        </w:rPr>
        <w:t>a</w:t>
      </w:r>
      <w:r>
        <w:rPr>
          <w:szCs w:val="20"/>
        </w:rPr>
        <w:t xml:space="preserve">nd training </w:t>
      </w:r>
    </w:p>
    <w:p>
      <w:pPr>
        <w:autoSpaceDE/>
        <w:autoSpaceDN/>
        <w:widowControl/>
        <w:wordWrap/>
        <w:rPr>
          <w:szCs w:val="20"/>
        </w:rPr>
      </w:pPr>
      <w:r>
        <w:rPr>
          <w:rFonts w:hint="eastAsia"/>
          <w:szCs w:val="20"/>
        </w:rPr>
        <w:t xml:space="preserve"> </w:t>
      </w:r>
      <w:r>
        <w:rPr>
          <w:szCs w:val="20"/>
        </w:rPr>
        <w:t>We will verify the performance of CS1 and CS2 with five datasets: MNIST, Fashion-MNIST, EMNIST-letter, and CIFAR10/100. Each dataset has 10 classes</w:t>
      </w:r>
      <w:r>
        <w:rPr>
          <w:szCs w:val="20"/>
        </w:rPr>
        <w:t>,</w:t>
      </w:r>
      <w:r>
        <w:rPr>
          <w:szCs w:val="20"/>
        </w:rPr>
        <w:t xml:space="preserve"> except EMNIST-letter and CIFAR 100. EMNIST-letter and CIFAR 100 have 26 and 100 classes, respectively. MNIST and Fashion-MNIST consist of a </w:t>
      </w:r>
      <w:r>
        <w:rPr>
          <w:szCs w:val="20"/>
        </w:rPr>
        <w:t>total of 60K training images and 10K test images, respectively. EMNIST-letter consists of 124.8K and 20.8K. Images of three dataset</w:t>
      </w:r>
      <w:r>
        <w:rPr>
          <w:szCs w:val="20"/>
        </w:rPr>
        <w:t>s</w:t>
      </w:r>
      <w:r>
        <w:rPr>
          <w:szCs w:val="20"/>
        </w:rPr>
        <w:t xml:space="preserve"> have a resolution of 28x28. CIFAR 10/100 consists of 50K and 50K training images and 10K and 10K test data, respectively. Image of dataset are color images and have a resolution of 32x32. The case of sampling at once for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=1K and the case of sampling 10 times for 100 are tested. The result of each dataset may partially vary depending on the performance of CAE, so the number of detailed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cases will be checked only with MNIST. The CAE model utilizes a well-known 13-CNN model structure, and the decoder part is configured in reverse order. The DL model is 13 CNN.</w:t>
      </w:r>
    </w:p>
    <w:p>
      <w:pPr>
        <w:ind w:firstLineChars="100" w:firstLine="200"/>
        <w:autoSpaceDE/>
        <w:autoSpaceDN/>
        <w:widowControl/>
        <w:wordWrap/>
        <w:rPr>
          <w:szCs w:val="20"/>
        </w:rPr>
      </w:pPr>
      <w:r>
        <w:rPr>
          <w:szCs w:val="20"/>
        </w:rPr>
        <w:t>The same hyperparameters were applied for each dataset. In the case of the convolution autoencoder, lr = 0.001 and Adam is applied as an optimizer to learn train dataset for 100 epochs. After that, in learning the 13-CNN model, label dataset and pseudo labeled dataset by CS1 and CS2 were separately learned. Between 13-CNN model learning, we applied the same hyperparameters as when learning CAE. According to the research of</w:t>
      </w:r>
      <w:r>
        <w:rPr>
          <w:szCs w:val="20"/>
        </w:rPr>
        <w:t xml:space="preserve"> </w:t>
      </w:r>
      <w:r>
        <w:rPr>
          <w:szCs w:val="20"/>
        </w:rPr>
        <w:t>{Arazo, 2020 #9}</w:t>
      </w:r>
      <w:r>
        <w:rPr>
          <w:szCs w:val="20"/>
        </w:rPr>
        <w:t xml:space="preserve">, the value of hyperparameter of </w:t>
      </w:r>
      <w:r>
        <w:rPr>
          <w:szCs w:val="20"/>
        </w:rPr>
        <w:t>mix-up</w:t>
      </w:r>
      <w:r>
        <w:rPr>
          <w:szCs w:val="20"/>
        </w:rPr>
        <w:t xml:space="preserve"> data augmentation was set to 4. In addition, the train batch size of label dataset was set to 8 and the train batch</w:t>
      </w:r>
      <w:r>
        <w:rPr>
          <w:szCs w:val="20"/>
        </w:rPr>
        <w:t xml:space="preserve"> </w:t>
      </w:r>
      <w:r>
        <w:rPr>
          <w:szCs w:val="20"/>
        </w:rPr>
        <w:t>size of SC1 and SC2 was set to 100, respectively. In addition, for warm training for each, label data learned 10 epochs, and then 5 epochs were learned through each SC1 and SC2 label data.</w:t>
      </w:r>
    </w:p>
    <w:p>
      <w:pPr>
        <w:autoSpaceDE/>
        <w:autoSpaceDN/>
        <w:widowControl/>
        <w:wordWrap/>
        <w:rPr>
          <w:szCs w:val="20"/>
        </w:rPr>
      </w:pPr>
      <w:r>
        <w:rPr>
          <w:rFonts w:hint="eastAsia"/>
          <w:szCs w:val="20"/>
        </w:rPr>
        <w:t xml:space="preserve"> </w:t>
      </w:r>
      <w:r>
        <w:rPr>
          <w:szCs w:val="20"/>
        </w:rPr>
        <w:t>4-2) Performance of CS1 &amp; CS2</w:t>
      </w:r>
    </w:p>
    <w:p>
      <w:pPr>
        <w:ind w:firstLineChars="50" w:firstLine="100"/>
        <w:autoSpaceDE/>
        <w:autoSpaceDN/>
        <w:widowControl/>
        <w:wordWrap/>
        <w:rPr>
          <w:szCs w:val="20"/>
        </w:rPr>
      </w:pPr>
      <w:r>
        <w:rPr>
          <w:szCs w:val="20"/>
        </w:rPr>
        <w:t xml:space="preserve">The performance of CS1 and CS2 for each dataset is shown in Table 1. There are no subgraph restrictions in CS1 with density, and the threshold </w:t>
      </w:r>
      <m:oMath>
        <m:r>
          <m:rPr>
            <m:sty m:val="p"/>
          </m:rPr>
          <w:rPr>
            <w:rFonts w:ascii="Cambria Math" w:hAnsi="Cambria Math"/>
            <w:szCs w:val="20"/>
          </w:rPr>
          <m:t>β</m:t>
        </m:r>
      </m:oMath>
      <w:r>
        <w:rPr>
          <w:szCs w:val="20"/>
        </w:rPr>
        <w:t xml:space="preserve"> of CS2 was set to 0.5</w:t>
      </w:r>
      <w:r>
        <w:rPr>
          <w:rFonts w:hint="eastAsia"/>
          <w:szCs w:val="20"/>
        </w:rPr>
        <w:t>.</w:t>
      </w:r>
    </w:p>
    <w:tbl>
      <w:tblPr>
        <w:tblStyle w:val="a7"/>
        <w:tblW w:w="0" w:type="auto"/>
        <w:tblBorders>
          <w:left w:val="none"/>
          <w:right w:val="none"/>
          <w:insideH w:val="none"/>
          <w:insideV w:val="none"/>
        </w:tblBorders>
        <w:tblLook w:val="04A0" w:firstRow="1" w:lastRow="0" w:firstColumn="1" w:lastColumn="0" w:noHBand="0" w:noVBand="1"/>
      </w:tblPr>
      <w:tblGrid>
        <w:gridCol w:w="1581"/>
        <w:gridCol w:w="1515"/>
        <w:gridCol w:w="1274"/>
        <w:gridCol w:w="997"/>
        <w:gridCol w:w="1204"/>
        <w:gridCol w:w="1068"/>
      </w:tblGrid>
      <w:tr>
        <w:tc>
          <w:tcPr>
            <w:tcW w:w="1581" w:type="dxa"/>
            <w:tcBorders>
              <w:top w:val="single" w:sz="4" w:space="0" w:color="auto"/>
              <w:bottom w:val="single" w:sz="4" w:space="0" w:color="auto"/>
              <w:right w:val="single" w:sz="4" w:space="0" w:color="auto"/>
            </w:tcBorders>
          </w:tcPr>
          <w:p>
            <w:pPr>
              <w:autoSpaceDE/>
              <w:autoSpaceDN/>
              <w:widowControl/>
              <w:wordWrap/>
              <w:rPr>
                <w:szCs w:val="20"/>
              </w:rPr>
            </w:pPr>
            <w:r>
              <w:rPr>
                <w:rFonts w:hint="eastAsia"/>
                <w:szCs w:val="20"/>
              </w:rPr>
              <w:t>D</w:t>
            </w:r>
            <w:r>
              <w:rPr>
                <w:szCs w:val="20"/>
              </w:rPr>
              <w:t>ataset</w:t>
            </w:r>
          </w:p>
        </w:tc>
        <w:tc>
          <w:tcPr>
            <w:tcW w:w="1515" w:type="dxa"/>
            <w:tcBorders>
              <w:top w:val="single" w:sz="4" w:space="0" w:color="auto"/>
              <w:left w:val="single" w:sz="4" w:space="0" w:color="auto"/>
              <w:bottom w:val="single" w:sz="4" w:space="0" w:color="auto"/>
              <w:right w:val="single" w:sz="4" w:space="0" w:color="auto"/>
            </w:tcBorders>
          </w:tcPr>
          <w:p>
            <w:pPr>
              <w:autoSpaceDE/>
              <w:autoSpaceDN/>
              <w:widowControl/>
              <w:wordWrap/>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oMath>
            <w:r>
              <w:rPr>
                <w:szCs w:val="20"/>
              </w:rPr>
              <w:t>|, P)</w:t>
            </w:r>
          </w:p>
        </w:tc>
        <w:tc>
          <w:tcPr>
            <w:tcW w:w="2271" w:type="dxa"/>
            <w:gridSpan w:val="2"/>
            <w:tcBorders>
              <w:top w:val="single" w:sz="4" w:space="0" w:color="auto"/>
              <w:left w:val="single" w:sz="4" w:space="0" w:color="auto"/>
              <w:bottom w:val="single" w:sz="4" w:space="0" w:color="auto"/>
            </w:tcBorders>
          </w:tcPr>
          <w:p>
            <w:pPr>
              <w:autoSpaceDE/>
              <w:autoSpaceDN/>
              <w:widowControl/>
              <w:wordWrap/>
              <w:jc w:val="center"/>
              <w:rPr>
                <w:szCs w:val="20"/>
              </w:rPr>
            </w:pPr>
            <w:r>
              <w:rPr>
                <w:szCs w:val="20"/>
              </w:rPr>
              <w:t>CS1 Only</w:t>
            </w:r>
            <w:r>
              <w:rPr>
                <w:rFonts w:hint="eastAsia"/>
                <w:szCs w:val="20"/>
              </w:rPr>
              <w:t xml:space="preserve"> </w:t>
            </w: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Acc)</m:t>
              </m:r>
            </m:oMath>
          </w:p>
        </w:tc>
        <w:tc>
          <w:tcPr>
            <w:tcW w:w="2272" w:type="dxa"/>
            <w:gridSpan w:val="2"/>
            <w:tcBorders>
              <w:top w:val="single" w:sz="4" w:space="0" w:color="auto"/>
              <w:bottom w:val="single" w:sz="4" w:space="0" w:color="auto"/>
            </w:tcBorders>
          </w:tcPr>
          <w:p>
            <w:pPr>
              <w:autoSpaceDE/>
              <w:autoSpaceDN/>
              <w:widowControl/>
              <w:wordWrap/>
              <w:jc w:val="center"/>
              <w:rPr>
                <w:szCs w:val="20"/>
              </w:rPr>
            </w:pPr>
            <w:r>
              <w:rPr>
                <w:rFonts w:hint="eastAsia"/>
                <w:szCs w:val="20"/>
              </w:rPr>
              <w:t>S</w:t>
            </w:r>
            <w:r>
              <w:rPr>
                <w:szCs w:val="20"/>
              </w:rPr>
              <w:t>C2 Only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Acc)</m:t>
              </m:r>
            </m:oMath>
          </w:p>
        </w:tc>
      </w:tr>
      <w:tr>
        <w:tc>
          <w:tcPr>
            <w:tcW w:w="1581" w:type="dxa"/>
            <w:vMerge w:val="restart"/>
            <w:tcBorders>
              <w:top w:val="single" w:sz="4" w:space="0" w:color="auto"/>
              <w:bottom w:val="single" w:sz="4" w:space="0" w:color="auto"/>
              <w:right w:val="single" w:sz="4" w:space="0" w:color="auto"/>
            </w:tcBorders>
          </w:tcPr>
          <w:p>
            <w:pPr>
              <w:autoSpaceDE/>
              <w:autoSpaceDN/>
              <w:widowControl/>
              <w:wordWrap/>
              <w:rPr>
                <w:szCs w:val="20"/>
              </w:rPr>
            </w:pPr>
            <w:r>
              <w:rPr>
                <w:rFonts w:hint="eastAsia"/>
                <w:szCs w:val="20"/>
              </w:rPr>
              <w:t>M</w:t>
            </w:r>
            <w:r>
              <w:rPr>
                <w:szCs w:val="20"/>
              </w:rPr>
              <w:t>NIST</w:t>
            </w:r>
          </w:p>
          <w:p>
            <w:pPr>
              <w:autoSpaceDE/>
              <w:autoSpaceDN/>
              <w:widowControl/>
              <w:wordWrap/>
              <w:rPr>
                <w:szCs w:val="20"/>
              </w:rPr>
            </w:pPr>
            <w:r>
              <w:rPr>
                <w:rFonts w:hint="eastAsia"/>
                <w:szCs w:val="20"/>
              </w:rPr>
              <w:t>(</w:t>
            </w:r>
            <w:r>
              <w:rPr>
                <w:szCs w:val="20"/>
              </w:rPr>
              <w:t>1 x 28 x 28)</w:t>
            </w:r>
          </w:p>
        </w:tc>
        <w:tc>
          <w:tcPr>
            <w:tcW w:w="1515" w:type="dxa"/>
            <w:tcBorders>
              <w:top w:val="single" w:sz="4" w:space="0" w:color="auto"/>
              <w:left w:val="single" w:sz="4" w:space="0" w:color="auto"/>
              <w:bottom w:val="nil"/>
              <w:right w:val="single" w:sz="4" w:space="0" w:color="auto"/>
            </w:tcBorders>
          </w:tcPr>
          <w:p>
            <w:pPr>
              <w:autoSpaceDE/>
              <w:autoSpaceDN/>
              <w:widowControl/>
              <w:wordWrap/>
              <w:rPr>
                <w:szCs w:val="20"/>
              </w:rPr>
            </w:pPr>
            <w:r>
              <w:rPr>
                <w:rFonts w:hint="eastAsia"/>
                <w:szCs w:val="20"/>
              </w:rPr>
              <w:t>1</w:t>
            </w:r>
            <w:r>
              <w:rPr>
                <w:szCs w:val="20"/>
              </w:rPr>
              <w:t>000 (1000, 1)</w:t>
            </w:r>
          </w:p>
        </w:tc>
        <w:tc>
          <w:tcPr>
            <w:tcW w:w="1274" w:type="dxa"/>
            <w:tcBorders>
              <w:top w:val="single" w:sz="4" w:space="0" w:color="auto"/>
              <w:left w:val="single" w:sz="4" w:space="0" w:color="auto"/>
              <w:bottom w:val="nil"/>
            </w:tcBorders>
          </w:tcPr>
          <w:p>
            <w:pPr>
              <w:autoSpaceDE/>
              <w:autoSpaceDN/>
              <w:widowControl/>
              <w:wordWrap/>
              <w:jc w:val="center"/>
              <w:rPr>
                <w:szCs w:val="20"/>
              </w:rPr>
            </w:pPr>
            <w:r>
              <w:rPr>
                <w:rFonts w:hint="eastAsia"/>
                <w:szCs w:val="20"/>
              </w:rPr>
              <w:t>1</w:t>
            </w:r>
            <w:r>
              <w:rPr>
                <w:szCs w:val="20"/>
              </w:rPr>
              <w:t>1992(</w:t>
            </w:r>
            <w:r>
              <w:rPr>
                <w:rFonts w:hint="eastAsia"/>
                <w:szCs w:val="20"/>
              </w:rPr>
              <w:t>x</w:t>
            </w:r>
            <w:r>
              <w:rPr>
                <w:szCs w:val="20"/>
              </w:rPr>
              <w:t>12)</w:t>
            </w:r>
          </w:p>
        </w:tc>
        <w:tc>
          <w:tcPr>
            <w:tcW w:w="997" w:type="dxa"/>
            <w:tcBorders>
              <w:top w:val="single" w:sz="4" w:space="0" w:color="auto"/>
              <w:bottom w:val="nil"/>
            </w:tcBorders>
          </w:tcPr>
          <w:p>
            <w:pPr>
              <w:autoSpaceDE/>
              <w:autoSpaceDN/>
              <w:widowControl/>
              <w:wordWrap/>
              <w:jc w:val="center"/>
              <w:rPr>
                <w:szCs w:val="20"/>
              </w:rPr>
            </w:pPr>
            <w:r>
              <w:rPr>
                <w:rFonts w:hint="eastAsia"/>
                <w:szCs w:val="20"/>
              </w:rPr>
              <w:t>9</w:t>
            </w:r>
            <w:r>
              <w:rPr>
                <w:szCs w:val="20"/>
              </w:rPr>
              <w:t>9.59(%)</w:t>
            </w:r>
          </w:p>
        </w:tc>
        <w:tc>
          <w:tcPr>
            <w:tcW w:w="1204" w:type="dxa"/>
            <w:tcBorders>
              <w:top w:val="single" w:sz="4" w:space="0" w:color="auto"/>
              <w:bottom w:val="nil"/>
            </w:tcBorders>
          </w:tcPr>
          <w:p>
            <w:pPr>
              <w:autoSpaceDE/>
              <w:autoSpaceDN/>
              <w:widowControl/>
              <w:wordWrap/>
              <w:jc w:val="center"/>
              <w:rPr>
                <w:szCs w:val="20"/>
              </w:rPr>
            </w:pPr>
            <w:r>
              <w:rPr>
                <w:szCs w:val="20"/>
              </w:rPr>
              <w:t>X</w:t>
            </w:r>
          </w:p>
        </w:tc>
        <w:tc>
          <w:tcPr>
            <w:tcW w:w="1068" w:type="dxa"/>
            <w:tcBorders>
              <w:top w:val="single" w:sz="4" w:space="0" w:color="auto"/>
              <w:bottom w:val="nil"/>
            </w:tcBorders>
          </w:tcPr>
          <w:p>
            <w:pPr>
              <w:autoSpaceDE/>
              <w:autoSpaceDN/>
              <w:widowControl/>
              <w:wordWrap/>
              <w:jc w:val="center"/>
              <w:rPr>
                <w:szCs w:val="20"/>
              </w:rPr>
            </w:pPr>
            <w:r>
              <w:rPr>
                <w:szCs w:val="20"/>
              </w:rPr>
              <w:t>X</w:t>
            </w:r>
          </w:p>
        </w:tc>
      </w:tr>
      <w:tr>
        <w:tc>
          <w:tcPr>
            <w:tcW w:w="1581" w:type="dxa"/>
            <w:vMerge w:val="continue"/>
            <w:tcBorders>
              <w:top w:val="nil"/>
              <w:bottom w:val="single" w:sz="4" w:space="0" w:color="auto"/>
              <w:right w:val="single" w:sz="4" w:space="0" w:color="auto"/>
            </w:tcBorders>
          </w:tcPr>
          <w:p>
            <w:pPr>
              <w:autoSpaceDE/>
              <w:autoSpaceDN/>
              <w:widowControl/>
              <w:wordWrap/>
              <w:rPr>
                <w:szCs w:val="20"/>
              </w:rPr>
            </w:pPr>
          </w:p>
        </w:tc>
        <w:tc>
          <w:tcPr>
            <w:tcW w:w="1515" w:type="dxa"/>
            <w:tcBorders>
              <w:top w:val="nil"/>
              <w:left w:val="single" w:sz="4" w:space="0" w:color="auto"/>
              <w:bottom w:val="single" w:sz="4" w:space="0" w:color="auto"/>
              <w:right w:val="single" w:sz="4" w:space="0" w:color="auto"/>
            </w:tcBorders>
          </w:tcPr>
          <w:p>
            <w:pPr>
              <w:autoSpaceDE/>
              <w:autoSpaceDN/>
              <w:widowControl/>
              <w:wordWrap/>
              <w:rPr>
                <w:szCs w:val="20"/>
              </w:rPr>
            </w:pPr>
            <w:r>
              <w:rPr>
                <w:rFonts w:hint="eastAsia"/>
                <w:szCs w:val="20"/>
              </w:rPr>
              <w:t>1</w:t>
            </w:r>
            <w:r>
              <w:rPr>
                <w:szCs w:val="20"/>
              </w:rPr>
              <w:t>000 (100, 10)</w:t>
            </w:r>
          </w:p>
        </w:tc>
        <w:tc>
          <w:tcPr>
            <w:tcW w:w="1274" w:type="dxa"/>
            <w:tcBorders>
              <w:top w:val="nil"/>
              <w:left w:val="single" w:sz="4" w:space="0" w:color="auto"/>
              <w:bottom w:val="single" w:sz="4" w:space="0" w:color="auto"/>
            </w:tcBorders>
          </w:tcPr>
          <w:p>
            <w:pPr>
              <w:autoSpaceDE/>
              <w:autoSpaceDN/>
              <w:widowControl/>
              <w:wordWrap/>
              <w:jc w:val="center"/>
              <w:rPr>
                <w:szCs w:val="20"/>
              </w:rPr>
            </w:pPr>
            <w:r>
              <w:rPr>
                <w:rFonts w:hint="eastAsia"/>
                <w:szCs w:val="20"/>
              </w:rPr>
              <w:t>1</w:t>
            </w:r>
            <w:r>
              <w:rPr>
                <w:szCs w:val="20"/>
              </w:rPr>
              <w:t>5305(x15)</w:t>
            </w:r>
          </w:p>
        </w:tc>
        <w:tc>
          <w:tcPr>
            <w:tcW w:w="997" w:type="dxa"/>
            <w:tcBorders>
              <w:top w:val="nil"/>
              <w:bottom w:val="single" w:sz="4" w:space="0" w:color="auto"/>
            </w:tcBorders>
          </w:tcPr>
          <w:p>
            <w:pPr>
              <w:autoSpaceDE/>
              <w:autoSpaceDN/>
              <w:widowControl/>
              <w:wordWrap/>
              <w:jc w:val="center"/>
              <w:rPr>
                <w:szCs w:val="20"/>
              </w:rPr>
            </w:pPr>
            <w:r>
              <w:rPr>
                <w:rFonts w:hint="eastAsia"/>
                <w:szCs w:val="20"/>
              </w:rPr>
              <w:t>9</w:t>
            </w:r>
            <w:r>
              <w:rPr>
                <w:szCs w:val="20"/>
              </w:rPr>
              <w:t>9.97(%)</w:t>
            </w:r>
          </w:p>
        </w:tc>
        <w:tc>
          <w:tcPr>
            <w:tcW w:w="1204" w:type="dxa"/>
            <w:tcBorders>
              <w:top w:val="nil"/>
              <w:bottom w:val="single" w:sz="4" w:space="0" w:color="auto"/>
            </w:tcBorders>
          </w:tcPr>
          <w:p>
            <w:pPr>
              <w:autoSpaceDE/>
              <w:autoSpaceDN/>
              <w:widowControl/>
              <w:wordWrap/>
              <w:jc w:val="center"/>
              <w:rPr>
                <w:szCs w:val="20"/>
              </w:rPr>
            </w:pPr>
            <w:r>
              <w:rPr>
                <w:rFonts w:hint="eastAsia"/>
                <w:szCs w:val="20"/>
              </w:rPr>
              <w:t>1</w:t>
            </w:r>
            <w:r>
              <w:rPr>
                <w:szCs w:val="20"/>
              </w:rPr>
              <w:t>4237(x14)</w:t>
            </w:r>
          </w:p>
        </w:tc>
        <w:tc>
          <w:tcPr>
            <w:tcW w:w="1068" w:type="dxa"/>
            <w:tcBorders>
              <w:top w:val="nil"/>
              <w:bottom w:val="single" w:sz="4" w:space="0" w:color="auto"/>
            </w:tcBorders>
          </w:tcPr>
          <w:p>
            <w:pPr>
              <w:autoSpaceDE/>
              <w:autoSpaceDN/>
              <w:widowControl/>
              <w:wordWrap/>
              <w:jc w:val="center"/>
              <w:rPr>
                <w:szCs w:val="20"/>
              </w:rPr>
            </w:pPr>
            <w:r>
              <w:rPr>
                <w:rFonts w:hint="eastAsia"/>
                <w:szCs w:val="20"/>
              </w:rPr>
              <w:t>9</w:t>
            </w:r>
            <w:r>
              <w:rPr>
                <w:szCs w:val="20"/>
              </w:rPr>
              <w:t>4.19(%)</w:t>
            </w:r>
          </w:p>
        </w:tc>
      </w:tr>
      <w:tr>
        <w:tc>
          <w:tcPr>
            <w:tcW w:w="1581" w:type="dxa"/>
            <w:vMerge w:val="restart"/>
            <w:tcBorders>
              <w:top w:val="single" w:sz="4" w:space="0" w:color="auto"/>
              <w:bottom w:val="single" w:sz="4" w:space="0" w:color="auto"/>
              <w:right w:val="single" w:sz="4" w:space="0" w:color="auto"/>
            </w:tcBorders>
          </w:tcPr>
          <w:p>
            <w:pPr>
              <w:autoSpaceDE/>
              <w:autoSpaceDN/>
              <w:widowControl/>
              <w:wordWrap/>
              <w:rPr>
                <w:szCs w:val="20"/>
              </w:rPr>
            </w:pPr>
            <w:r>
              <w:rPr>
                <w:rFonts w:hint="eastAsia"/>
                <w:szCs w:val="20"/>
              </w:rPr>
              <w:t>F</w:t>
            </w:r>
            <w:r>
              <w:rPr>
                <w:szCs w:val="20"/>
              </w:rPr>
              <w:t>ashionMNIST</w:t>
            </w:r>
          </w:p>
          <w:p>
            <w:pPr>
              <w:autoSpaceDE/>
              <w:autoSpaceDN/>
              <w:widowControl/>
              <w:wordWrap/>
              <w:rPr>
                <w:szCs w:val="20"/>
              </w:rPr>
            </w:pPr>
            <w:r>
              <w:rPr>
                <w:rFonts w:hint="eastAsia"/>
                <w:szCs w:val="20"/>
              </w:rPr>
              <w:t>(</w:t>
            </w:r>
            <w:r>
              <w:rPr>
                <w:szCs w:val="20"/>
              </w:rPr>
              <w:t>1 x 28 x 28)</w:t>
            </w:r>
          </w:p>
        </w:tc>
        <w:tc>
          <w:tcPr>
            <w:tcW w:w="1515" w:type="dxa"/>
            <w:tcBorders>
              <w:top w:val="single" w:sz="4" w:space="0" w:color="auto"/>
              <w:left w:val="single" w:sz="4" w:space="0" w:color="auto"/>
              <w:bottom w:val="nil"/>
              <w:right w:val="single" w:sz="4" w:space="0" w:color="auto"/>
            </w:tcBorders>
          </w:tcPr>
          <w:p>
            <w:pPr>
              <w:autoSpaceDE/>
              <w:autoSpaceDN/>
              <w:widowControl/>
              <w:wordWrap/>
              <w:rPr>
                <w:szCs w:val="20"/>
              </w:rPr>
            </w:pPr>
            <w:r>
              <w:rPr>
                <w:rFonts w:hint="eastAsia"/>
                <w:szCs w:val="20"/>
              </w:rPr>
              <w:t>1</w:t>
            </w:r>
            <w:r>
              <w:rPr>
                <w:szCs w:val="20"/>
              </w:rPr>
              <w:t>000 (1000, 1)</w:t>
            </w:r>
          </w:p>
        </w:tc>
        <w:tc>
          <w:tcPr>
            <w:tcW w:w="1274" w:type="dxa"/>
            <w:tcBorders>
              <w:top w:val="single" w:sz="4" w:space="0" w:color="auto"/>
              <w:left w:val="single" w:sz="4" w:space="0" w:color="auto"/>
              <w:bottom w:val="nil"/>
            </w:tcBorders>
          </w:tcPr>
          <w:p>
            <w:pPr>
              <w:autoSpaceDE/>
              <w:autoSpaceDN/>
              <w:widowControl/>
              <w:wordWrap/>
              <w:jc w:val="center"/>
              <w:rPr>
                <w:szCs w:val="20"/>
              </w:rPr>
            </w:pPr>
            <w:r>
              <w:rPr>
                <w:rFonts w:hint="eastAsia"/>
                <w:szCs w:val="20"/>
              </w:rPr>
              <w:t>4</w:t>
            </w:r>
            <w:r>
              <w:rPr>
                <w:szCs w:val="20"/>
              </w:rPr>
              <w:t>217(x4)</w:t>
            </w:r>
          </w:p>
        </w:tc>
        <w:tc>
          <w:tcPr>
            <w:tcW w:w="997" w:type="dxa"/>
            <w:tcBorders>
              <w:top w:val="single" w:sz="4" w:space="0" w:color="auto"/>
              <w:bottom w:val="nil"/>
            </w:tcBorders>
          </w:tcPr>
          <w:p>
            <w:pPr>
              <w:autoSpaceDE/>
              <w:autoSpaceDN/>
              <w:widowControl/>
              <w:wordWrap/>
              <w:jc w:val="center"/>
              <w:rPr>
                <w:szCs w:val="20"/>
              </w:rPr>
            </w:pPr>
            <w:r>
              <w:rPr>
                <w:rFonts w:hint="eastAsia"/>
                <w:szCs w:val="20"/>
              </w:rPr>
              <w:t>9</w:t>
            </w:r>
            <w:r>
              <w:rPr>
                <w:szCs w:val="20"/>
              </w:rPr>
              <w:t>6.84(%)</w:t>
            </w:r>
          </w:p>
        </w:tc>
        <w:tc>
          <w:tcPr>
            <w:tcW w:w="1204" w:type="dxa"/>
            <w:tcBorders>
              <w:top w:val="single" w:sz="4" w:space="0" w:color="auto"/>
              <w:bottom w:val="nil"/>
            </w:tcBorders>
          </w:tcPr>
          <w:p>
            <w:pPr>
              <w:autoSpaceDE/>
              <w:autoSpaceDN/>
              <w:widowControl/>
              <w:wordWrap/>
              <w:jc w:val="center"/>
              <w:rPr>
                <w:szCs w:val="20"/>
              </w:rPr>
            </w:pPr>
            <w:r>
              <w:rPr>
                <w:szCs w:val="20"/>
              </w:rPr>
              <w:t>X</w:t>
            </w:r>
          </w:p>
        </w:tc>
        <w:tc>
          <w:tcPr>
            <w:tcW w:w="1068" w:type="dxa"/>
            <w:tcBorders>
              <w:top w:val="single" w:sz="4" w:space="0" w:color="auto"/>
              <w:bottom w:val="nil"/>
            </w:tcBorders>
          </w:tcPr>
          <w:p>
            <w:pPr>
              <w:autoSpaceDE/>
              <w:autoSpaceDN/>
              <w:widowControl/>
              <w:wordWrap/>
              <w:jc w:val="center"/>
              <w:rPr>
                <w:szCs w:val="20"/>
              </w:rPr>
            </w:pPr>
            <w:r>
              <w:rPr>
                <w:szCs w:val="20"/>
              </w:rPr>
              <w:t>X</w:t>
            </w:r>
          </w:p>
        </w:tc>
      </w:tr>
      <w:tr>
        <w:tc>
          <w:tcPr>
            <w:tcW w:w="1581" w:type="dxa"/>
            <w:vMerge w:val="continue"/>
            <w:tcBorders>
              <w:top w:val="nil"/>
              <w:bottom w:val="single" w:sz="4" w:space="0" w:color="auto"/>
              <w:right w:val="single" w:sz="4" w:space="0" w:color="auto"/>
            </w:tcBorders>
          </w:tcPr>
          <w:p>
            <w:pPr>
              <w:autoSpaceDE/>
              <w:autoSpaceDN/>
              <w:widowControl/>
              <w:wordWrap/>
              <w:rPr>
                <w:szCs w:val="20"/>
              </w:rPr>
            </w:pPr>
          </w:p>
        </w:tc>
        <w:tc>
          <w:tcPr>
            <w:tcW w:w="1515" w:type="dxa"/>
            <w:tcBorders>
              <w:top w:val="nil"/>
              <w:left w:val="single" w:sz="4" w:space="0" w:color="auto"/>
              <w:bottom w:val="single" w:sz="4" w:space="0" w:color="auto"/>
              <w:right w:val="single" w:sz="4" w:space="0" w:color="auto"/>
            </w:tcBorders>
          </w:tcPr>
          <w:p>
            <w:pPr>
              <w:autoSpaceDE/>
              <w:autoSpaceDN/>
              <w:widowControl/>
              <w:wordWrap/>
              <w:rPr>
                <w:szCs w:val="20"/>
              </w:rPr>
            </w:pPr>
            <w:r>
              <w:rPr>
                <w:rFonts w:hint="eastAsia"/>
                <w:szCs w:val="20"/>
              </w:rPr>
              <w:t>1</w:t>
            </w:r>
            <w:r>
              <w:rPr>
                <w:szCs w:val="20"/>
              </w:rPr>
              <w:t>000 (100, 10)</w:t>
            </w:r>
          </w:p>
        </w:tc>
        <w:tc>
          <w:tcPr>
            <w:tcW w:w="1274" w:type="dxa"/>
            <w:tcBorders>
              <w:top w:val="nil"/>
              <w:left w:val="single" w:sz="4" w:space="0" w:color="auto"/>
              <w:bottom w:val="single" w:sz="4" w:space="0" w:color="auto"/>
            </w:tcBorders>
          </w:tcPr>
          <w:p>
            <w:pPr>
              <w:autoSpaceDE/>
              <w:autoSpaceDN/>
              <w:widowControl/>
              <w:wordWrap/>
              <w:jc w:val="center"/>
              <w:rPr>
                <w:szCs w:val="20"/>
              </w:rPr>
            </w:pPr>
            <w:r>
              <w:rPr>
                <w:rFonts w:hint="eastAsia"/>
                <w:szCs w:val="20"/>
              </w:rPr>
              <w:t>6</w:t>
            </w:r>
            <w:r>
              <w:rPr>
                <w:szCs w:val="20"/>
              </w:rPr>
              <w:t>492(x6)</w:t>
            </w:r>
          </w:p>
        </w:tc>
        <w:tc>
          <w:tcPr>
            <w:tcW w:w="997" w:type="dxa"/>
            <w:tcBorders>
              <w:top w:val="nil"/>
              <w:bottom w:val="single" w:sz="4" w:space="0" w:color="auto"/>
            </w:tcBorders>
          </w:tcPr>
          <w:p>
            <w:pPr>
              <w:autoSpaceDE/>
              <w:autoSpaceDN/>
              <w:widowControl/>
              <w:wordWrap/>
              <w:jc w:val="center"/>
              <w:rPr>
                <w:szCs w:val="20"/>
              </w:rPr>
            </w:pPr>
            <w:r>
              <w:rPr>
                <w:rFonts w:hint="eastAsia"/>
                <w:szCs w:val="20"/>
              </w:rPr>
              <w:t>9</w:t>
            </w:r>
            <w:r>
              <w:rPr>
                <w:szCs w:val="20"/>
              </w:rPr>
              <w:t>5.56(%)</w:t>
            </w:r>
          </w:p>
        </w:tc>
        <w:tc>
          <w:tcPr>
            <w:tcW w:w="1204" w:type="dxa"/>
            <w:tcBorders>
              <w:top w:val="nil"/>
              <w:bottom w:val="single" w:sz="4" w:space="0" w:color="auto"/>
            </w:tcBorders>
          </w:tcPr>
          <w:p>
            <w:pPr>
              <w:autoSpaceDE/>
              <w:autoSpaceDN/>
              <w:widowControl/>
              <w:wordWrap/>
              <w:jc w:val="center"/>
              <w:rPr>
                <w:szCs w:val="20"/>
              </w:rPr>
            </w:pPr>
            <w:r>
              <w:rPr>
                <w:szCs w:val="20"/>
              </w:rPr>
              <w:t>5641(x5)</w:t>
            </w:r>
          </w:p>
        </w:tc>
        <w:tc>
          <w:tcPr>
            <w:tcW w:w="1068" w:type="dxa"/>
            <w:tcBorders>
              <w:top w:val="nil"/>
              <w:bottom w:val="single" w:sz="4" w:space="0" w:color="auto"/>
            </w:tcBorders>
          </w:tcPr>
          <w:p>
            <w:pPr>
              <w:autoSpaceDE/>
              <w:autoSpaceDN/>
              <w:widowControl/>
              <w:wordWrap/>
              <w:jc w:val="center"/>
              <w:rPr>
                <w:szCs w:val="20"/>
              </w:rPr>
            </w:pPr>
            <w:r>
              <w:rPr>
                <w:szCs w:val="20"/>
              </w:rPr>
              <w:t>90.48(%)</w:t>
            </w:r>
          </w:p>
        </w:tc>
      </w:tr>
      <w:tr>
        <w:tc>
          <w:tcPr>
            <w:tcW w:w="1581" w:type="dxa"/>
            <w:vMerge w:val="restart"/>
            <w:tcBorders>
              <w:top w:val="single" w:sz="4" w:space="0" w:color="auto"/>
              <w:bottom w:val="single" w:sz="4" w:space="0" w:color="auto"/>
              <w:right w:val="single" w:sz="4" w:space="0" w:color="auto"/>
            </w:tcBorders>
          </w:tcPr>
          <w:p>
            <w:pPr>
              <w:autoSpaceDE/>
              <w:autoSpaceDN/>
              <w:widowControl/>
              <w:wordWrap/>
              <w:rPr>
                <w:szCs w:val="20"/>
              </w:rPr>
            </w:pPr>
            <w:r>
              <w:rPr>
                <w:rFonts w:hint="eastAsia"/>
                <w:szCs w:val="20"/>
              </w:rPr>
              <w:t>E</w:t>
            </w:r>
            <w:r>
              <w:rPr>
                <w:szCs w:val="20"/>
              </w:rPr>
              <w:t>MNIST-Letter</w:t>
            </w:r>
          </w:p>
          <w:p>
            <w:pPr>
              <w:autoSpaceDE/>
              <w:autoSpaceDN/>
              <w:widowControl/>
              <w:wordWrap/>
              <w:rPr>
                <w:szCs w:val="20"/>
              </w:rPr>
            </w:pPr>
            <w:r>
              <w:rPr>
                <w:rFonts w:hint="eastAsia"/>
                <w:szCs w:val="20"/>
              </w:rPr>
              <w:t>(</w:t>
            </w:r>
            <w:r>
              <w:rPr>
                <w:szCs w:val="20"/>
              </w:rPr>
              <w:t>1 x 28 x 28)</w:t>
            </w:r>
          </w:p>
        </w:tc>
        <w:tc>
          <w:tcPr>
            <w:tcW w:w="1515" w:type="dxa"/>
            <w:tcBorders>
              <w:top w:val="single" w:sz="4" w:space="0" w:color="auto"/>
              <w:left w:val="single" w:sz="4" w:space="0" w:color="auto"/>
              <w:bottom w:val="nil"/>
              <w:right w:val="single" w:sz="4" w:space="0" w:color="auto"/>
            </w:tcBorders>
          </w:tcPr>
          <w:p>
            <w:pPr>
              <w:autoSpaceDE/>
              <w:autoSpaceDN/>
              <w:widowControl/>
              <w:wordWrap/>
              <w:rPr>
                <w:szCs w:val="20"/>
              </w:rPr>
            </w:pPr>
            <w:r>
              <w:rPr>
                <w:rFonts w:hint="eastAsia"/>
                <w:szCs w:val="20"/>
              </w:rPr>
              <w:t>1</w:t>
            </w:r>
            <w:r>
              <w:rPr>
                <w:szCs w:val="20"/>
              </w:rPr>
              <w:t>000 (1000, 1)</w:t>
            </w:r>
          </w:p>
        </w:tc>
        <w:tc>
          <w:tcPr>
            <w:tcW w:w="1274" w:type="dxa"/>
            <w:tcBorders>
              <w:top w:val="single" w:sz="4" w:space="0" w:color="auto"/>
              <w:left w:val="single" w:sz="4" w:space="0" w:color="auto"/>
              <w:bottom w:val="nil"/>
            </w:tcBorders>
          </w:tcPr>
          <w:p>
            <w:pPr>
              <w:autoSpaceDE/>
              <w:autoSpaceDN/>
              <w:widowControl/>
              <w:wordWrap/>
              <w:jc w:val="center"/>
              <w:rPr>
                <w:szCs w:val="20"/>
              </w:rPr>
            </w:pPr>
            <w:r>
              <w:rPr>
                <w:rFonts w:hint="eastAsia"/>
                <w:szCs w:val="20"/>
              </w:rPr>
              <w:t>4</w:t>
            </w:r>
            <w:r>
              <w:rPr>
                <w:szCs w:val="20"/>
              </w:rPr>
              <w:t>697(x4)</w:t>
            </w:r>
          </w:p>
        </w:tc>
        <w:tc>
          <w:tcPr>
            <w:tcW w:w="997" w:type="dxa"/>
            <w:tcBorders>
              <w:top w:val="single" w:sz="4" w:space="0" w:color="auto"/>
              <w:bottom w:val="nil"/>
            </w:tcBorders>
          </w:tcPr>
          <w:p>
            <w:pPr>
              <w:autoSpaceDE/>
              <w:autoSpaceDN/>
              <w:widowControl/>
              <w:wordWrap/>
              <w:jc w:val="center"/>
              <w:rPr>
                <w:szCs w:val="20"/>
              </w:rPr>
            </w:pPr>
            <w:r>
              <w:rPr>
                <w:rFonts w:hint="eastAsia"/>
                <w:szCs w:val="20"/>
              </w:rPr>
              <w:t>9</w:t>
            </w:r>
            <w:r>
              <w:rPr>
                <w:szCs w:val="20"/>
              </w:rPr>
              <w:t>3.52(%)</w:t>
            </w:r>
          </w:p>
        </w:tc>
        <w:tc>
          <w:tcPr>
            <w:tcW w:w="1204" w:type="dxa"/>
            <w:tcBorders>
              <w:top w:val="single" w:sz="4" w:space="0" w:color="auto"/>
              <w:bottom w:val="nil"/>
            </w:tcBorders>
          </w:tcPr>
          <w:p>
            <w:pPr>
              <w:autoSpaceDE/>
              <w:autoSpaceDN/>
              <w:widowControl/>
              <w:wordWrap/>
              <w:jc w:val="center"/>
              <w:rPr>
                <w:szCs w:val="20"/>
              </w:rPr>
            </w:pPr>
            <w:r>
              <w:rPr>
                <w:szCs w:val="20"/>
              </w:rPr>
              <w:t>X</w:t>
            </w:r>
          </w:p>
        </w:tc>
        <w:tc>
          <w:tcPr>
            <w:tcW w:w="1068" w:type="dxa"/>
            <w:tcBorders>
              <w:top w:val="single" w:sz="4" w:space="0" w:color="auto"/>
              <w:bottom w:val="nil"/>
            </w:tcBorders>
          </w:tcPr>
          <w:p>
            <w:pPr>
              <w:autoSpaceDE/>
              <w:autoSpaceDN/>
              <w:widowControl/>
              <w:wordWrap/>
              <w:jc w:val="center"/>
              <w:rPr>
                <w:szCs w:val="20"/>
              </w:rPr>
            </w:pPr>
            <w:r>
              <w:rPr>
                <w:szCs w:val="20"/>
              </w:rPr>
              <w:t>X</w:t>
            </w:r>
          </w:p>
        </w:tc>
      </w:tr>
      <w:tr>
        <w:tc>
          <w:tcPr>
            <w:tcW w:w="1581" w:type="dxa"/>
            <w:vMerge w:val="continue"/>
            <w:tcBorders>
              <w:top w:val="nil"/>
              <w:bottom w:val="single" w:sz="4" w:space="0" w:color="auto"/>
              <w:right w:val="single" w:sz="4" w:space="0" w:color="auto"/>
            </w:tcBorders>
          </w:tcPr>
          <w:p>
            <w:pPr>
              <w:autoSpaceDE/>
              <w:autoSpaceDN/>
              <w:widowControl/>
              <w:wordWrap/>
              <w:rPr>
                <w:szCs w:val="20"/>
              </w:rPr>
            </w:pPr>
          </w:p>
        </w:tc>
        <w:tc>
          <w:tcPr>
            <w:tcW w:w="1515" w:type="dxa"/>
            <w:tcBorders>
              <w:top w:val="nil"/>
              <w:left w:val="single" w:sz="4" w:space="0" w:color="auto"/>
              <w:bottom w:val="single" w:sz="4" w:space="0" w:color="auto"/>
              <w:right w:val="single" w:sz="4" w:space="0" w:color="auto"/>
            </w:tcBorders>
          </w:tcPr>
          <w:p>
            <w:pPr>
              <w:autoSpaceDE/>
              <w:autoSpaceDN/>
              <w:widowControl/>
              <w:wordWrap/>
              <w:rPr>
                <w:szCs w:val="20"/>
              </w:rPr>
            </w:pPr>
            <w:r>
              <w:rPr>
                <w:rFonts w:hint="eastAsia"/>
                <w:szCs w:val="20"/>
              </w:rPr>
              <w:t>1</w:t>
            </w:r>
            <w:r>
              <w:rPr>
                <w:szCs w:val="20"/>
              </w:rPr>
              <w:t>000 (100, 10)</w:t>
            </w:r>
          </w:p>
        </w:tc>
        <w:tc>
          <w:tcPr>
            <w:tcW w:w="1274" w:type="dxa"/>
            <w:tcBorders>
              <w:top w:val="nil"/>
              <w:left w:val="single" w:sz="4" w:space="0" w:color="auto"/>
              <w:bottom w:val="single" w:sz="4" w:space="0" w:color="auto"/>
            </w:tcBorders>
          </w:tcPr>
          <w:p>
            <w:pPr>
              <w:autoSpaceDE/>
              <w:autoSpaceDN/>
              <w:widowControl/>
              <w:wordWrap/>
              <w:jc w:val="center"/>
              <w:rPr>
                <w:szCs w:val="20"/>
              </w:rPr>
            </w:pPr>
            <w:r>
              <w:rPr>
                <w:szCs w:val="20"/>
              </w:rPr>
              <w:t>7732(x7)</w:t>
            </w:r>
          </w:p>
        </w:tc>
        <w:tc>
          <w:tcPr>
            <w:tcW w:w="997" w:type="dxa"/>
            <w:tcBorders>
              <w:top w:val="nil"/>
              <w:bottom w:val="single" w:sz="4" w:space="0" w:color="auto"/>
            </w:tcBorders>
          </w:tcPr>
          <w:p>
            <w:pPr>
              <w:autoSpaceDE/>
              <w:autoSpaceDN/>
              <w:widowControl/>
              <w:wordWrap/>
              <w:jc w:val="center"/>
              <w:rPr>
                <w:szCs w:val="20"/>
              </w:rPr>
            </w:pPr>
            <w:r>
              <w:rPr>
                <w:szCs w:val="20"/>
              </w:rPr>
              <w:t>95.16(%)</w:t>
            </w:r>
          </w:p>
        </w:tc>
        <w:tc>
          <w:tcPr>
            <w:tcW w:w="1204" w:type="dxa"/>
            <w:tcBorders>
              <w:top w:val="nil"/>
              <w:bottom w:val="single" w:sz="4" w:space="0" w:color="auto"/>
            </w:tcBorders>
          </w:tcPr>
          <w:p>
            <w:pPr>
              <w:autoSpaceDE/>
              <w:autoSpaceDN/>
              <w:widowControl/>
              <w:wordWrap/>
              <w:jc w:val="center"/>
              <w:rPr>
                <w:szCs w:val="20"/>
              </w:rPr>
            </w:pPr>
            <w:r>
              <w:rPr>
                <w:rFonts w:hint="eastAsia"/>
                <w:szCs w:val="20"/>
              </w:rPr>
              <w:t>0</w:t>
            </w:r>
          </w:p>
        </w:tc>
        <w:tc>
          <w:tcPr>
            <w:tcW w:w="1068" w:type="dxa"/>
            <w:tcBorders>
              <w:top w:val="nil"/>
              <w:bottom w:val="single" w:sz="4" w:space="0" w:color="auto"/>
            </w:tcBorders>
          </w:tcPr>
          <w:p>
            <w:pPr>
              <w:autoSpaceDE/>
              <w:autoSpaceDN/>
              <w:widowControl/>
              <w:wordWrap/>
              <w:jc w:val="center"/>
              <w:rPr>
                <w:szCs w:val="20"/>
              </w:rPr>
            </w:pPr>
            <w:r>
              <w:rPr>
                <w:rFonts w:hint="eastAsia"/>
                <w:szCs w:val="20"/>
              </w:rPr>
              <w:t>0</w:t>
            </w:r>
            <w:r>
              <w:rPr>
                <w:szCs w:val="20"/>
              </w:rPr>
              <w:t>(%)</w:t>
            </w:r>
          </w:p>
        </w:tc>
      </w:tr>
      <w:tr>
        <w:tc>
          <w:tcPr>
            <w:tcW w:w="1581" w:type="dxa"/>
            <w:vMerge w:val="restart"/>
            <w:tcBorders>
              <w:top w:val="single" w:sz="4" w:space="0" w:color="auto"/>
              <w:bottom w:val="single" w:sz="4" w:space="0" w:color="auto"/>
              <w:right w:val="single" w:sz="4" w:space="0" w:color="auto"/>
            </w:tcBorders>
          </w:tcPr>
          <w:p>
            <w:pPr>
              <w:autoSpaceDE/>
              <w:autoSpaceDN/>
              <w:widowControl/>
              <w:wordWrap/>
              <w:rPr>
                <w:szCs w:val="20"/>
              </w:rPr>
            </w:pPr>
            <w:r>
              <w:rPr>
                <w:rFonts w:hint="eastAsia"/>
                <w:szCs w:val="20"/>
              </w:rPr>
              <w:t>C</w:t>
            </w:r>
            <w:r>
              <w:rPr>
                <w:szCs w:val="20"/>
              </w:rPr>
              <w:t>IFAR10</w:t>
            </w:r>
          </w:p>
          <w:p>
            <w:pPr>
              <w:autoSpaceDE/>
              <w:autoSpaceDN/>
              <w:widowControl/>
              <w:wordWrap/>
              <w:rPr>
                <w:szCs w:val="20"/>
              </w:rPr>
            </w:pPr>
            <w:r>
              <w:rPr>
                <w:rFonts w:hint="eastAsia"/>
                <w:szCs w:val="20"/>
              </w:rPr>
              <w:t>(</w:t>
            </w:r>
            <w:r>
              <w:rPr>
                <w:szCs w:val="20"/>
              </w:rPr>
              <w:t>3 x 32 x 32)</w:t>
            </w:r>
          </w:p>
        </w:tc>
        <w:tc>
          <w:tcPr>
            <w:tcW w:w="1515" w:type="dxa"/>
            <w:tcBorders>
              <w:top w:val="single" w:sz="4" w:space="0" w:color="auto"/>
              <w:left w:val="single" w:sz="4" w:space="0" w:color="auto"/>
              <w:bottom w:val="nil"/>
              <w:right w:val="single" w:sz="4" w:space="0" w:color="auto"/>
            </w:tcBorders>
          </w:tcPr>
          <w:p>
            <w:pPr>
              <w:autoSpaceDE/>
              <w:autoSpaceDN/>
              <w:widowControl/>
              <w:wordWrap/>
              <w:rPr>
                <w:szCs w:val="20"/>
              </w:rPr>
            </w:pPr>
            <w:r>
              <w:rPr>
                <w:rFonts w:hint="eastAsia"/>
                <w:szCs w:val="20"/>
              </w:rPr>
              <w:t>1</w:t>
            </w:r>
            <w:r>
              <w:rPr>
                <w:szCs w:val="20"/>
              </w:rPr>
              <w:t>000 (1000, 1)</w:t>
            </w:r>
          </w:p>
        </w:tc>
        <w:tc>
          <w:tcPr>
            <w:tcW w:w="1274" w:type="dxa"/>
            <w:tcBorders>
              <w:top w:val="single" w:sz="4" w:space="0" w:color="auto"/>
              <w:left w:val="single" w:sz="4" w:space="0" w:color="auto"/>
              <w:bottom w:val="nil"/>
            </w:tcBorders>
          </w:tcPr>
          <w:p>
            <w:pPr>
              <w:autoSpaceDE/>
              <w:autoSpaceDN/>
              <w:widowControl/>
              <w:wordWrap/>
              <w:jc w:val="center"/>
              <w:rPr>
                <w:szCs w:val="20"/>
              </w:rPr>
            </w:pPr>
            <w:r>
              <w:rPr>
                <w:rFonts w:hint="eastAsia"/>
                <w:szCs w:val="20"/>
              </w:rPr>
              <w:t>1</w:t>
            </w:r>
            <w:r>
              <w:rPr>
                <w:szCs w:val="20"/>
              </w:rPr>
              <w:t>5(x0.01)</w:t>
            </w:r>
          </w:p>
        </w:tc>
        <w:tc>
          <w:tcPr>
            <w:tcW w:w="997" w:type="dxa"/>
            <w:tcBorders>
              <w:top w:val="single" w:sz="4" w:space="0" w:color="auto"/>
              <w:bottom w:val="nil"/>
            </w:tcBorders>
          </w:tcPr>
          <w:p>
            <w:pPr>
              <w:autoSpaceDE/>
              <w:autoSpaceDN/>
              <w:widowControl/>
              <w:wordWrap/>
              <w:jc w:val="center"/>
              <w:rPr>
                <w:szCs w:val="20"/>
              </w:rPr>
            </w:pPr>
            <w:r>
              <w:rPr>
                <w:rFonts w:hint="eastAsia"/>
                <w:szCs w:val="20"/>
              </w:rPr>
              <w:t>6</w:t>
            </w:r>
            <w:r>
              <w:rPr>
                <w:szCs w:val="20"/>
              </w:rPr>
              <w:t>6.67(%)</w:t>
            </w:r>
          </w:p>
        </w:tc>
        <w:tc>
          <w:tcPr>
            <w:tcW w:w="1204" w:type="dxa"/>
            <w:tcBorders>
              <w:top w:val="single" w:sz="4" w:space="0" w:color="auto"/>
              <w:bottom w:val="nil"/>
            </w:tcBorders>
          </w:tcPr>
          <w:p>
            <w:pPr>
              <w:autoSpaceDE/>
              <w:autoSpaceDN/>
              <w:widowControl/>
              <w:wordWrap/>
              <w:jc w:val="center"/>
              <w:rPr>
                <w:szCs w:val="20"/>
              </w:rPr>
            </w:pPr>
            <w:r>
              <w:rPr>
                <w:szCs w:val="20"/>
              </w:rPr>
              <w:t>X</w:t>
            </w:r>
          </w:p>
        </w:tc>
        <w:tc>
          <w:tcPr>
            <w:tcW w:w="1068" w:type="dxa"/>
            <w:tcBorders>
              <w:top w:val="single" w:sz="4" w:space="0" w:color="auto"/>
              <w:bottom w:val="nil"/>
            </w:tcBorders>
          </w:tcPr>
          <w:p>
            <w:pPr>
              <w:autoSpaceDE/>
              <w:autoSpaceDN/>
              <w:widowControl/>
              <w:wordWrap/>
              <w:jc w:val="center"/>
              <w:rPr>
                <w:szCs w:val="20"/>
              </w:rPr>
            </w:pPr>
            <w:r>
              <w:rPr>
                <w:rFonts w:hint="eastAsia"/>
                <w:szCs w:val="20"/>
              </w:rPr>
              <w:t>X</w:t>
            </w:r>
          </w:p>
        </w:tc>
      </w:tr>
      <w:tr>
        <w:tc>
          <w:tcPr>
            <w:tcW w:w="1581" w:type="dxa"/>
            <w:vMerge w:val="continue"/>
            <w:tcBorders>
              <w:top w:val="nil"/>
              <w:bottom w:val="single" w:sz="4" w:space="0" w:color="auto"/>
              <w:right w:val="single" w:sz="4" w:space="0" w:color="auto"/>
            </w:tcBorders>
          </w:tcPr>
          <w:p>
            <w:pPr>
              <w:autoSpaceDE/>
              <w:autoSpaceDN/>
              <w:widowControl/>
              <w:wordWrap/>
              <w:rPr>
                <w:szCs w:val="20"/>
              </w:rPr>
            </w:pPr>
          </w:p>
        </w:tc>
        <w:tc>
          <w:tcPr>
            <w:tcW w:w="1515" w:type="dxa"/>
            <w:tcBorders>
              <w:top w:val="nil"/>
              <w:left w:val="single" w:sz="4" w:space="0" w:color="auto"/>
              <w:bottom w:val="single" w:sz="4" w:space="0" w:color="auto"/>
              <w:right w:val="single" w:sz="4" w:space="0" w:color="auto"/>
            </w:tcBorders>
          </w:tcPr>
          <w:p>
            <w:pPr>
              <w:autoSpaceDE/>
              <w:autoSpaceDN/>
              <w:widowControl/>
              <w:wordWrap/>
              <w:rPr>
                <w:szCs w:val="20"/>
              </w:rPr>
            </w:pPr>
            <w:r>
              <w:rPr>
                <w:rFonts w:hint="eastAsia"/>
                <w:szCs w:val="20"/>
              </w:rPr>
              <w:t>1</w:t>
            </w:r>
            <w:r>
              <w:rPr>
                <w:szCs w:val="20"/>
              </w:rPr>
              <w:t>000 (100, 10)</w:t>
            </w:r>
          </w:p>
        </w:tc>
        <w:tc>
          <w:tcPr>
            <w:tcW w:w="1274" w:type="dxa"/>
            <w:tcBorders>
              <w:top w:val="nil"/>
              <w:left w:val="single" w:sz="4" w:space="0" w:color="auto"/>
              <w:bottom w:val="single" w:sz="4" w:space="0" w:color="auto"/>
            </w:tcBorders>
          </w:tcPr>
          <w:p>
            <w:pPr>
              <w:autoSpaceDE/>
              <w:autoSpaceDN/>
              <w:widowControl/>
              <w:wordWrap/>
              <w:jc w:val="center"/>
              <w:rPr>
                <w:szCs w:val="20"/>
              </w:rPr>
            </w:pPr>
            <w:r>
              <w:rPr>
                <w:rFonts w:hint="eastAsia"/>
                <w:szCs w:val="20"/>
              </w:rPr>
              <w:t>4</w:t>
            </w:r>
            <w:r>
              <w:rPr>
                <w:szCs w:val="20"/>
              </w:rPr>
              <w:t>6(x0.05)</w:t>
            </w:r>
          </w:p>
        </w:tc>
        <w:tc>
          <w:tcPr>
            <w:tcW w:w="997" w:type="dxa"/>
            <w:tcBorders>
              <w:top w:val="nil"/>
              <w:bottom w:val="single" w:sz="4" w:space="0" w:color="auto"/>
            </w:tcBorders>
          </w:tcPr>
          <w:p>
            <w:pPr>
              <w:autoSpaceDE/>
              <w:autoSpaceDN/>
              <w:widowControl/>
              <w:wordWrap/>
              <w:jc w:val="center"/>
              <w:rPr>
                <w:szCs w:val="20"/>
              </w:rPr>
            </w:pPr>
            <w:r>
              <w:rPr>
                <w:rFonts w:hint="eastAsia"/>
                <w:szCs w:val="20"/>
              </w:rPr>
              <w:t>7</w:t>
            </w:r>
            <w:r>
              <w:rPr>
                <w:szCs w:val="20"/>
              </w:rPr>
              <w:t>3.91(%)</w:t>
            </w:r>
          </w:p>
        </w:tc>
        <w:tc>
          <w:tcPr>
            <w:tcW w:w="1204" w:type="dxa"/>
            <w:tcBorders>
              <w:top w:val="nil"/>
              <w:bottom w:val="single" w:sz="4" w:space="0" w:color="auto"/>
            </w:tcBorders>
          </w:tcPr>
          <w:p>
            <w:pPr>
              <w:autoSpaceDE/>
              <w:autoSpaceDN/>
              <w:widowControl/>
              <w:wordWrap/>
              <w:jc w:val="center"/>
              <w:rPr>
                <w:szCs w:val="20"/>
              </w:rPr>
            </w:pPr>
            <w:r>
              <w:rPr>
                <w:rFonts w:hint="eastAsia"/>
                <w:szCs w:val="20"/>
              </w:rPr>
              <w:t>2</w:t>
            </w:r>
            <w:r>
              <w:rPr>
                <w:szCs w:val="20"/>
              </w:rPr>
              <w:t>250(x2)</w:t>
            </w:r>
          </w:p>
        </w:tc>
        <w:tc>
          <w:tcPr>
            <w:tcW w:w="1068" w:type="dxa"/>
            <w:tcBorders>
              <w:top w:val="nil"/>
              <w:bottom w:val="single" w:sz="4" w:space="0" w:color="auto"/>
            </w:tcBorders>
          </w:tcPr>
          <w:p>
            <w:pPr>
              <w:autoSpaceDE/>
              <w:autoSpaceDN/>
              <w:widowControl/>
              <w:wordWrap/>
              <w:jc w:val="center"/>
              <w:rPr>
                <w:szCs w:val="20"/>
              </w:rPr>
            </w:pPr>
            <w:r>
              <w:rPr>
                <w:rFonts w:hint="eastAsia"/>
                <w:szCs w:val="20"/>
              </w:rPr>
              <w:t>2</w:t>
            </w:r>
            <w:r>
              <w:rPr>
                <w:szCs w:val="20"/>
              </w:rPr>
              <w:t>0.56(%)</w:t>
            </w:r>
          </w:p>
        </w:tc>
      </w:tr>
      <w:tr>
        <w:tc>
          <w:tcPr>
            <w:tcW w:w="1581" w:type="dxa"/>
            <w:vMerge w:val="restart"/>
            <w:tcBorders>
              <w:top w:val="single" w:sz="4" w:space="0" w:color="auto"/>
              <w:bottom w:val="single" w:sz="4" w:space="0" w:color="auto"/>
              <w:right w:val="single" w:sz="4" w:space="0" w:color="auto"/>
            </w:tcBorders>
          </w:tcPr>
          <w:p>
            <w:pPr>
              <w:autoSpaceDE/>
              <w:autoSpaceDN/>
              <w:widowControl/>
              <w:wordWrap/>
              <w:rPr>
                <w:szCs w:val="20"/>
              </w:rPr>
            </w:pPr>
            <w:r>
              <w:rPr>
                <w:rFonts w:hint="eastAsia"/>
                <w:szCs w:val="20"/>
              </w:rPr>
              <w:t>C</w:t>
            </w:r>
            <w:r>
              <w:rPr>
                <w:szCs w:val="20"/>
              </w:rPr>
              <w:t>IFAR100</w:t>
            </w:r>
          </w:p>
          <w:p>
            <w:pPr>
              <w:autoSpaceDE/>
              <w:autoSpaceDN/>
              <w:widowControl/>
              <w:wordWrap/>
              <w:rPr>
                <w:szCs w:val="20"/>
              </w:rPr>
            </w:pPr>
            <w:r>
              <w:rPr>
                <w:rFonts w:hint="eastAsia"/>
                <w:szCs w:val="20"/>
              </w:rPr>
              <w:t>(</w:t>
            </w:r>
            <w:r>
              <w:rPr>
                <w:szCs w:val="20"/>
              </w:rPr>
              <w:t>3 x 32 x 32)</w:t>
            </w:r>
          </w:p>
        </w:tc>
        <w:tc>
          <w:tcPr>
            <w:tcW w:w="1515" w:type="dxa"/>
            <w:tcBorders>
              <w:top w:val="single" w:sz="4" w:space="0" w:color="auto"/>
              <w:left w:val="single" w:sz="4" w:space="0" w:color="auto"/>
              <w:right w:val="single" w:sz="4" w:space="0" w:color="auto"/>
            </w:tcBorders>
          </w:tcPr>
          <w:p>
            <w:pPr>
              <w:autoSpaceDE/>
              <w:autoSpaceDN/>
              <w:widowControl/>
              <w:wordWrap/>
              <w:rPr>
                <w:szCs w:val="20"/>
              </w:rPr>
            </w:pPr>
            <w:r>
              <w:rPr>
                <w:rFonts w:hint="eastAsia"/>
                <w:szCs w:val="20"/>
              </w:rPr>
              <w:t>1</w:t>
            </w:r>
            <w:r>
              <w:rPr>
                <w:szCs w:val="20"/>
              </w:rPr>
              <w:t>000 (1000, 1)</w:t>
            </w:r>
          </w:p>
        </w:tc>
        <w:tc>
          <w:tcPr>
            <w:tcW w:w="1274" w:type="dxa"/>
            <w:tcBorders>
              <w:top w:val="single" w:sz="4" w:space="0" w:color="auto"/>
              <w:left w:val="single" w:sz="4" w:space="0" w:color="auto"/>
            </w:tcBorders>
          </w:tcPr>
          <w:p>
            <w:pPr>
              <w:autoSpaceDE/>
              <w:autoSpaceDN/>
              <w:widowControl/>
              <w:wordWrap/>
              <w:jc w:val="center"/>
              <w:rPr>
                <w:szCs w:val="20"/>
              </w:rPr>
            </w:pPr>
            <w:r>
              <w:rPr>
                <w:rFonts w:hint="eastAsia"/>
                <w:szCs w:val="20"/>
              </w:rPr>
              <w:t>9</w:t>
            </w:r>
            <w:r>
              <w:rPr>
                <w:szCs w:val="20"/>
              </w:rPr>
              <w:t>(x0.01)</w:t>
            </w:r>
          </w:p>
        </w:tc>
        <w:tc>
          <w:tcPr>
            <w:tcW w:w="997" w:type="dxa"/>
            <w:tcBorders>
              <w:top w:val="single" w:sz="4" w:space="0" w:color="auto"/>
            </w:tcBorders>
          </w:tcPr>
          <w:p>
            <w:pPr>
              <w:autoSpaceDE/>
              <w:autoSpaceDN/>
              <w:widowControl/>
              <w:wordWrap/>
              <w:jc w:val="center"/>
              <w:rPr>
                <w:szCs w:val="20"/>
              </w:rPr>
            </w:pPr>
            <w:r>
              <w:rPr>
                <w:rFonts w:hint="eastAsia"/>
                <w:szCs w:val="20"/>
              </w:rPr>
              <w:t>3</w:t>
            </w:r>
            <w:r>
              <w:rPr>
                <w:szCs w:val="20"/>
              </w:rPr>
              <w:t>3.33(%)</w:t>
            </w:r>
          </w:p>
        </w:tc>
        <w:tc>
          <w:tcPr>
            <w:tcW w:w="1204" w:type="dxa"/>
            <w:tcBorders>
              <w:top w:val="single" w:sz="4" w:space="0" w:color="auto"/>
            </w:tcBorders>
          </w:tcPr>
          <w:p>
            <w:pPr>
              <w:autoSpaceDE/>
              <w:autoSpaceDN/>
              <w:widowControl/>
              <w:wordWrap/>
              <w:jc w:val="center"/>
              <w:rPr>
                <w:szCs w:val="20"/>
              </w:rPr>
            </w:pPr>
            <w:r>
              <w:rPr>
                <w:szCs w:val="20"/>
              </w:rPr>
              <w:t>X</w:t>
            </w:r>
          </w:p>
        </w:tc>
        <w:tc>
          <w:tcPr>
            <w:tcW w:w="1068" w:type="dxa"/>
            <w:tcBorders>
              <w:top w:val="single" w:sz="4" w:space="0" w:color="auto"/>
            </w:tcBorders>
          </w:tcPr>
          <w:p>
            <w:pPr>
              <w:autoSpaceDE/>
              <w:autoSpaceDN/>
              <w:widowControl/>
              <w:wordWrap/>
              <w:jc w:val="center"/>
              <w:rPr>
                <w:szCs w:val="20"/>
              </w:rPr>
            </w:pPr>
            <w:r>
              <w:rPr>
                <w:szCs w:val="20"/>
              </w:rPr>
              <w:t>X</w:t>
            </w:r>
          </w:p>
        </w:tc>
      </w:tr>
      <w:tr>
        <w:tc>
          <w:tcPr>
            <w:tcW w:w="1581" w:type="dxa"/>
            <w:vMerge w:val="continue"/>
            <w:tcBorders>
              <w:bottom w:val="single" w:sz="4" w:space="0" w:color="auto"/>
              <w:right w:val="single" w:sz="4" w:space="0" w:color="auto"/>
            </w:tcBorders>
          </w:tcPr>
          <w:p>
            <w:pPr>
              <w:autoSpaceDE/>
              <w:autoSpaceDN/>
              <w:widowControl/>
              <w:wordWrap/>
              <w:rPr>
                <w:szCs w:val="20"/>
              </w:rPr>
            </w:pPr>
          </w:p>
        </w:tc>
        <w:tc>
          <w:tcPr>
            <w:tcW w:w="1515" w:type="dxa"/>
            <w:tcBorders>
              <w:left w:val="single" w:sz="4" w:space="0" w:color="auto"/>
              <w:bottom w:val="single" w:sz="4" w:space="0" w:color="auto"/>
              <w:right w:val="single" w:sz="4" w:space="0" w:color="auto"/>
            </w:tcBorders>
          </w:tcPr>
          <w:p>
            <w:pPr>
              <w:autoSpaceDE/>
              <w:autoSpaceDN/>
              <w:widowControl/>
              <w:wordWrap/>
              <w:rPr>
                <w:szCs w:val="20"/>
              </w:rPr>
            </w:pPr>
            <w:r>
              <w:rPr>
                <w:rFonts w:hint="eastAsia"/>
                <w:szCs w:val="20"/>
              </w:rPr>
              <w:t>1</w:t>
            </w:r>
            <w:r>
              <w:rPr>
                <w:szCs w:val="20"/>
              </w:rPr>
              <w:t>000 (100, 10)</w:t>
            </w:r>
          </w:p>
        </w:tc>
        <w:tc>
          <w:tcPr>
            <w:tcW w:w="1274" w:type="dxa"/>
            <w:tcBorders>
              <w:left w:val="single" w:sz="4" w:space="0" w:color="auto"/>
            </w:tcBorders>
          </w:tcPr>
          <w:p>
            <w:pPr>
              <w:autoSpaceDE/>
              <w:autoSpaceDN/>
              <w:widowControl/>
              <w:wordWrap/>
              <w:jc w:val="center"/>
              <w:rPr>
                <w:szCs w:val="20"/>
              </w:rPr>
            </w:pPr>
            <w:r>
              <w:rPr>
                <w:rFonts w:hint="eastAsia"/>
                <w:szCs w:val="20"/>
              </w:rPr>
              <w:t>5</w:t>
            </w:r>
            <w:r>
              <w:rPr>
                <w:szCs w:val="20"/>
              </w:rPr>
              <w:t>1(x0.05)</w:t>
            </w:r>
          </w:p>
        </w:tc>
        <w:tc>
          <w:tcPr>
            <w:tcW w:w="997" w:type="dxa"/>
          </w:tcPr>
          <w:p>
            <w:pPr>
              <w:autoSpaceDE/>
              <w:autoSpaceDN/>
              <w:widowControl/>
              <w:wordWrap/>
              <w:jc w:val="center"/>
              <w:rPr>
                <w:szCs w:val="20"/>
              </w:rPr>
            </w:pPr>
            <w:r>
              <w:rPr>
                <w:rFonts w:hint="eastAsia"/>
                <w:szCs w:val="20"/>
              </w:rPr>
              <w:t>7</w:t>
            </w:r>
            <w:r>
              <w:rPr>
                <w:szCs w:val="20"/>
              </w:rPr>
              <w:t>6.46(%)</w:t>
            </w:r>
          </w:p>
        </w:tc>
        <w:tc>
          <w:tcPr>
            <w:tcW w:w="1204" w:type="dxa"/>
          </w:tcPr>
          <w:p>
            <w:pPr>
              <w:autoSpaceDE/>
              <w:autoSpaceDN/>
              <w:widowControl/>
              <w:wordWrap/>
              <w:jc w:val="center"/>
              <w:rPr>
                <w:szCs w:val="20"/>
              </w:rPr>
            </w:pPr>
            <w:r>
              <w:rPr>
                <w:rFonts w:hint="eastAsia"/>
                <w:szCs w:val="20"/>
              </w:rPr>
              <w:t>0</w:t>
            </w:r>
          </w:p>
        </w:tc>
        <w:tc>
          <w:tcPr>
            <w:tcW w:w="1068" w:type="dxa"/>
          </w:tcPr>
          <w:p>
            <w:pPr>
              <w:autoSpaceDE/>
              <w:autoSpaceDN/>
              <w:widowControl/>
              <w:wordWrap/>
              <w:jc w:val="center"/>
              <w:rPr>
                <w:szCs w:val="20"/>
              </w:rPr>
            </w:pPr>
            <w:r>
              <w:rPr>
                <w:rFonts w:hint="eastAsia"/>
                <w:szCs w:val="20"/>
              </w:rPr>
              <w:t>0</w:t>
            </w:r>
            <w:r>
              <w:rPr>
                <w:szCs w:val="20"/>
              </w:rPr>
              <w:t>(%)</w:t>
            </w:r>
          </w:p>
        </w:tc>
      </w:tr>
    </w:tbl>
    <w:p>
      <w:pPr>
        <w:ind w:firstLineChars="50" w:firstLine="100"/>
        <w:autoSpaceDE/>
        <w:autoSpaceDN/>
        <w:widowControl/>
        <w:wordWrap/>
        <w:jc w:val="center"/>
        <w:rPr>
          <w:szCs w:val="20"/>
        </w:rPr>
      </w:pPr>
      <w:r>
        <w:rPr>
          <w:rFonts w:hint="eastAsia"/>
          <w:szCs w:val="20"/>
        </w:rPr>
        <w:t>[</w:t>
      </w:r>
      <w:r>
        <w:rPr>
          <w:szCs w:val="20"/>
        </w:rPr>
        <w:t>Table1</w:t>
      </w:r>
      <w:r>
        <w:rPr>
          <w:szCs w:val="20"/>
        </w:rPr>
        <w:t>.</w:t>
      </w:r>
      <w:r>
        <w:rPr>
          <w:szCs w:val="20"/>
        </w:rPr>
        <w:t xml:space="preserve"> </w:t>
      </w:r>
      <w:r>
        <w:rPr>
          <w:szCs w:val="20"/>
        </w:rPr>
        <w:t xml:space="preserve">Performance of CS1 and CS2 for each </w:t>
      </w:r>
      <w:r>
        <w:rPr>
          <w:szCs w:val="20"/>
        </w:rPr>
        <w:t>dataset</w:t>
      </w:r>
      <w:r>
        <w:rPr>
          <w:rFonts w:hint="eastAsia"/>
          <w:szCs w:val="20"/>
        </w:rPr>
        <w:t>s</w:t>
      </w:r>
      <w:r>
        <w:rPr>
          <w:szCs w:val="20"/>
        </w:rPr>
        <w:t>]</w:t>
      </w:r>
    </w:p>
    <w:p>
      <w:pPr>
        <w:ind w:firstLineChars="50" w:firstLine="100"/>
        <w:autoSpaceDE/>
        <w:autoSpaceDN/>
        <w:widowControl/>
        <w:wordWrap/>
        <w:rPr>
          <w:szCs w:val="20"/>
        </w:rPr>
      </w:pPr>
      <w:r>
        <w:rPr>
          <w:szCs w:val="20"/>
        </w:rPr>
        <w:t xml:space="preserve">CS1 has at least accuracy of 95% in MNIST and Fashion EMNIST, which are low-resolution datasets. On the other hand, in the case of CS2, performance is not good except for MNIST and Fashion MNIST datasets. At this time, the accuracy and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oMath>
      <w:r>
        <w:rPr>
          <w:szCs w:val="20"/>
        </w:rPr>
        <w:t xml:space="preserve">of the </w:t>
      </w:r>
      <w:r>
        <w:rPr>
          <w:szCs w:val="20"/>
        </w:rPr>
        <w:t>CS</w:t>
      </w:r>
      <w:r>
        <w:rPr>
          <w:szCs w:val="20"/>
        </w:rPr>
        <w:t xml:space="preserve">2 method change depending on how </w:t>
      </w:r>
      <w:r>
        <w:rPr>
          <w:szCs w:val="20"/>
        </w:rPr>
        <w:t xml:space="preserve">Threshold </w:t>
      </w:r>
      <m:oMath>
        <m:r>
          <m:rPr>
            <m:sty m:val="p"/>
          </m:rPr>
          <w:rPr>
            <w:rFonts w:ascii="Cambria Math" w:hAnsi="Cambria Math"/>
            <w:szCs w:val="20"/>
          </w:rPr>
          <m:t>β</m:t>
        </m:r>
      </m:oMath>
      <w:r>
        <w:rPr>
          <w:szCs w:val="20"/>
        </w:rPr>
        <w:t xml:space="preserve"> is set. Details will be covered in 4-3). However, it can be seen that performance deteriorates significantly on the high-resolution dataset, C</w:t>
      </w:r>
      <w:r>
        <w:rPr>
          <w:szCs w:val="20"/>
        </w:rPr>
        <w:t>IFAR</w:t>
      </w:r>
      <w:r>
        <w:rPr>
          <w:szCs w:val="20"/>
        </w:rPr>
        <w:t xml:space="preserve"> 10/100. This is </w:t>
      </w:r>
      <w:r>
        <w:rPr>
          <w:szCs w:val="20"/>
        </w:rPr>
        <w:t>considered</w:t>
      </w:r>
      <w:r>
        <w:rPr>
          <w:szCs w:val="20"/>
        </w:rPr>
        <w:t xml:space="preserve"> to have lost class information during dimension reduction due to limitations in the performance of the CAE model for high-resolution images. In other words, MNIST, Fashion-MNIST, and EMNIST-Digit with low resolution contained class information even when two-dimensional features were extracted through 13-CNN-based CAE, but not for CIFAR 10 and CIFAR 100. CIFAR 10 /100 needs to be reviewed for ResNet 18 or another dimension reduction and clustering application.</w:t>
      </w:r>
      <w:r>
        <w:rPr>
          <w:rFonts w:hint="eastAsia"/>
          <w:szCs w:val="20"/>
        </w:rPr>
        <w:t xml:space="preserve"> </w:t>
      </w:r>
    </w:p>
    <w:p>
      <w:pPr>
        <w:ind w:firstLineChars="50" w:firstLine="100"/>
        <w:autoSpaceDE/>
        <w:autoSpaceDN/>
        <w:widowControl/>
        <w:wordWrap/>
        <w:rPr>
          <w:szCs w:val="20"/>
        </w:rPr>
      </w:pPr>
      <w:r>
        <w:rPr>
          <w:szCs w:val="20"/>
        </w:rPr>
        <w:t xml:space="preserve">We can check the relationship between various sampling sizes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and sampling and Iteration when we have sufficient CAE performance. Considering that the performance of CS1 and CS2 is currently good in MNIST Dataset, it is considered to satisfy the assumption. At this time, the threshold </w:t>
      </w:r>
      <m:oMath>
        <m:r>
          <m:rPr>
            <m:sty m:val="p"/>
          </m:rPr>
          <w:rPr>
            <w:rFonts w:ascii="Cambria Math" w:hAnsi="Cambria Math"/>
            <w:szCs w:val="20"/>
          </w:rPr>
          <m:t>β</m:t>
        </m:r>
      </m:oMath>
      <w:r>
        <w:rPr>
          <w:szCs w:val="20"/>
        </w:rPr>
        <w:t xml:space="preserve"> of CS2 was set to 0.5.</w:t>
      </w:r>
    </w:p>
    <w:tbl>
      <w:tblPr>
        <w:tblStyle w:val="a7"/>
        <w:tblW w:w="0" w:type="auto"/>
        <w:tblBorders>
          <w:left w:val="none"/>
          <w:right w:val="none"/>
          <w:insideH w:val="none"/>
          <w:insideV w:val="none"/>
        </w:tblBorders>
        <w:tblLook w:val="04A0" w:firstRow="1" w:lastRow="0" w:firstColumn="1" w:lastColumn="0" w:noHBand="0" w:noVBand="1"/>
        <w:tblLayout w:type="fixed"/>
      </w:tblPr>
      <w:tblGrid>
        <w:gridCol w:w="1545"/>
        <w:gridCol w:w="1245"/>
        <w:gridCol w:w="1059"/>
        <w:gridCol w:w="1220"/>
        <w:gridCol w:w="1351"/>
        <w:gridCol w:w="1360"/>
        <w:gridCol w:w="1246"/>
      </w:tblGrid>
      <w:tr>
        <w:tc>
          <w:tcPr>
            <w:tcW w:w="1545" w:type="dxa"/>
            <w:tcBorders>
              <w:top w:val="single" w:sz="4" w:space="0" w:color="auto"/>
              <w:bottom w:val="single" w:sz="4" w:space="0" w:color="auto"/>
              <w:right w:val="single" w:sz="4" w:space="0" w:color="auto"/>
            </w:tcBorders>
          </w:tcPr>
          <w:p>
            <w:pPr>
              <w:autoSpaceDE/>
              <w:autoSpaceDN/>
              <w:widowControl/>
              <w:wordWrap/>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oMath>
            <w:r>
              <w:rPr>
                <w:szCs w:val="20"/>
              </w:rPr>
              <w:t>|, P)</w:t>
            </w:r>
          </w:p>
        </w:tc>
        <w:tc>
          <w:tcPr>
            <w:tcW w:w="2304" w:type="dxa"/>
            <w:gridSpan w:val="2"/>
            <w:tcBorders>
              <w:top w:val="single" w:sz="4" w:space="0" w:color="auto"/>
              <w:left w:val="single" w:sz="4" w:space="0" w:color="auto"/>
              <w:bottom w:val="single" w:sz="4" w:space="0" w:color="auto"/>
            </w:tcBorders>
          </w:tcPr>
          <w:p>
            <w:pPr>
              <w:autoSpaceDE/>
              <w:autoSpaceDN/>
              <w:widowControl/>
              <w:wordWrap/>
              <w:jc w:val="center"/>
              <w:rPr>
                <w:szCs w:val="20"/>
              </w:rPr>
            </w:pPr>
            <w:r>
              <w:rPr>
                <w:szCs w:val="20"/>
              </w:rPr>
              <w:t>CS1 Only</w:t>
            </w:r>
            <w:r>
              <w:rPr>
                <w:rFonts w:hint="eastAsia"/>
                <w:szCs w:val="20"/>
              </w:rPr>
              <w:t xml:space="preserve"> </w:t>
            </w: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Acc)</m:t>
              </m:r>
            </m:oMath>
          </w:p>
        </w:tc>
        <w:tc>
          <w:tcPr>
            <w:tcW w:w="2571" w:type="dxa"/>
            <w:gridSpan w:val="2"/>
            <w:tcBorders>
              <w:top w:val="single" w:sz="4" w:space="0" w:color="auto"/>
              <w:bottom w:val="single" w:sz="4" w:space="0" w:color="auto"/>
            </w:tcBorders>
          </w:tcPr>
          <w:p>
            <w:pPr>
              <w:autoSpaceDE/>
              <w:autoSpaceDN/>
              <w:widowControl/>
              <w:wordWrap/>
              <w:jc w:val="center"/>
              <w:rPr>
                <w:szCs w:val="20"/>
              </w:rPr>
            </w:pPr>
            <w:r>
              <w:rPr>
                <w:rFonts w:hint="eastAsia"/>
                <w:szCs w:val="20"/>
              </w:rPr>
              <w:t>S</w:t>
            </w:r>
            <w:r>
              <w:rPr>
                <w:szCs w:val="20"/>
              </w:rPr>
              <w:t>C2 Only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Acc)</m:t>
              </m:r>
            </m:oMath>
          </w:p>
        </w:tc>
        <w:tc>
          <w:tcPr>
            <w:tcW w:w="2606" w:type="dxa"/>
            <w:gridSpan w:val="2"/>
            <w:tcBorders>
              <w:top w:val="single" w:sz="4" w:space="0" w:color="auto"/>
              <w:bottom w:val="single" w:sz="4" w:space="0" w:color="auto"/>
            </w:tcBorders>
          </w:tcPr>
          <w:p>
            <w:pPr>
              <w:autoSpaceDE/>
              <w:autoSpaceDN/>
              <w:widowControl/>
              <w:wordWrap/>
              <w:jc w:val="center"/>
              <w:rPr>
                <w:szCs w:val="20"/>
              </w:rPr>
            </w:pPr>
            <w:r>
              <w:rPr>
                <w:szCs w:val="20"/>
              </w:rPr>
              <w:t>Both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Acc)</m:t>
              </m:r>
            </m:oMath>
          </w:p>
        </w:tc>
      </w:tr>
      <w:tr>
        <w:tc>
          <w:tcPr>
            <w:tcW w:w="1545" w:type="dxa"/>
            <w:tcBorders>
              <w:top w:val="single" w:sz="4" w:space="0" w:color="auto"/>
              <w:right w:val="single" w:sz="4" w:space="0" w:color="auto"/>
            </w:tcBorders>
          </w:tcPr>
          <w:p>
            <w:pPr>
              <w:autoSpaceDE/>
              <w:autoSpaceDN/>
              <w:widowControl/>
              <w:wordWrap/>
              <w:rPr>
                <w:szCs w:val="20"/>
              </w:rPr>
            </w:pPr>
            <w:r>
              <w:rPr>
                <w:rFonts w:hint="eastAsia"/>
                <w:szCs w:val="20"/>
              </w:rPr>
              <w:t>5</w:t>
            </w:r>
            <w:r>
              <w:rPr>
                <w:szCs w:val="20"/>
              </w:rPr>
              <w:t>0 (50,1)</w:t>
            </w:r>
          </w:p>
        </w:tc>
        <w:tc>
          <w:tcPr>
            <w:tcW w:w="1245" w:type="dxa"/>
            <w:tcBorders>
              <w:top w:val="single" w:sz="4" w:space="0" w:color="auto"/>
              <w:left w:val="single" w:sz="4" w:space="0" w:color="auto"/>
            </w:tcBorders>
          </w:tcPr>
          <w:p>
            <w:pPr>
              <w:autoSpaceDE/>
              <w:autoSpaceDN/>
              <w:widowControl/>
              <w:wordWrap/>
              <w:jc w:val="center"/>
              <w:rPr>
                <w:szCs w:val="20"/>
              </w:rPr>
            </w:pPr>
            <w:r>
              <w:rPr>
                <w:rFonts w:hint="eastAsia"/>
                <w:szCs w:val="20"/>
              </w:rPr>
              <w:t>7</w:t>
            </w:r>
            <w:r>
              <w:rPr>
                <w:szCs w:val="20"/>
              </w:rPr>
              <w:t>38(</w:t>
            </w:r>
            <w:r>
              <w:rPr>
                <w:rFonts w:hint="eastAsia"/>
                <w:szCs w:val="20"/>
              </w:rPr>
              <w:t>x</w:t>
            </w:r>
            <w:r>
              <w:rPr>
                <w:szCs w:val="20"/>
              </w:rPr>
              <w:t>14)</w:t>
            </w:r>
          </w:p>
        </w:tc>
        <w:tc>
          <w:tcPr>
            <w:tcW w:w="1059" w:type="dxa"/>
            <w:tcBorders>
              <w:top w:val="single" w:sz="4" w:space="0" w:color="auto"/>
            </w:tcBorders>
          </w:tcPr>
          <w:p>
            <w:pPr>
              <w:autoSpaceDE/>
              <w:autoSpaceDN/>
              <w:widowControl/>
              <w:wordWrap/>
              <w:jc w:val="center"/>
              <w:rPr>
                <w:szCs w:val="20"/>
              </w:rPr>
            </w:pPr>
            <w:r>
              <w:rPr>
                <w:rFonts w:hint="eastAsia"/>
                <w:szCs w:val="20"/>
              </w:rPr>
              <w:t>9</w:t>
            </w:r>
            <w:r>
              <w:rPr>
                <w:szCs w:val="20"/>
              </w:rPr>
              <w:t>9.04(%)</w:t>
            </w:r>
          </w:p>
        </w:tc>
        <w:tc>
          <w:tcPr>
            <w:tcW w:w="1220" w:type="dxa"/>
            <w:tcBorders>
              <w:top w:val="single" w:sz="4" w:space="0" w:color="auto"/>
            </w:tcBorders>
          </w:tcPr>
          <w:p>
            <w:pPr>
              <w:autoSpaceDE/>
              <w:autoSpaceDN/>
              <w:widowControl/>
              <w:wordWrap/>
              <w:jc w:val="center"/>
              <w:rPr>
                <w:szCs w:val="20"/>
              </w:rPr>
            </w:pPr>
            <w:r>
              <w:rPr>
                <w:rFonts w:hint="eastAsia"/>
                <w:szCs w:val="20"/>
              </w:rPr>
              <w:t>X</w:t>
            </w:r>
          </w:p>
        </w:tc>
        <w:tc>
          <w:tcPr>
            <w:tcW w:w="1351" w:type="dxa"/>
            <w:tcBorders>
              <w:top w:val="single" w:sz="4" w:space="0" w:color="auto"/>
            </w:tcBorders>
          </w:tcPr>
          <w:p>
            <w:pPr>
              <w:autoSpaceDE/>
              <w:autoSpaceDN/>
              <w:widowControl/>
              <w:wordWrap/>
              <w:jc w:val="center"/>
              <w:rPr>
                <w:szCs w:val="20"/>
              </w:rPr>
            </w:pPr>
            <w:r>
              <w:rPr>
                <w:szCs w:val="20"/>
              </w:rPr>
              <w:t>X</w:t>
            </w:r>
          </w:p>
        </w:tc>
        <w:tc>
          <w:tcPr>
            <w:tcW w:w="1360" w:type="dxa"/>
            <w:tcBorders>
              <w:top w:val="single" w:sz="4" w:space="0" w:color="auto"/>
            </w:tcBorders>
          </w:tcPr>
          <w:p>
            <w:pPr>
              <w:autoSpaceDE/>
              <w:autoSpaceDN/>
              <w:widowControl/>
              <w:wordWrap/>
              <w:jc w:val="center"/>
              <w:rPr>
                <w:szCs w:val="20"/>
              </w:rPr>
            </w:pPr>
            <w:r>
              <w:rPr>
                <w:rFonts w:hint="eastAsia"/>
                <w:szCs w:val="20"/>
              </w:rPr>
              <w:t>X</w:t>
            </w:r>
          </w:p>
        </w:tc>
        <w:tc>
          <w:tcPr>
            <w:tcW w:w="1246" w:type="dxa"/>
            <w:tcBorders>
              <w:top w:val="single" w:sz="4" w:space="0" w:color="auto"/>
            </w:tcBorders>
          </w:tcPr>
          <w:p>
            <w:pPr>
              <w:autoSpaceDE/>
              <w:autoSpaceDN/>
              <w:widowControl/>
              <w:wordWrap/>
              <w:jc w:val="center"/>
              <w:rPr>
                <w:szCs w:val="20"/>
              </w:rPr>
            </w:pPr>
            <w:r>
              <w:rPr>
                <w:rFonts w:hint="eastAsia"/>
                <w:szCs w:val="20"/>
              </w:rPr>
              <w:t>X</w:t>
            </w:r>
          </w:p>
        </w:tc>
      </w:tr>
      <w:tr>
        <w:tc>
          <w:tcPr>
            <w:tcW w:w="1545" w:type="dxa"/>
            <w:tcBorders>
              <w:right w:val="single" w:sz="4" w:space="0" w:color="auto"/>
            </w:tcBorders>
          </w:tcPr>
          <w:p>
            <w:pPr>
              <w:autoSpaceDE/>
              <w:autoSpaceDN/>
              <w:widowControl/>
              <w:wordWrap/>
              <w:rPr>
                <w:szCs w:val="20"/>
              </w:rPr>
            </w:pPr>
            <w:r>
              <w:rPr>
                <w:rFonts w:hint="eastAsia"/>
                <w:szCs w:val="20"/>
              </w:rPr>
              <w:t>1</w:t>
            </w:r>
            <w:r>
              <w:rPr>
                <w:szCs w:val="20"/>
              </w:rPr>
              <w:t>00 (100, 1)</w:t>
            </w:r>
          </w:p>
        </w:tc>
        <w:tc>
          <w:tcPr>
            <w:tcW w:w="1245" w:type="dxa"/>
            <w:tcBorders>
              <w:left w:val="single" w:sz="4" w:space="0" w:color="auto"/>
            </w:tcBorders>
          </w:tcPr>
          <w:p>
            <w:pPr>
              <w:autoSpaceDE/>
              <w:autoSpaceDN/>
              <w:widowControl/>
              <w:wordWrap/>
              <w:jc w:val="center"/>
              <w:rPr>
                <w:szCs w:val="20"/>
                <w:highlight w:val="yellow"/>
              </w:rPr>
            </w:pPr>
            <w:r>
              <w:rPr>
                <w:rFonts w:hint="eastAsia"/>
                <w:szCs w:val="20"/>
              </w:rPr>
              <w:t>3</w:t>
            </w:r>
            <w:r>
              <w:rPr>
                <w:szCs w:val="20"/>
              </w:rPr>
              <w:t>886(x38)</w:t>
            </w:r>
          </w:p>
        </w:tc>
        <w:tc>
          <w:tcPr>
            <w:tcW w:w="1059" w:type="dxa"/>
          </w:tcPr>
          <w:p>
            <w:pPr>
              <w:autoSpaceDE/>
              <w:autoSpaceDN/>
              <w:widowControl/>
              <w:wordWrap/>
              <w:jc w:val="center"/>
              <w:rPr>
                <w:szCs w:val="20"/>
              </w:rPr>
            </w:pPr>
            <w:r>
              <w:rPr>
                <w:rFonts w:hint="eastAsia"/>
                <w:szCs w:val="20"/>
              </w:rPr>
              <w:t>9</w:t>
            </w:r>
            <w:r>
              <w:rPr>
                <w:szCs w:val="20"/>
              </w:rPr>
              <w:t>9.84(%)</w:t>
            </w:r>
          </w:p>
        </w:tc>
        <w:tc>
          <w:tcPr>
            <w:tcW w:w="1220" w:type="dxa"/>
          </w:tcPr>
          <w:p>
            <w:pPr>
              <w:autoSpaceDE/>
              <w:autoSpaceDN/>
              <w:widowControl/>
              <w:wordWrap/>
              <w:jc w:val="center"/>
              <w:rPr>
                <w:szCs w:val="20"/>
              </w:rPr>
            </w:pPr>
            <w:r>
              <w:rPr>
                <w:szCs w:val="20"/>
              </w:rPr>
              <w:t>X</w:t>
            </w:r>
          </w:p>
        </w:tc>
        <w:tc>
          <w:tcPr>
            <w:tcW w:w="1351" w:type="dxa"/>
          </w:tcPr>
          <w:p>
            <w:pPr>
              <w:autoSpaceDE/>
              <w:autoSpaceDN/>
              <w:widowControl/>
              <w:wordWrap/>
              <w:jc w:val="center"/>
              <w:rPr>
                <w:szCs w:val="20"/>
              </w:rPr>
            </w:pPr>
            <w:r>
              <w:rPr>
                <w:szCs w:val="20"/>
              </w:rPr>
              <w:t>X</w:t>
            </w:r>
          </w:p>
        </w:tc>
        <w:tc>
          <w:tcPr>
            <w:tcW w:w="1360" w:type="dxa"/>
          </w:tcPr>
          <w:p>
            <w:pPr>
              <w:autoSpaceDE/>
              <w:autoSpaceDN/>
              <w:widowControl/>
              <w:wordWrap/>
              <w:jc w:val="center"/>
              <w:rPr>
                <w:szCs w:val="20"/>
              </w:rPr>
            </w:pPr>
            <w:r>
              <w:rPr>
                <w:rFonts w:hint="eastAsia"/>
                <w:szCs w:val="20"/>
              </w:rPr>
              <w:t>X</w:t>
            </w:r>
          </w:p>
        </w:tc>
        <w:tc>
          <w:tcPr>
            <w:tcW w:w="1246" w:type="dxa"/>
          </w:tcPr>
          <w:p>
            <w:pPr>
              <w:autoSpaceDE/>
              <w:autoSpaceDN/>
              <w:widowControl/>
              <w:wordWrap/>
              <w:jc w:val="center"/>
              <w:rPr>
                <w:szCs w:val="20"/>
              </w:rPr>
            </w:pPr>
            <w:r>
              <w:rPr>
                <w:rFonts w:hint="eastAsia"/>
                <w:szCs w:val="20"/>
              </w:rPr>
              <w:t>X</w:t>
            </w:r>
          </w:p>
        </w:tc>
      </w:tr>
      <w:tr>
        <w:tc>
          <w:tcPr>
            <w:tcW w:w="1545" w:type="dxa"/>
            <w:tcBorders>
              <w:right w:val="single" w:sz="4" w:space="0" w:color="auto"/>
            </w:tcBorders>
          </w:tcPr>
          <w:p>
            <w:pPr>
              <w:autoSpaceDE/>
              <w:autoSpaceDN/>
              <w:widowControl/>
              <w:wordWrap/>
              <w:rPr>
                <w:szCs w:val="20"/>
              </w:rPr>
            </w:pPr>
            <w:r>
              <w:rPr>
                <w:rFonts w:hint="eastAsia"/>
                <w:szCs w:val="20"/>
              </w:rPr>
              <w:t>2</w:t>
            </w:r>
            <w:r>
              <w:rPr>
                <w:szCs w:val="20"/>
              </w:rPr>
              <w:t>50 (250, 1)</w:t>
            </w:r>
          </w:p>
        </w:tc>
        <w:tc>
          <w:tcPr>
            <w:tcW w:w="1245" w:type="dxa"/>
            <w:tcBorders>
              <w:left w:val="single" w:sz="4" w:space="0" w:color="auto"/>
            </w:tcBorders>
          </w:tcPr>
          <w:p>
            <w:pPr>
              <w:autoSpaceDE/>
              <w:autoSpaceDN/>
              <w:widowControl/>
              <w:wordWrap/>
              <w:jc w:val="center"/>
              <w:rPr>
                <w:szCs w:val="20"/>
              </w:rPr>
            </w:pPr>
            <w:r>
              <w:rPr>
                <w:rFonts w:hint="eastAsia"/>
                <w:szCs w:val="20"/>
              </w:rPr>
              <w:t>4</w:t>
            </w:r>
            <w:r>
              <w:rPr>
                <w:szCs w:val="20"/>
              </w:rPr>
              <w:t>024(x16)</w:t>
            </w:r>
          </w:p>
        </w:tc>
        <w:tc>
          <w:tcPr>
            <w:tcW w:w="1059" w:type="dxa"/>
          </w:tcPr>
          <w:p>
            <w:pPr>
              <w:autoSpaceDE/>
              <w:autoSpaceDN/>
              <w:widowControl/>
              <w:wordWrap/>
              <w:jc w:val="center"/>
              <w:rPr>
                <w:szCs w:val="20"/>
              </w:rPr>
            </w:pPr>
            <w:r>
              <w:rPr>
                <w:rFonts w:hint="eastAsia"/>
                <w:szCs w:val="20"/>
              </w:rPr>
              <w:t>9</w:t>
            </w:r>
            <w:r>
              <w:rPr>
                <w:szCs w:val="20"/>
              </w:rPr>
              <w:t>8.03(%)</w:t>
            </w:r>
          </w:p>
        </w:tc>
        <w:tc>
          <w:tcPr>
            <w:tcW w:w="1220" w:type="dxa"/>
          </w:tcPr>
          <w:p>
            <w:pPr>
              <w:autoSpaceDE/>
              <w:autoSpaceDN/>
              <w:widowControl/>
              <w:wordWrap/>
              <w:jc w:val="center"/>
              <w:rPr>
                <w:szCs w:val="20"/>
              </w:rPr>
            </w:pPr>
            <w:r>
              <w:rPr>
                <w:szCs w:val="20"/>
              </w:rPr>
              <w:t>X</w:t>
            </w:r>
          </w:p>
        </w:tc>
        <w:tc>
          <w:tcPr>
            <w:tcW w:w="1351" w:type="dxa"/>
          </w:tcPr>
          <w:p>
            <w:pPr>
              <w:autoSpaceDE/>
              <w:autoSpaceDN/>
              <w:widowControl/>
              <w:wordWrap/>
              <w:jc w:val="center"/>
              <w:rPr>
                <w:szCs w:val="20"/>
              </w:rPr>
            </w:pPr>
            <w:r>
              <w:rPr>
                <w:szCs w:val="20"/>
              </w:rPr>
              <w:t>X</w:t>
            </w:r>
          </w:p>
        </w:tc>
        <w:tc>
          <w:tcPr>
            <w:tcW w:w="1360" w:type="dxa"/>
          </w:tcPr>
          <w:p>
            <w:pPr>
              <w:autoSpaceDE/>
              <w:autoSpaceDN/>
              <w:widowControl/>
              <w:wordWrap/>
              <w:jc w:val="center"/>
              <w:rPr>
                <w:szCs w:val="20"/>
              </w:rPr>
            </w:pPr>
            <w:r>
              <w:rPr>
                <w:rFonts w:hint="eastAsia"/>
                <w:szCs w:val="20"/>
              </w:rPr>
              <w:t>X</w:t>
            </w:r>
          </w:p>
        </w:tc>
        <w:tc>
          <w:tcPr>
            <w:tcW w:w="1246" w:type="dxa"/>
          </w:tcPr>
          <w:p>
            <w:pPr>
              <w:autoSpaceDE/>
              <w:autoSpaceDN/>
              <w:widowControl/>
              <w:wordWrap/>
              <w:jc w:val="center"/>
              <w:rPr>
                <w:szCs w:val="20"/>
              </w:rPr>
            </w:pPr>
            <w:r>
              <w:rPr>
                <w:rFonts w:hint="eastAsia"/>
                <w:szCs w:val="20"/>
              </w:rPr>
              <w:t>X</w:t>
            </w:r>
          </w:p>
        </w:tc>
      </w:tr>
      <w:tr>
        <w:tc>
          <w:tcPr>
            <w:tcW w:w="1545" w:type="dxa"/>
            <w:tcBorders>
              <w:right w:val="single" w:sz="4" w:space="0" w:color="auto"/>
            </w:tcBorders>
          </w:tcPr>
          <w:p>
            <w:pPr>
              <w:autoSpaceDE/>
              <w:autoSpaceDN/>
              <w:widowControl/>
              <w:wordWrap/>
              <w:rPr>
                <w:szCs w:val="20"/>
              </w:rPr>
            </w:pPr>
            <w:r>
              <w:rPr>
                <w:rFonts w:hint="eastAsia"/>
                <w:szCs w:val="20"/>
              </w:rPr>
              <w:t>5</w:t>
            </w:r>
            <w:r>
              <w:rPr>
                <w:szCs w:val="20"/>
              </w:rPr>
              <w:t>00 (500, 1)</w:t>
            </w:r>
          </w:p>
        </w:tc>
        <w:tc>
          <w:tcPr>
            <w:tcW w:w="1245" w:type="dxa"/>
            <w:tcBorders>
              <w:left w:val="single" w:sz="4" w:space="0" w:color="auto"/>
            </w:tcBorders>
          </w:tcPr>
          <w:p>
            <w:pPr>
              <w:autoSpaceDE/>
              <w:autoSpaceDN/>
              <w:widowControl/>
              <w:wordWrap/>
              <w:jc w:val="center"/>
              <w:rPr>
                <w:szCs w:val="20"/>
              </w:rPr>
            </w:pPr>
            <w:r>
              <w:rPr>
                <w:rFonts w:hint="eastAsia"/>
                <w:szCs w:val="20"/>
              </w:rPr>
              <w:t>9</w:t>
            </w:r>
            <w:r>
              <w:rPr>
                <w:szCs w:val="20"/>
              </w:rPr>
              <w:t>354(x18)</w:t>
            </w:r>
          </w:p>
        </w:tc>
        <w:tc>
          <w:tcPr>
            <w:tcW w:w="1059" w:type="dxa"/>
          </w:tcPr>
          <w:p>
            <w:pPr>
              <w:autoSpaceDE/>
              <w:autoSpaceDN/>
              <w:widowControl/>
              <w:wordWrap/>
              <w:jc w:val="center"/>
              <w:rPr>
                <w:szCs w:val="20"/>
              </w:rPr>
            </w:pPr>
            <w:r>
              <w:rPr>
                <w:rFonts w:hint="eastAsia"/>
                <w:szCs w:val="20"/>
              </w:rPr>
              <w:t>9</w:t>
            </w:r>
            <w:r>
              <w:rPr>
                <w:szCs w:val="20"/>
              </w:rPr>
              <w:t>9.66(%)</w:t>
            </w:r>
          </w:p>
        </w:tc>
        <w:tc>
          <w:tcPr>
            <w:tcW w:w="1220" w:type="dxa"/>
          </w:tcPr>
          <w:p>
            <w:pPr>
              <w:autoSpaceDE/>
              <w:autoSpaceDN/>
              <w:widowControl/>
              <w:wordWrap/>
              <w:jc w:val="center"/>
              <w:rPr>
                <w:szCs w:val="20"/>
              </w:rPr>
            </w:pPr>
            <w:r>
              <w:rPr>
                <w:szCs w:val="20"/>
              </w:rPr>
              <w:t>X</w:t>
            </w:r>
          </w:p>
        </w:tc>
        <w:tc>
          <w:tcPr>
            <w:tcW w:w="1351" w:type="dxa"/>
          </w:tcPr>
          <w:p>
            <w:pPr>
              <w:autoSpaceDE/>
              <w:autoSpaceDN/>
              <w:widowControl/>
              <w:wordWrap/>
              <w:jc w:val="center"/>
              <w:rPr>
                <w:szCs w:val="20"/>
              </w:rPr>
            </w:pPr>
            <w:r>
              <w:rPr>
                <w:szCs w:val="20"/>
              </w:rPr>
              <w:t>X</w:t>
            </w:r>
          </w:p>
        </w:tc>
        <w:tc>
          <w:tcPr>
            <w:tcW w:w="1360" w:type="dxa"/>
          </w:tcPr>
          <w:p>
            <w:pPr>
              <w:autoSpaceDE/>
              <w:autoSpaceDN/>
              <w:widowControl/>
              <w:wordWrap/>
              <w:jc w:val="center"/>
              <w:rPr>
                <w:szCs w:val="20"/>
              </w:rPr>
            </w:pPr>
            <w:r>
              <w:rPr>
                <w:rFonts w:hint="eastAsia"/>
                <w:szCs w:val="20"/>
              </w:rPr>
              <w:t>X</w:t>
            </w:r>
          </w:p>
        </w:tc>
        <w:tc>
          <w:tcPr>
            <w:tcW w:w="1246" w:type="dxa"/>
          </w:tcPr>
          <w:p>
            <w:pPr>
              <w:autoSpaceDE/>
              <w:autoSpaceDN/>
              <w:widowControl/>
              <w:wordWrap/>
              <w:jc w:val="center"/>
              <w:rPr>
                <w:szCs w:val="20"/>
              </w:rPr>
            </w:pPr>
            <w:r>
              <w:rPr>
                <w:rFonts w:hint="eastAsia"/>
                <w:szCs w:val="20"/>
              </w:rPr>
              <w:t>X</w:t>
            </w:r>
          </w:p>
        </w:tc>
      </w:tr>
      <w:tr>
        <w:tc>
          <w:tcPr>
            <w:tcW w:w="1545" w:type="dxa"/>
            <w:tcBorders>
              <w:right w:val="single" w:sz="4" w:space="0" w:color="auto"/>
            </w:tcBorders>
          </w:tcPr>
          <w:p>
            <w:pPr>
              <w:autoSpaceDE/>
              <w:autoSpaceDN/>
              <w:widowControl/>
              <w:wordWrap/>
              <w:rPr>
                <w:szCs w:val="20"/>
              </w:rPr>
            </w:pPr>
            <w:r>
              <w:rPr>
                <w:rFonts w:hint="eastAsia"/>
                <w:szCs w:val="20"/>
              </w:rPr>
              <w:t>7</w:t>
            </w:r>
            <w:r>
              <w:rPr>
                <w:szCs w:val="20"/>
              </w:rPr>
              <w:t>50 (750, 1)</w:t>
            </w:r>
          </w:p>
        </w:tc>
        <w:tc>
          <w:tcPr>
            <w:tcW w:w="1245" w:type="dxa"/>
            <w:tcBorders>
              <w:left w:val="single" w:sz="4" w:space="0" w:color="auto"/>
            </w:tcBorders>
          </w:tcPr>
          <w:p>
            <w:pPr>
              <w:autoSpaceDE/>
              <w:autoSpaceDN/>
              <w:widowControl/>
              <w:wordWrap/>
              <w:jc w:val="center"/>
              <w:rPr>
                <w:szCs w:val="20"/>
              </w:rPr>
            </w:pPr>
            <w:r>
              <w:rPr>
                <w:rFonts w:hint="eastAsia"/>
                <w:szCs w:val="20"/>
              </w:rPr>
              <w:t>1</w:t>
            </w:r>
            <w:r>
              <w:rPr>
                <w:szCs w:val="20"/>
              </w:rPr>
              <w:t>0430(x14)</w:t>
            </w:r>
          </w:p>
        </w:tc>
        <w:tc>
          <w:tcPr>
            <w:tcW w:w="1059" w:type="dxa"/>
          </w:tcPr>
          <w:p>
            <w:pPr>
              <w:autoSpaceDE/>
              <w:autoSpaceDN/>
              <w:widowControl/>
              <w:wordWrap/>
              <w:jc w:val="center"/>
              <w:rPr>
                <w:szCs w:val="20"/>
              </w:rPr>
            </w:pPr>
            <w:r>
              <w:rPr>
                <w:rFonts w:hint="eastAsia"/>
                <w:szCs w:val="20"/>
              </w:rPr>
              <w:t>9</w:t>
            </w:r>
            <w:r>
              <w:rPr>
                <w:szCs w:val="20"/>
              </w:rPr>
              <w:t>9.75(%)</w:t>
            </w:r>
          </w:p>
        </w:tc>
        <w:tc>
          <w:tcPr>
            <w:tcW w:w="1220" w:type="dxa"/>
          </w:tcPr>
          <w:p>
            <w:pPr>
              <w:autoSpaceDE/>
              <w:autoSpaceDN/>
              <w:widowControl/>
              <w:wordWrap/>
              <w:jc w:val="center"/>
              <w:rPr>
                <w:szCs w:val="20"/>
              </w:rPr>
            </w:pPr>
            <w:r>
              <w:rPr>
                <w:szCs w:val="20"/>
              </w:rPr>
              <w:t>X</w:t>
            </w:r>
          </w:p>
        </w:tc>
        <w:tc>
          <w:tcPr>
            <w:tcW w:w="1351" w:type="dxa"/>
          </w:tcPr>
          <w:p>
            <w:pPr>
              <w:autoSpaceDE/>
              <w:autoSpaceDN/>
              <w:widowControl/>
              <w:wordWrap/>
              <w:jc w:val="center"/>
              <w:rPr>
                <w:szCs w:val="20"/>
              </w:rPr>
            </w:pPr>
            <w:r>
              <w:rPr>
                <w:szCs w:val="20"/>
              </w:rPr>
              <w:t>X</w:t>
            </w:r>
          </w:p>
        </w:tc>
        <w:tc>
          <w:tcPr>
            <w:tcW w:w="1360" w:type="dxa"/>
          </w:tcPr>
          <w:p>
            <w:pPr>
              <w:autoSpaceDE/>
              <w:autoSpaceDN/>
              <w:widowControl/>
              <w:wordWrap/>
              <w:jc w:val="center"/>
              <w:rPr>
                <w:szCs w:val="20"/>
              </w:rPr>
            </w:pPr>
            <w:r>
              <w:rPr>
                <w:rFonts w:hint="eastAsia"/>
                <w:szCs w:val="20"/>
              </w:rPr>
              <w:t>X</w:t>
            </w:r>
          </w:p>
        </w:tc>
        <w:tc>
          <w:tcPr>
            <w:tcW w:w="1246" w:type="dxa"/>
          </w:tcPr>
          <w:p>
            <w:pPr>
              <w:autoSpaceDE/>
              <w:autoSpaceDN/>
              <w:widowControl/>
              <w:wordWrap/>
              <w:jc w:val="center"/>
              <w:rPr>
                <w:szCs w:val="20"/>
              </w:rPr>
            </w:pPr>
            <w:r>
              <w:rPr>
                <w:rFonts w:hint="eastAsia"/>
                <w:szCs w:val="20"/>
              </w:rPr>
              <w:t>X</w:t>
            </w:r>
          </w:p>
        </w:tc>
      </w:tr>
      <w:tr>
        <w:tc>
          <w:tcPr>
            <w:tcW w:w="1545" w:type="dxa"/>
            <w:tcBorders>
              <w:bottom w:val="single" w:sz="4" w:space="0" w:color="auto"/>
              <w:right w:val="single" w:sz="4" w:space="0" w:color="auto"/>
            </w:tcBorders>
          </w:tcPr>
          <w:p>
            <w:pPr>
              <w:autoSpaceDE/>
              <w:autoSpaceDN/>
              <w:widowControl/>
              <w:wordWrap/>
              <w:rPr>
                <w:szCs w:val="20"/>
              </w:rPr>
            </w:pPr>
            <w:r>
              <w:rPr>
                <w:rFonts w:hint="eastAsia"/>
                <w:szCs w:val="20"/>
              </w:rPr>
              <w:t>1</w:t>
            </w:r>
            <w:r>
              <w:rPr>
                <w:szCs w:val="20"/>
              </w:rPr>
              <w:t>000 (1000, 1)</w:t>
            </w:r>
          </w:p>
        </w:tc>
        <w:tc>
          <w:tcPr>
            <w:tcW w:w="1245" w:type="dxa"/>
            <w:tcBorders>
              <w:left w:val="single" w:sz="4" w:space="0" w:color="auto"/>
              <w:bottom w:val="single" w:sz="4" w:space="0" w:color="auto"/>
            </w:tcBorders>
          </w:tcPr>
          <w:p>
            <w:pPr>
              <w:autoSpaceDE/>
              <w:autoSpaceDN/>
              <w:widowControl/>
              <w:wordWrap/>
              <w:jc w:val="center"/>
              <w:rPr>
                <w:szCs w:val="20"/>
              </w:rPr>
            </w:pPr>
            <w:r>
              <w:rPr>
                <w:rFonts w:hint="eastAsia"/>
                <w:szCs w:val="20"/>
              </w:rPr>
              <w:t>1</w:t>
            </w:r>
            <w:r>
              <w:rPr>
                <w:szCs w:val="20"/>
              </w:rPr>
              <w:t>1992(x12)</w:t>
            </w:r>
          </w:p>
        </w:tc>
        <w:tc>
          <w:tcPr>
            <w:tcW w:w="1059" w:type="dxa"/>
            <w:tcBorders>
              <w:bottom w:val="single" w:sz="4" w:space="0" w:color="auto"/>
            </w:tcBorders>
          </w:tcPr>
          <w:p>
            <w:pPr>
              <w:autoSpaceDE/>
              <w:autoSpaceDN/>
              <w:widowControl/>
              <w:wordWrap/>
              <w:jc w:val="center"/>
              <w:rPr>
                <w:szCs w:val="20"/>
              </w:rPr>
            </w:pPr>
            <w:r>
              <w:rPr>
                <w:rFonts w:hint="eastAsia"/>
                <w:szCs w:val="20"/>
              </w:rPr>
              <w:t>9</w:t>
            </w:r>
            <w:r>
              <w:rPr>
                <w:szCs w:val="20"/>
              </w:rPr>
              <w:t>9.59(%)</w:t>
            </w:r>
          </w:p>
        </w:tc>
        <w:tc>
          <w:tcPr>
            <w:tcW w:w="1220" w:type="dxa"/>
            <w:tcBorders>
              <w:bottom w:val="single" w:sz="4" w:space="0" w:color="auto"/>
            </w:tcBorders>
          </w:tcPr>
          <w:p>
            <w:pPr>
              <w:autoSpaceDE/>
              <w:autoSpaceDN/>
              <w:widowControl/>
              <w:wordWrap/>
              <w:jc w:val="center"/>
              <w:rPr>
                <w:szCs w:val="20"/>
              </w:rPr>
            </w:pPr>
            <w:r>
              <w:rPr>
                <w:szCs w:val="20"/>
              </w:rPr>
              <w:t>X</w:t>
            </w:r>
          </w:p>
        </w:tc>
        <w:tc>
          <w:tcPr>
            <w:tcW w:w="1351" w:type="dxa"/>
            <w:tcBorders>
              <w:bottom w:val="single" w:sz="4" w:space="0" w:color="auto"/>
            </w:tcBorders>
          </w:tcPr>
          <w:p>
            <w:pPr>
              <w:autoSpaceDE/>
              <w:autoSpaceDN/>
              <w:widowControl/>
              <w:wordWrap/>
              <w:jc w:val="center"/>
              <w:rPr>
                <w:szCs w:val="20"/>
              </w:rPr>
            </w:pPr>
            <w:r>
              <w:rPr>
                <w:szCs w:val="20"/>
              </w:rPr>
              <w:t>X</w:t>
            </w:r>
          </w:p>
        </w:tc>
        <w:tc>
          <w:tcPr>
            <w:tcW w:w="1360" w:type="dxa"/>
            <w:tcBorders>
              <w:bottom w:val="single" w:sz="4" w:space="0" w:color="auto"/>
            </w:tcBorders>
          </w:tcPr>
          <w:p>
            <w:pPr>
              <w:autoSpaceDE/>
              <w:autoSpaceDN/>
              <w:widowControl/>
              <w:wordWrap/>
              <w:jc w:val="center"/>
              <w:rPr>
                <w:szCs w:val="20"/>
              </w:rPr>
            </w:pPr>
            <w:r>
              <w:rPr>
                <w:rFonts w:hint="eastAsia"/>
                <w:szCs w:val="20"/>
              </w:rPr>
              <w:t>X</w:t>
            </w:r>
          </w:p>
        </w:tc>
        <w:tc>
          <w:tcPr>
            <w:tcW w:w="1246" w:type="dxa"/>
            <w:tcBorders>
              <w:bottom w:val="single" w:sz="4" w:space="0" w:color="auto"/>
            </w:tcBorders>
          </w:tcPr>
          <w:p>
            <w:pPr>
              <w:autoSpaceDE/>
              <w:autoSpaceDN/>
              <w:widowControl/>
              <w:wordWrap/>
              <w:jc w:val="center"/>
              <w:rPr>
                <w:szCs w:val="20"/>
              </w:rPr>
            </w:pPr>
            <w:r>
              <w:rPr>
                <w:rFonts w:hint="eastAsia"/>
                <w:szCs w:val="20"/>
              </w:rPr>
              <w:t>X</w:t>
            </w:r>
          </w:p>
        </w:tc>
      </w:tr>
      <w:tr>
        <w:tc>
          <w:tcPr>
            <w:tcW w:w="1545" w:type="dxa"/>
            <w:tcBorders>
              <w:top w:val="single" w:sz="4" w:space="0" w:color="auto"/>
              <w:bottom w:val="nil"/>
              <w:right w:val="single" w:sz="4" w:space="0" w:color="auto"/>
            </w:tcBorders>
          </w:tcPr>
          <w:p>
            <w:pPr>
              <w:autoSpaceDE/>
              <w:autoSpaceDN/>
              <w:widowControl/>
              <w:wordWrap/>
              <w:rPr>
                <w:szCs w:val="20"/>
              </w:rPr>
            </w:pPr>
            <w:r>
              <w:rPr>
                <w:rFonts w:hint="eastAsia"/>
                <w:szCs w:val="20"/>
              </w:rPr>
              <w:t>1</w:t>
            </w:r>
            <w:r>
              <w:rPr>
                <w:szCs w:val="20"/>
              </w:rPr>
              <w:t>00 (10, 10)</w:t>
            </w:r>
          </w:p>
        </w:tc>
        <w:tc>
          <w:tcPr>
            <w:tcW w:w="1245" w:type="dxa"/>
            <w:tcBorders>
              <w:top w:val="single" w:sz="4" w:space="0" w:color="auto"/>
              <w:left w:val="single" w:sz="4" w:space="0" w:color="auto"/>
              <w:bottom w:val="nil"/>
            </w:tcBorders>
          </w:tcPr>
          <w:p>
            <w:pPr>
              <w:autoSpaceDE/>
              <w:autoSpaceDN/>
              <w:widowControl/>
              <w:wordWrap/>
              <w:jc w:val="center"/>
              <w:rPr>
                <w:szCs w:val="20"/>
              </w:rPr>
            </w:pPr>
            <w:r>
              <w:rPr>
                <w:rFonts w:hint="eastAsia"/>
                <w:szCs w:val="20"/>
              </w:rPr>
              <w:t>4</w:t>
            </w:r>
            <w:r>
              <w:rPr>
                <w:szCs w:val="20"/>
              </w:rPr>
              <w:t>505(x45)</w:t>
            </w:r>
          </w:p>
        </w:tc>
        <w:tc>
          <w:tcPr>
            <w:tcW w:w="1059" w:type="dxa"/>
            <w:tcBorders>
              <w:top w:val="single" w:sz="4" w:space="0" w:color="auto"/>
              <w:bottom w:val="nil"/>
            </w:tcBorders>
          </w:tcPr>
          <w:p>
            <w:pPr>
              <w:autoSpaceDE/>
              <w:autoSpaceDN/>
              <w:widowControl/>
              <w:wordWrap/>
              <w:jc w:val="center"/>
              <w:rPr>
                <w:szCs w:val="20"/>
              </w:rPr>
            </w:pPr>
            <w:r>
              <w:rPr>
                <w:rFonts w:hint="eastAsia"/>
                <w:szCs w:val="20"/>
              </w:rPr>
              <w:t>1</w:t>
            </w:r>
            <w:r>
              <w:rPr>
                <w:szCs w:val="20"/>
              </w:rPr>
              <w:t>00(%)</w:t>
            </w:r>
          </w:p>
        </w:tc>
        <w:tc>
          <w:tcPr>
            <w:tcW w:w="1220" w:type="dxa"/>
            <w:tcBorders>
              <w:top w:val="single" w:sz="4" w:space="0" w:color="auto"/>
              <w:bottom w:val="nil"/>
            </w:tcBorders>
          </w:tcPr>
          <w:p>
            <w:pPr>
              <w:autoSpaceDE/>
              <w:autoSpaceDN/>
              <w:widowControl/>
              <w:wordWrap/>
              <w:jc w:val="center"/>
              <w:rPr>
                <w:szCs w:val="20"/>
              </w:rPr>
            </w:pPr>
            <w:r>
              <w:rPr>
                <w:rFonts w:hint="eastAsia"/>
                <w:szCs w:val="20"/>
              </w:rPr>
              <w:t>4</w:t>
            </w:r>
            <w:r>
              <w:rPr>
                <w:szCs w:val="20"/>
              </w:rPr>
              <w:t>268(x42)</w:t>
            </w:r>
          </w:p>
        </w:tc>
        <w:tc>
          <w:tcPr>
            <w:tcW w:w="1351" w:type="dxa"/>
            <w:tcBorders>
              <w:top w:val="single" w:sz="4" w:space="0" w:color="auto"/>
              <w:bottom w:val="nil"/>
            </w:tcBorders>
          </w:tcPr>
          <w:p>
            <w:pPr>
              <w:autoSpaceDE/>
              <w:autoSpaceDN/>
              <w:widowControl/>
              <w:wordWrap/>
              <w:jc w:val="center"/>
              <w:rPr>
                <w:szCs w:val="20"/>
              </w:rPr>
            </w:pPr>
            <w:r>
              <w:rPr>
                <w:rFonts w:hint="eastAsia"/>
                <w:szCs w:val="20"/>
              </w:rPr>
              <w:t>9</w:t>
            </w:r>
            <w:r>
              <w:rPr>
                <w:szCs w:val="20"/>
              </w:rPr>
              <w:t>9.5(%)</w:t>
            </w:r>
          </w:p>
        </w:tc>
        <w:tc>
          <w:tcPr>
            <w:tcW w:w="1360" w:type="dxa"/>
            <w:tcBorders>
              <w:top w:val="single" w:sz="4" w:space="0" w:color="auto"/>
              <w:bottom w:val="nil"/>
            </w:tcBorders>
          </w:tcPr>
          <w:p>
            <w:pPr>
              <w:autoSpaceDE/>
              <w:autoSpaceDN/>
              <w:widowControl/>
              <w:wordWrap/>
              <w:jc w:val="center"/>
              <w:rPr>
                <w:szCs w:val="20"/>
              </w:rPr>
            </w:pPr>
            <w:r>
              <w:rPr>
                <w:szCs w:val="20"/>
              </w:rPr>
              <w:t>4971(+466)</w:t>
            </w:r>
          </w:p>
        </w:tc>
        <w:tc>
          <w:tcPr>
            <w:tcW w:w="1246" w:type="dxa"/>
            <w:tcBorders>
              <w:top w:val="single" w:sz="4" w:space="0" w:color="auto"/>
              <w:bottom w:val="nil"/>
            </w:tcBorders>
          </w:tcPr>
          <w:p>
            <w:pPr>
              <w:autoSpaceDE/>
              <w:autoSpaceDN/>
              <w:widowControl/>
              <w:wordWrap/>
              <w:jc w:val="center"/>
              <w:rPr>
                <w:szCs w:val="20"/>
              </w:rPr>
            </w:pPr>
            <w:r>
              <w:rPr>
                <w:rFonts w:hint="eastAsia"/>
                <w:szCs w:val="20"/>
              </w:rPr>
              <w:t>9</w:t>
            </w:r>
            <w:r>
              <w:rPr>
                <w:szCs w:val="20"/>
              </w:rPr>
              <w:t>9.02(%)</w:t>
            </w:r>
          </w:p>
        </w:tc>
      </w:tr>
      <w:tr>
        <w:tc>
          <w:tcPr>
            <w:tcW w:w="1545" w:type="dxa"/>
            <w:tcBorders>
              <w:top w:val="nil"/>
              <w:bottom w:val="nil"/>
              <w:right w:val="single" w:sz="4" w:space="0" w:color="auto"/>
            </w:tcBorders>
          </w:tcPr>
          <w:p>
            <w:pPr>
              <w:autoSpaceDE/>
              <w:autoSpaceDN/>
              <w:widowControl/>
              <w:wordWrap/>
              <w:rPr>
                <w:szCs w:val="20"/>
              </w:rPr>
            </w:pPr>
            <w:r>
              <w:rPr>
                <w:rFonts w:hint="eastAsia"/>
                <w:szCs w:val="20"/>
              </w:rPr>
              <w:t>2</w:t>
            </w:r>
            <w:r>
              <w:rPr>
                <w:szCs w:val="20"/>
              </w:rPr>
              <w:t>50 (25, 10)</w:t>
            </w:r>
          </w:p>
        </w:tc>
        <w:tc>
          <w:tcPr>
            <w:tcW w:w="1245" w:type="dxa"/>
            <w:tcBorders>
              <w:top w:val="nil"/>
              <w:left w:val="single" w:sz="4" w:space="0" w:color="auto"/>
              <w:bottom w:val="nil"/>
            </w:tcBorders>
          </w:tcPr>
          <w:p>
            <w:pPr>
              <w:autoSpaceDE/>
              <w:autoSpaceDN/>
              <w:widowControl/>
              <w:wordWrap/>
              <w:jc w:val="center"/>
              <w:rPr>
                <w:szCs w:val="20"/>
              </w:rPr>
            </w:pPr>
            <w:r>
              <w:rPr>
                <w:rFonts w:hint="eastAsia"/>
                <w:szCs w:val="20"/>
              </w:rPr>
              <w:t>8</w:t>
            </w:r>
            <w:r>
              <w:rPr>
                <w:szCs w:val="20"/>
              </w:rPr>
              <w:t>874(x35)</w:t>
            </w:r>
          </w:p>
        </w:tc>
        <w:tc>
          <w:tcPr>
            <w:tcW w:w="1059" w:type="dxa"/>
            <w:tcBorders>
              <w:top w:val="nil"/>
              <w:bottom w:val="nil"/>
            </w:tcBorders>
          </w:tcPr>
          <w:p>
            <w:pPr>
              <w:autoSpaceDE/>
              <w:autoSpaceDN/>
              <w:widowControl/>
              <w:wordWrap/>
              <w:jc w:val="center"/>
              <w:rPr>
                <w:szCs w:val="20"/>
              </w:rPr>
            </w:pPr>
            <w:r>
              <w:rPr>
                <w:rFonts w:hint="eastAsia"/>
                <w:szCs w:val="20"/>
              </w:rPr>
              <w:t>9</w:t>
            </w:r>
            <w:r>
              <w:rPr>
                <w:szCs w:val="20"/>
              </w:rPr>
              <w:t>9.92(%)</w:t>
            </w:r>
          </w:p>
        </w:tc>
        <w:tc>
          <w:tcPr>
            <w:tcW w:w="1220" w:type="dxa"/>
            <w:tcBorders>
              <w:top w:val="nil"/>
              <w:bottom w:val="nil"/>
            </w:tcBorders>
          </w:tcPr>
          <w:p>
            <w:pPr>
              <w:autoSpaceDE/>
              <w:autoSpaceDN/>
              <w:widowControl/>
              <w:wordWrap/>
              <w:jc w:val="center"/>
              <w:rPr>
                <w:szCs w:val="20"/>
              </w:rPr>
            </w:pPr>
            <w:r>
              <w:rPr>
                <w:rFonts w:hint="eastAsia"/>
                <w:szCs w:val="20"/>
              </w:rPr>
              <w:t>8</w:t>
            </w:r>
            <w:r>
              <w:rPr>
                <w:szCs w:val="20"/>
              </w:rPr>
              <w:t>244(x33)</w:t>
            </w:r>
          </w:p>
        </w:tc>
        <w:tc>
          <w:tcPr>
            <w:tcW w:w="1351" w:type="dxa"/>
            <w:tcBorders>
              <w:top w:val="nil"/>
              <w:bottom w:val="nil"/>
            </w:tcBorders>
          </w:tcPr>
          <w:p>
            <w:pPr>
              <w:autoSpaceDE/>
              <w:autoSpaceDN/>
              <w:widowControl/>
              <w:wordWrap/>
              <w:jc w:val="center"/>
              <w:rPr>
                <w:szCs w:val="20"/>
              </w:rPr>
            </w:pPr>
            <w:r>
              <w:rPr>
                <w:rFonts w:hint="eastAsia"/>
                <w:szCs w:val="20"/>
              </w:rPr>
              <w:t>9</w:t>
            </w:r>
            <w:r>
              <w:rPr>
                <w:szCs w:val="20"/>
              </w:rPr>
              <w:t>9.68(%)</w:t>
            </w:r>
          </w:p>
        </w:tc>
        <w:tc>
          <w:tcPr>
            <w:tcW w:w="1360" w:type="dxa"/>
            <w:tcBorders>
              <w:top w:val="nil"/>
              <w:bottom w:val="nil"/>
            </w:tcBorders>
          </w:tcPr>
          <w:p>
            <w:pPr>
              <w:autoSpaceDE/>
              <w:autoSpaceDN/>
              <w:widowControl/>
              <w:wordWrap/>
              <w:jc w:val="center"/>
              <w:rPr>
                <w:szCs w:val="20"/>
              </w:rPr>
            </w:pPr>
            <w:r>
              <w:rPr>
                <w:rFonts w:hint="eastAsia"/>
                <w:szCs w:val="20"/>
              </w:rPr>
              <w:t>9</w:t>
            </w:r>
            <w:r>
              <w:rPr>
                <w:szCs w:val="20"/>
              </w:rPr>
              <w:t>961(+1087)</w:t>
            </w:r>
          </w:p>
        </w:tc>
        <w:tc>
          <w:tcPr>
            <w:tcW w:w="1246" w:type="dxa"/>
            <w:tcBorders>
              <w:top w:val="nil"/>
              <w:bottom w:val="nil"/>
            </w:tcBorders>
          </w:tcPr>
          <w:p>
            <w:pPr>
              <w:autoSpaceDE/>
              <w:autoSpaceDN/>
              <w:widowControl/>
              <w:wordWrap/>
              <w:jc w:val="center"/>
              <w:rPr>
                <w:szCs w:val="20"/>
              </w:rPr>
            </w:pPr>
            <w:r>
              <w:rPr>
                <w:rFonts w:hint="eastAsia"/>
                <w:szCs w:val="20"/>
              </w:rPr>
              <w:t>9</w:t>
            </w:r>
            <w:r>
              <w:rPr>
                <w:szCs w:val="20"/>
              </w:rPr>
              <w:t>9.56(%)</w:t>
            </w:r>
          </w:p>
        </w:tc>
      </w:tr>
      <w:tr>
        <w:tc>
          <w:tcPr>
            <w:tcW w:w="1545" w:type="dxa"/>
            <w:tcBorders>
              <w:top w:val="nil"/>
              <w:bottom w:val="nil"/>
              <w:right w:val="single" w:sz="4" w:space="0" w:color="auto"/>
            </w:tcBorders>
          </w:tcPr>
          <w:p>
            <w:pPr>
              <w:autoSpaceDE/>
              <w:autoSpaceDN/>
              <w:widowControl/>
              <w:wordWrap/>
              <w:rPr>
                <w:szCs w:val="20"/>
              </w:rPr>
            </w:pPr>
            <w:r>
              <w:rPr>
                <w:rFonts w:hint="eastAsia"/>
                <w:szCs w:val="20"/>
              </w:rPr>
              <w:t>5</w:t>
            </w:r>
            <w:r>
              <w:rPr>
                <w:szCs w:val="20"/>
              </w:rPr>
              <w:t>00 (50, 10)</w:t>
            </w:r>
          </w:p>
        </w:tc>
        <w:tc>
          <w:tcPr>
            <w:tcW w:w="1245" w:type="dxa"/>
            <w:tcBorders>
              <w:top w:val="nil"/>
              <w:left w:val="single" w:sz="4" w:space="0" w:color="auto"/>
              <w:bottom w:val="nil"/>
            </w:tcBorders>
          </w:tcPr>
          <w:p>
            <w:pPr>
              <w:autoSpaceDE/>
              <w:autoSpaceDN/>
              <w:widowControl/>
              <w:wordWrap/>
              <w:jc w:val="center"/>
              <w:rPr>
                <w:szCs w:val="20"/>
              </w:rPr>
            </w:pPr>
            <w:r>
              <w:rPr>
                <w:rFonts w:hint="eastAsia"/>
                <w:szCs w:val="20"/>
              </w:rPr>
              <w:t>1</w:t>
            </w:r>
            <w:r>
              <w:rPr>
                <w:szCs w:val="20"/>
              </w:rPr>
              <w:t>1486(x22)</w:t>
            </w:r>
          </w:p>
        </w:tc>
        <w:tc>
          <w:tcPr>
            <w:tcW w:w="1059" w:type="dxa"/>
            <w:tcBorders>
              <w:top w:val="nil"/>
              <w:bottom w:val="nil"/>
            </w:tcBorders>
          </w:tcPr>
          <w:p>
            <w:pPr>
              <w:autoSpaceDE/>
              <w:autoSpaceDN/>
              <w:widowControl/>
              <w:wordWrap/>
              <w:jc w:val="center"/>
              <w:rPr>
                <w:szCs w:val="20"/>
              </w:rPr>
            </w:pPr>
            <w:r>
              <w:rPr>
                <w:rFonts w:hint="eastAsia"/>
                <w:szCs w:val="20"/>
              </w:rPr>
              <w:t>9</w:t>
            </w:r>
            <w:r>
              <w:rPr>
                <w:szCs w:val="20"/>
              </w:rPr>
              <w:t>9.85(%)</w:t>
            </w:r>
          </w:p>
        </w:tc>
        <w:tc>
          <w:tcPr>
            <w:tcW w:w="1220" w:type="dxa"/>
            <w:tcBorders>
              <w:top w:val="nil"/>
              <w:bottom w:val="nil"/>
            </w:tcBorders>
          </w:tcPr>
          <w:p>
            <w:pPr>
              <w:autoSpaceDE/>
              <w:autoSpaceDN/>
              <w:widowControl/>
              <w:wordWrap/>
              <w:jc w:val="center"/>
              <w:rPr>
                <w:szCs w:val="20"/>
              </w:rPr>
            </w:pPr>
            <w:r>
              <w:rPr>
                <w:rFonts w:hint="eastAsia"/>
                <w:szCs w:val="20"/>
              </w:rPr>
              <w:t>1</w:t>
            </w:r>
            <w:r>
              <w:rPr>
                <w:szCs w:val="20"/>
              </w:rPr>
              <w:t>0672(x21)</w:t>
            </w:r>
          </w:p>
        </w:tc>
        <w:tc>
          <w:tcPr>
            <w:tcW w:w="1351" w:type="dxa"/>
            <w:tcBorders>
              <w:top w:val="nil"/>
              <w:bottom w:val="nil"/>
            </w:tcBorders>
          </w:tcPr>
          <w:p>
            <w:pPr>
              <w:autoSpaceDE/>
              <w:autoSpaceDN/>
              <w:widowControl/>
              <w:wordWrap/>
              <w:jc w:val="center"/>
              <w:rPr>
                <w:szCs w:val="20"/>
              </w:rPr>
            </w:pPr>
            <w:r>
              <w:rPr>
                <w:rFonts w:hint="eastAsia"/>
                <w:szCs w:val="20"/>
              </w:rPr>
              <w:t>9</w:t>
            </w:r>
            <w:r>
              <w:rPr>
                <w:szCs w:val="20"/>
              </w:rPr>
              <w:t>8.2(%)</w:t>
            </w:r>
          </w:p>
        </w:tc>
        <w:tc>
          <w:tcPr>
            <w:tcW w:w="1360" w:type="dxa"/>
            <w:tcBorders>
              <w:top w:val="nil"/>
              <w:bottom w:val="nil"/>
            </w:tcBorders>
          </w:tcPr>
          <w:p>
            <w:pPr>
              <w:autoSpaceDE/>
              <w:autoSpaceDN/>
              <w:widowControl/>
              <w:wordWrap/>
              <w:jc w:val="center"/>
              <w:rPr>
                <w:szCs w:val="20"/>
              </w:rPr>
            </w:pPr>
            <w:r>
              <w:rPr>
                <w:rFonts w:hint="eastAsia"/>
                <w:szCs w:val="20"/>
              </w:rPr>
              <w:t>1</w:t>
            </w:r>
            <w:r>
              <w:rPr>
                <w:szCs w:val="20"/>
              </w:rPr>
              <w:t>2200(+714)</w:t>
            </w:r>
          </w:p>
        </w:tc>
        <w:tc>
          <w:tcPr>
            <w:tcW w:w="1246" w:type="dxa"/>
            <w:tcBorders>
              <w:top w:val="nil"/>
              <w:bottom w:val="nil"/>
            </w:tcBorders>
          </w:tcPr>
          <w:p>
            <w:pPr>
              <w:autoSpaceDE/>
              <w:autoSpaceDN/>
              <w:widowControl/>
              <w:wordWrap/>
              <w:jc w:val="center"/>
              <w:rPr>
                <w:szCs w:val="20"/>
              </w:rPr>
            </w:pPr>
            <w:r>
              <w:rPr>
                <w:rFonts w:hint="eastAsia"/>
                <w:szCs w:val="20"/>
              </w:rPr>
              <w:t>9</w:t>
            </w:r>
            <w:r>
              <w:rPr>
                <w:szCs w:val="20"/>
              </w:rPr>
              <w:t>8.97(%)</w:t>
            </w:r>
          </w:p>
        </w:tc>
      </w:tr>
      <w:tr>
        <w:tc>
          <w:tcPr>
            <w:tcW w:w="1545" w:type="dxa"/>
            <w:tcBorders>
              <w:top w:val="nil"/>
              <w:bottom w:val="nil"/>
              <w:right w:val="single" w:sz="4" w:space="0" w:color="auto"/>
            </w:tcBorders>
          </w:tcPr>
          <w:p>
            <w:pPr>
              <w:autoSpaceDE/>
              <w:autoSpaceDN/>
              <w:widowControl/>
              <w:wordWrap/>
              <w:rPr>
                <w:szCs w:val="20"/>
              </w:rPr>
            </w:pPr>
            <w:r>
              <w:rPr>
                <w:rFonts w:hint="eastAsia"/>
                <w:szCs w:val="20"/>
              </w:rPr>
              <w:t>7</w:t>
            </w:r>
            <w:r>
              <w:rPr>
                <w:szCs w:val="20"/>
              </w:rPr>
              <w:t>50 (75, 10)</w:t>
            </w:r>
          </w:p>
        </w:tc>
        <w:tc>
          <w:tcPr>
            <w:tcW w:w="1245" w:type="dxa"/>
            <w:tcBorders>
              <w:top w:val="nil"/>
              <w:left w:val="single" w:sz="4" w:space="0" w:color="auto"/>
              <w:bottom w:val="nil"/>
            </w:tcBorders>
          </w:tcPr>
          <w:p>
            <w:pPr>
              <w:autoSpaceDE/>
              <w:autoSpaceDN/>
              <w:widowControl/>
              <w:wordWrap/>
              <w:jc w:val="center"/>
              <w:rPr>
                <w:szCs w:val="20"/>
              </w:rPr>
            </w:pPr>
            <w:r>
              <w:rPr>
                <w:rFonts w:hint="eastAsia"/>
                <w:szCs w:val="20"/>
              </w:rPr>
              <w:t>1</w:t>
            </w:r>
            <w:r>
              <w:rPr>
                <w:szCs w:val="20"/>
              </w:rPr>
              <w:t>3012(x17)</w:t>
            </w:r>
          </w:p>
        </w:tc>
        <w:tc>
          <w:tcPr>
            <w:tcW w:w="1059" w:type="dxa"/>
            <w:tcBorders>
              <w:top w:val="nil"/>
              <w:bottom w:val="nil"/>
            </w:tcBorders>
          </w:tcPr>
          <w:p>
            <w:pPr>
              <w:autoSpaceDE/>
              <w:autoSpaceDN/>
              <w:widowControl/>
              <w:wordWrap/>
              <w:jc w:val="center"/>
              <w:rPr>
                <w:szCs w:val="20"/>
              </w:rPr>
            </w:pPr>
            <w:r>
              <w:rPr>
                <w:rFonts w:hint="eastAsia"/>
                <w:szCs w:val="20"/>
              </w:rPr>
              <w:t>9</w:t>
            </w:r>
            <w:r>
              <w:rPr>
                <w:szCs w:val="20"/>
              </w:rPr>
              <w:t>9.84(%)</w:t>
            </w:r>
          </w:p>
        </w:tc>
        <w:tc>
          <w:tcPr>
            <w:tcW w:w="1220" w:type="dxa"/>
            <w:tcBorders>
              <w:top w:val="nil"/>
              <w:bottom w:val="nil"/>
            </w:tcBorders>
          </w:tcPr>
          <w:p>
            <w:pPr>
              <w:autoSpaceDE/>
              <w:autoSpaceDN/>
              <w:widowControl/>
              <w:wordWrap/>
              <w:jc w:val="center"/>
              <w:rPr>
                <w:szCs w:val="20"/>
              </w:rPr>
            </w:pPr>
            <w:r>
              <w:rPr>
                <w:rFonts w:hint="eastAsia"/>
                <w:szCs w:val="20"/>
              </w:rPr>
              <w:t>1</w:t>
            </w:r>
            <w:r>
              <w:rPr>
                <w:szCs w:val="20"/>
              </w:rPr>
              <w:t>3810(x18)</w:t>
            </w:r>
          </w:p>
        </w:tc>
        <w:tc>
          <w:tcPr>
            <w:tcW w:w="1351" w:type="dxa"/>
            <w:tcBorders>
              <w:top w:val="nil"/>
              <w:bottom w:val="nil"/>
            </w:tcBorders>
          </w:tcPr>
          <w:p>
            <w:pPr>
              <w:autoSpaceDE/>
              <w:autoSpaceDN/>
              <w:widowControl/>
              <w:wordWrap/>
              <w:jc w:val="center"/>
              <w:rPr>
                <w:szCs w:val="20"/>
              </w:rPr>
            </w:pPr>
            <w:r>
              <w:rPr>
                <w:rFonts w:hint="eastAsia"/>
                <w:szCs w:val="20"/>
              </w:rPr>
              <w:t>9</w:t>
            </w:r>
            <w:r>
              <w:rPr>
                <w:szCs w:val="20"/>
              </w:rPr>
              <w:t>9.17(%)</w:t>
            </w:r>
          </w:p>
        </w:tc>
        <w:tc>
          <w:tcPr>
            <w:tcW w:w="1360" w:type="dxa"/>
            <w:tcBorders>
              <w:top w:val="nil"/>
              <w:bottom w:val="nil"/>
            </w:tcBorders>
          </w:tcPr>
          <w:p>
            <w:pPr>
              <w:autoSpaceDE/>
              <w:autoSpaceDN/>
              <w:widowControl/>
              <w:wordWrap/>
              <w:jc w:val="center"/>
              <w:rPr>
                <w:szCs w:val="20"/>
              </w:rPr>
            </w:pPr>
            <w:r>
              <w:rPr>
                <w:rFonts w:hint="eastAsia"/>
                <w:szCs w:val="20"/>
              </w:rPr>
              <w:t>1</w:t>
            </w:r>
            <w:r>
              <w:rPr>
                <w:szCs w:val="20"/>
              </w:rPr>
              <w:t>3012(+260)</w:t>
            </w:r>
          </w:p>
        </w:tc>
        <w:tc>
          <w:tcPr>
            <w:tcW w:w="1246" w:type="dxa"/>
            <w:tcBorders>
              <w:top w:val="nil"/>
              <w:bottom w:val="nil"/>
            </w:tcBorders>
          </w:tcPr>
          <w:p>
            <w:pPr>
              <w:autoSpaceDE/>
              <w:autoSpaceDN/>
              <w:widowControl/>
              <w:wordWrap/>
              <w:jc w:val="center"/>
              <w:rPr>
                <w:szCs w:val="20"/>
              </w:rPr>
            </w:pPr>
            <w:r>
              <w:rPr>
                <w:rFonts w:hint="eastAsia"/>
                <w:szCs w:val="20"/>
              </w:rPr>
              <w:t>9</w:t>
            </w:r>
            <w:r>
              <w:rPr>
                <w:szCs w:val="20"/>
              </w:rPr>
              <w:t>9.84(%)</w:t>
            </w:r>
          </w:p>
        </w:tc>
      </w:tr>
      <w:tr>
        <w:tc>
          <w:tcPr>
            <w:tcW w:w="1545" w:type="dxa"/>
            <w:tcBorders>
              <w:top w:val="nil"/>
              <w:bottom w:val="single" w:sz="4" w:space="0" w:color="auto"/>
              <w:right w:val="single" w:sz="4" w:space="0" w:color="auto"/>
            </w:tcBorders>
          </w:tcPr>
          <w:p>
            <w:pPr>
              <w:autoSpaceDE/>
              <w:autoSpaceDN/>
              <w:widowControl/>
              <w:wordWrap/>
              <w:rPr>
                <w:szCs w:val="20"/>
              </w:rPr>
            </w:pPr>
            <w:r>
              <w:rPr>
                <w:rFonts w:hint="eastAsia"/>
                <w:szCs w:val="20"/>
              </w:rPr>
              <w:t>1</w:t>
            </w:r>
            <w:r>
              <w:rPr>
                <w:szCs w:val="20"/>
              </w:rPr>
              <w:t>000 (100, 10)</w:t>
            </w:r>
          </w:p>
        </w:tc>
        <w:tc>
          <w:tcPr>
            <w:tcW w:w="1245" w:type="dxa"/>
            <w:tcBorders>
              <w:top w:val="nil"/>
              <w:left w:val="single" w:sz="4" w:space="0" w:color="auto"/>
              <w:bottom w:val="single" w:sz="4" w:space="0" w:color="auto"/>
            </w:tcBorders>
          </w:tcPr>
          <w:p>
            <w:pPr>
              <w:autoSpaceDE/>
              <w:autoSpaceDN/>
              <w:widowControl/>
              <w:wordWrap/>
              <w:jc w:val="center"/>
              <w:rPr>
                <w:szCs w:val="20"/>
              </w:rPr>
            </w:pPr>
            <w:r>
              <w:rPr>
                <w:rFonts w:hint="eastAsia"/>
                <w:szCs w:val="20"/>
              </w:rPr>
              <w:t>1</w:t>
            </w:r>
            <w:r>
              <w:rPr>
                <w:szCs w:val="20"/>
              </w:rPr>
              <w:t>5305(x15)</w:t>
            </w:r>
          </w:p>
        </w:tc>
        <w:tc>
          <w:tcPr>
            <w:tcW w:w="1059" w:type="dxa"/>
            <w:tcBorders>
              <w:top w:val="nil"/>
              <w:bottom w:val="single" w:sz="4" w:space="0" w:color="auto"/>
            </w:tcBorders>
          </w:tcPr>
          <w:p>
            <w:pPr>
              <w:autoSpaceDE/>
              <w:autoSpaceDN/>
              <w:widowControl/>
              <w:wordWrap/>
              <w:jc w:val="center"/>
              <w:rPr>
                <w:szCs w:val="20"/>
              </w:rPr>
            </w:pPr>
            <w:r>
              <w:rPr>
                <w:rFonts w:hint="eastAsia"/>
                <w:szCs w:val="20"/>
              </w:rPr>
              <w:t>9</w:t>
            </w:r>
            <w:r>
              <w:rPr>
                <w:szCs w:val="20"/>
              </w:rPr>
              <w:t>9.78(%)</w:t>
            </w:r>
          </w:p>
        </w:tc>
        <w:tc>
          <w:tcPr>
            <w:tcW w:w="1220" w:type="dxa"/>
            <w:tcBorders>
              <w:top w:val="nil"/>
              <w:bottom w:val="single" w:sz="4" w:space="0" w:color="auto"/>
            </w:tcBorders>
          </w:tcPr>
          <w:p>
            <w:pPr>
              <w:autoSpaceDE/>
              <w:autoSpaceDN/>
              <w:widowControl/>
              <w:wordWrap/>
              <w:jc w:val="center"/>
              <w:rPr>
                <w:szCs w:val="20"/>
              </w:rPr>
            </w:pPr>
            <w:r>
              <w:rPr>
                <w:rFonts w:hint="eastAsia"/>
                <w:szCs w:val="20"/>
              </w:rPr>
              <w:t>1</w:t>
            </w:r>
            <w:r>
              <w:rPr>
                <w:szCs w:val="20"/>
              </w:rPr>
              <w:t>4237(x14)</w:t>
            </w:r>
          </w:p>
        </w:tc>
        <w:tc>
          <w:tcPr>
            <w:tcW w:w="1351" w:type="dxa"/>
            <w:tcBorders>
              <w:top w:val="nil"/>
              <w:bottom w:val="single" w:sz="4" w:space="0" w:color="auto"/>
            </w:tcBorders>
          </w:tcPr>
          <w:p>
            <w:pPr>
              <w:autoSpaceDE/>
              <w:autoSpaceDN/>
              <w:widowControl/>
              <w:wordWrap/>
              <w:jc w:val="center"/>
              <w:rPr>
                <w:szCs w:val="20"/>
              </w:rPr>
            </w:pPr>
            <w:r>
              <w:rPr>
                <w:rFonts w:hint="eastAsia"/>
                <w:szCs w:val="20"/>
              </w:rPr>
              <w:t>9</w:t>
            </w:r>
            <w:r>
              <w:rPr>
                <w:szCs w:val="20"/>
              </w:rPr>
              <w:t>4.19(%)</w:t>
            </w:r>
          </w:p>
        </w:tc>
        <w:tc>
          <w:tcPr>
            <w:tcW w:w="1360" w:type="dxa"/>
            <w:tcBorders>
              <w:top w:val="nil"/>
              <w:bottom w:val="single" w:sz="4" w:space="0" w:color="auto"/>
            </w:tcBorders>
          </w:tcPr>
          <w:p>
            <w:pPr>
              <w:autoSpaceDE/>
              <w:autoSpaceDN/>
              <w:widowControl/>
              <w:wordWrap/>
              <w:jc w:val="center"/>
              <w:rPr>
                <w:szCs w:val="20"/>
              </w:rPr>
            </w:pPr>
            <w:r>
              <w:rPr>
                <w:rFonts w:hint="eastAsia"/>
                <w:szCs w:val="20"/>
              </w:rPr>
              <w:t>1</w:t>
            </w:r>
            <w:r>
              <w:rPr>
                <w:szCs w:val="20"/>
              </w:rPr>
              <w:t>5305(+252)</w:t>
            </w:r>
          </w:p>
        </w:tc>
        <w:tc>
          <w:tcPr>
            <w:tcW w:w="1246" w:type="dxa"/>
            <w:tcBorders>
              <w:top w:val="nil"/>
              <w:bottom w:val="single" w:sz="4" w:space="0" w:color="auto"/>
            </w:tcBorders>
          </w:tcPr>
          <w:p>
            <w:pPr>
              <w:autoSpaceDE/>
              <w:autoSpaceDN/>
              <w:widowControl/>
              <w:wordWrap/>
              <w:jc w:val="center"/>
              <w:rPr>
                <w:szCs w:val="20"/>
              </w:rPr>
            </w:pPr>
            <w:r>
              <w:rPr>
                <w:rFonts w:hint="eastAsia"/>
                <w:szCs w:val="20"/>
              </w:rPr>
              <w:t>9</w:t>
            </w:r>
            <w:r>
              <w:rPr>
                <w:szCs w:val="20"/>
              </w:rPr>
              <w:t>9.47(%)</w:t>
            </w:r>
          </w:p>
        </w:tc>
      </w:tr>
    </w:tbl>
    <w:p>
      <w:pPr>
        <w:ind w:firstLineChars="50" w:firstLine="100"/>
        <w:autoSpaceDE/>
        <w:autoSpaceDN/>
        <w:widowControl/>
        <w:wordWrap/>
        <w:jc w:val="center"/>
        <w:rPr>
          <w:szCs w:val="20"/>
        </w:rPr>
      </w:pPr>
      <w:r>
        <w:rPr>
          <w:rFonts w:eastAsiaTheme="minorHAnsi"/>
          <w:szCs w:val="20"/>
        </w:rPr>
        <w:t>[Table 2.</w:t>
      </w:r>
      <w:r>
        <w:rPr>
          <w:rFonts w:eastAsiaTheme="minorHAnsi"/>
          <w:szCs w:val="20"/>
        </w:rPr>
        <w:t xml:space="preserve"> </w:t>
      </w:r>
      <w:r>
        <w:rPr>
          <w:rFonts w:eastAsiaTheme="minorHAnsi"/>
          <w:szCs w:val="20"/>
        </w:rPr>
        <w:t>P</w:t>
      </w:r>
      <w:r>
        <w:rPr>
          <w:rFonts w:eastAsiaTheme="minorHAnsi"/>
          <w:szCs w:val="20"/>
        </w:rPr>
        <w:t xml:space="preserve">erformance of CS1 and CS2 in </w:t>
      </w:r>
      <w:r>
        <w:rPr>
          <w:rFonts w:eastAsiaTheme="minorHAnsi"/>
          <w:szCs w:val="20"/>
        </w:rPr>
        <w:t>MNIST]</w:t>
      </w:r>
    </w:p>
    <w:p>
      <w:pPr>
        <w:ind w:firstLineChars="50" w:firstLine="100"/>
        <w:autoSpaceDE/>
        <w:autoSpaceDN/>
        <w:widowControl/>
        <w:wordWrap/>
        <w:rPr>
          <w:szCs w:val="20"/>
        </w:rPr>
      </w:pPr>
      <w:r>
        <w:rPr>
          <w:szCs w:val="20"/>
        </w:rPr>
        <w:t xml:space="preserve">The performance of CS1 and CS2 is similar. In most cases, the accuracy reaches 99%. In terms of accuracy, the size of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 xml:space="preserve">and whether Iteration exist or not </w:t>
      </w:r>
      <w:r>
        <w:rPr>
          <w:szCs w:val="20"/>
        </w:rPr>
        <w:t>does not affect</w:t>
      </w:r>
      <w:r>
        <w:rPr>
          <w:szCs w:val="20"/>
        </w:rPr>
        <w:t xml:space="preserve"> significant</w:t>
      </w:r>
      <w:r>
        <w:rPr>
          <w:szCs w:val="20"/>
        </w:rPr>
        <w:t>ly</w:t>
      </w:r>
      <w:r>
        <w:rPr>
          <w:szCs w:val="20"/>
        </w:rPr>
        <w:t xml:space="preserve">. Both CS1 and CS2 methods can be classified for unlabeled train data 10 to 40 times that of a given sampling size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w:t>
      </w:r>
      <w:r>
        <w:rPr>
          <w:szCs w:val="20"/>
        </w:rPr>
        <w:t xml:space="preserve">After CS1 is applied, CS2 can be additionally applied to the unlabeled data. In this case, as the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is increased, the size of the additional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xml:space="preserve"> </m:t>
        </m:r>
      </m:oMath>
      <w:r>
        <w:rPr>
          <w:szCs w:val="20"/>
        </w:rPr>
        <w:t xml:space="preserve">is reduced. From this, CS1 and CS2 perform classification for unlabeled data under similar conditions, but some areas are different. As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 xml:space="preserve">increases, the difference in classification between the two methods decreases. In addition, it can be seen that the efficiency of the CS1 and CS2 methods gradually decreases as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increases. This is because classification is impossible even if the sampling size is increased for the boundary or where different class data are overlapped.</w:t>
      </w:r>
    </w:p>
    <w:p>
      <w:pPr>
        <w:ind w:firstLineChars="150" w:firstLine="300"/>
        <w:autoSpaceDE/>
        <w:autoSpaceDN/>
        <w:widowControl/>
        <w:wordWrap/>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Pr>
          <w:szCs w:val="20"/>
        </w:rPr>
        <w:t xml:space="preserve"> </w:t>
      </w:r>
      <w:r>
        <w:rPr>
          <w:szCs w:val="20"/>
        </w:rPr>
        <w:t xml:space="preserve">increases when dividing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as P iterations. This can be explained through the snapshot of coreset selection process. There is no difference between sampling 100 data and dividing it into 10 times and sampling 10 pieces each from the perspective of </w:t>
      </w:r>
      <w:r>
        <w:rPr>
          <w:szCs w:val="20"/>
        </w:rPr>
        <w:t>c</w:t>
      </w:r>
      <w:r>
        <w:rPr>
          <w:szCs w:val="20"/>
        </w:rPr>
        <w:t>or</w:t>
      </w:r>
      <w:r>
        <w:rPr>
          <w:szCs w:val="20"/>
        </w:rPr>
        <w:t>e</w:t>
      </w:r>
      <w:r>
        <w:rPr>
          <w:szCs w:val="20"/>
        </w:rPr>
        <w:t>set selection. Only the number of times SC1 is applied for each moment of coreset selection is different. That is, i</w:t>
      </w:r>
      <w:r>
        <w:rPr>
          <w:szCs w:val="20"/>
        </w:rPr>
        <w:t>t</w:t>
      </w:r>
      <w:r>
        <w:rPr>
          <w:szCs w:val="20"/>
        </w:rPr>
        <w:t xml:space="preserve"> is</w:t>
      </w:r>
      <w:r>
        <w:rPr>
          <w:szCs w:val="20"/>
        </w:rPr>
        <w:t xml:space="preserve"> the</w:t>
      </w:r>
      <w:r>
        <w:rPr>
          <w:szCs w:val="20"/>
        </w:rPr>
        <w:t xml:space="preserve"> same as taking a snapshot about p times of the relationship of subgraph during a total of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r>
          <w:rPr>
            <w:rFonts w:ascii="Cambria Math" w:eastAsiaTheme="minorHAnsi" w:hAnsi="Cambria Math"/>
            <w:szCs w:val="20"/>
          </w:rPr>
          <m:t xml:space="preserve"> </m:t>
        </m:r>
      </m:oMath>
      <w:r>
        <w:rPr>
          <w:szCs w:val="20"/>
        </w:rPr>
        <w:t>c</w:t>
      </w:r>
      <w:r>
        <w:rPr>
          <w:szCs w:val="20"/>
        </w:rPr>
        <w:t>oreset selection. The SC2 method can also be applied when there are</w:t>
      </w:r>
      <w:r>
        <w:rPr>
          <w:szCs w:val="20"/>
        </w:rPr>
        <w:t xml:space="preserve"> a</w:t>
      </w:r>
      <w:r>
        <w:rPr>
          <w:szCs w:val="20"/>
        </w:rPr>
        <w:t xml:space="preserve"> sufficient number of iterations. Accordingly, as the number of Iterations increases, more data would be classified.</w:t>
      </w:r>
    </w:p>
    <w:p>
      <w:pPr>
        <w:ind w:firstLineChars="150" w:firstLine="300"/>
        <w:autoSpaceDE/>
        <w:autoSpaceDN/>
        <w:widowControl/>
        <w:wordWrap/>
        <w:rPr>
          <w:szCs w:val="20"/>
        </w:rPr>
      </w:pPr>
      <w:r>
        <w:rPr>
          <w:szCs w:val="20"/>
        </w:rPr>
        <w:t xml:space="preserve">However, the sampling size for each Iteration should not be lowered than a certain amount. Even though it is at the boundary between classes, there would be cases where the classes of subgraphs encountered by chance are all the same. At this time, the accuracy of CS1 and CS2 deteriorates significantly. To prevent this, increase the sampling size so that the number of subgraphs encountered as much as possible. In addition, the larger the sampling size, the smaller the Radius </w:t>
      </w:r>
      <m:oMath>
        <m:r>
          <w:rPr>
            <w:rFonts w:ascii="Cambria Math" w:eastAsiaTheme="minorHAnsi" w:hAnsi="Cambria Math"/>
            <w:szCs w:val="20"/>
          </w:rPr>
          <m:t>δ</m:t>
        </m:r>
      </m:oMath>
      <w:r>
        <w:rPr>
          <w:szCs w:val="20"/>
        </w:rPr>
        <w:t xml:space="preserve">, increasing the probability that only the same class belongs in the subgraph. However, for fixed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it is necessary to appropriately adjust the sampling size </w:t>
      </w:r>
      <m:oMath>
        <m:d>
          <m:dPr>
            <m:begChr m:val="|"/>
            <m:endChr m:val="|"/>
            <m:ctrlPr>
              <w:rPr>
                <w:rFonts w:ascii="Cambria Math" w:eastAsiaTheme="minorHAnsi" w:hAnsi="Cambria Math"/>
                <w:i/>
                <w:szCs w:val="20"/>
              </w:rPr>
            </m:ctrlPr>
          </m:dPr>
          <m:e>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e>
        </m:d>
      </m:oMath>
      <w:r>
        <w:rPr>
          <w:rFonts w:hint="eastAsia"/>
          <w:szCs w:val="20"/>
        </w:rPr>
        <w:t xml:space="preserve"> </w:t>
      </w:r>
      <w:r>
        <w:rPr>
          <w:szCs w:val="20"/>
        </w:rPr>
        <w:t>with the iteration. In addition, we will check whether it is possible to prevent this case by limiting the number of subgraphs M encountered or limiting the density α of the subgraphs.</w:t>
      </w:r>
    </w:p>
    <w:p>
      <w:pPr>
        <w:ind w:firstLineChars="50" w:firstLine="100"/>
        <w:autoSpaceDE/>
        <w:autoSpaceDN/>
        <w:widowControl/>
        <w:wordWrap/>
        <w:rPr>
          <w:szCs w:val="20"/>
        </w:rPr>
      </w:pPr>
      <w:r>
        <w:rPr>
          <w:rFonts w:hint="eastAsia"/>
          <w:szCs w:val="20"/>
        </w:rPr>
        <w:t>4</w:t>
      </w:r>
      <w:r>
        <w:rPr>
          <w:szCs w:val="20"/>
        </w:rPr>
        <w:t xml:space="preserve">-3) </w:t>
      </w:r>
      <w:r>
        <w:rPr>
          <w:rFonts w:hint="eastAsia"/>
          <w:szCs w:val="20"/>
        </w:rPr>
        <w:t>S</w:t>
      </w:r>
      <w:r>
        <w:rPr>
          <w:szCs w:val="20"/>
        </w:rPr>
        <w:t>ensitivity test about hyperparameter</w:t>
      </w:r>
      <w:r>
        <w:rPr>
          <w:rFonts w:hint="eastAsia"/>
          <w:szCs w:val="20"/>
        </w:rPr>
        <w:t xml:space="preserve"> </w:t>
      </w:r>
    </w:p>
    <w:p>
      <w:pPr>
        <w:autoSpaceDE/>
        <w:autoSpaceDN/>
        <w:widowControl/>
        <w:wordWrap/>
        <w:rPr>
          <w:szCs w:val="20"/>
        </w:rPr>
      </w:pPr>
      <w:r>
        <w:rPr>
          <w:rFonts w:hint="eastAsia"/>
          <w:szCs w:val="20"/>
        </w:rPr>
        <w:t xml:space="preserve"> </w:t>
      </w:r>
      <w:r>
        <w:rPr>
          <w:szCs w:val="20"/>
        </w:rPr>
        <w:t xml:space="preserve">The sensitivity test for the number of subgraphs contacted in SC1, the subgraph density α, and the threshold </w:t>
      </w:r>
      <m:oMath>
        <m:r>
          <m:rPr>
            <m:sty m:val="p"/>
          </m:rPr>
          <w:rPr>
            <w:rFonts w:ascii="Cambria Math" w:hAnsi="Cambria Math"/>
            <w:szCs w:val="20"/>
          </w:rPr>
          <m:t>β</m:t>
        </m:r>
      </m:oMath>
      <w:r>
        <w:rPr>
          <w:szCs w:val="20"/>
        </w:rPr>
        <w:t xml:space="preserve"> in SC2 is conducted. The accuracy and the number of classifications according to the value of each hyperparameter in the situation where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 1000. In order to visualize the difference in performance, the Fashion MNIST dataset</w:t>
      </w:r>
      <w:r>
        <w:rPr>
          <w:szCs w:val="20"/>
        </w:rPr>
        <w:t>,</w:t>
      </w:r>
      <w:r>
        <w:rPr>
          <w:szCs w:val="20"/>
        </w:rPr>
        <w:t xml:space="preserve"> which has lower accuracy than MNIST was checked. </w:t>
      </w:r>
    </w:p>
    <w:p>
      <w:pPr>
        <w:autoSpaceDE/>
        <w:autoSpaceDN/>
        <w:widowControl/>
        <w:wordWrap/>
        <w:rPr>
          <w:szCs w:val="20"/>
        </w:rPr>
      </w:pPr>
      <w:r>
        <w:drawing>
          <wp:inline distT="0" distB="0" distL="180" distR="180">
            <wp:extent cx="5715000" cy="1590675"/>
            <wp:effectExtent l="0" t="0" r="0" b="0"/>
            <wp:docPr id="1030" name="shape103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5715000" cy="1590675"/>
                    </a:xfrm>
                    <a:prstGeom prst="rect"/>
                    <a:noFill/>
                    <a:ln>
                      <a:noFill/>
                    </a:ln>
                  </pic:spPr>
                </pic:pic>
              </a:graphicData>
            </a:graphic>
          </wp:inline>
        </w:drawing>
      </w:r>
    </w:p>
    <w:p>
      <w:pPr>
        <w:autoSpaceDE/>
        <w:autoSpaceDN/>
        <w:widowControl/>
        <w:wordWrap/>
        <w:jc w:val="center"/>
        <w:rPr>
          <w:szCs w:val="20"/>
        </w:rPr>
      </w:pPr>
      <w:r>
        <w:rPr>
          <w:rFonts w:hint="eastAsia"/>
          <w:szCs w:val="20"/>
        </w:rPr>
        <w:t>[F</w:t>
      </w:r>
      <w:r>
        <w:rPr>
          <w:szCs w:val="20"/>
        </w:rPr>
        <w:t>igure 3. SC1</w:t>
      </w:r>
      <w:r>
        <w:rPr>
          <w:rFonts w:hint="eastAsia"/>
          <w:szCs w:val="20"/>
        </w:rPr>
        <w:t xml:space="preserve"> </w:t>
      </w:r>
      <w:r>
        <w:rPr>
          <w:szCs w:val="20"/>
        </w:rPr>
        <w:t>Sensitive test</w:t>
      </w:r>
      <w:r>
        <w:rPr>
          <w:szCs w:val="20"/>
        </w:rPr>
        <w:t xml:space="preserve"> when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 1000,</w:t>
      </w:r>
      <w:r>
        <w:rPr>
          <w:rFonts w:ascii="Cambria Math" w:eastAsiaTheme="minorHAnsi" w:hAnsi="Cambria Math"/>
          <w:i/>
          <w:szCs w:val="20"/>
        </w:rPr>
        <w:t xml:space="preserve"> </w:t>
      </w:r>
      <m:oMath>
        <m:r>
          <w:rPr>
            <w:rFonts w:ascii="Cambria Math" w:eastAsiaTheme="minorHAnsi" w:hAnsi="Cambria Math"/>
            <w:szCs w:val="20"/>
          </w:rPr>
          <m:t>P</m:t>
        </m:r>
      </m:oMath>
      <w:r>
        <w:rPr>
          <w:szCs w:val="20"/>
        </w:rPr>
        <w:t xml:space="preserve"> = 1</w:t>
      </w:r>
      <w:r>
        <w:rPr>
          <w:szCs w:val="20"/>
        </w:rPr>
        <w:t>]</w:t>
      </w:r>
    </w:p>
    <w:p>
      <w:pPr>
        <w:autoSpaceDE/>
        <w:autoSpaceDN/>
        <w:widowControl/>
        <w:wordWrap/>
        <w:rPr>
          <w:lang/>
          <w:szCs w:val="20"/>
          <w:rtl w:val="off"/>
        </w:rPr>
      </w:pPr>
      <w:r>
        <w:drawing>
          <wp:anchor distT="0" distB="0" distL="114300" distR="114300" behindDoc="0" locked="0" layoutInCell="1" simplePos="0" relativeHeight="251660288" allowOverlap="1" hidden="0">
            <wp:simplePos x="0" y="0"/>
            <wp:positionH relativeFrom="column">
              <wp:posOffset>1200467</wp:posOffset>
            </wp:positionH>
            <wp:positionV relativeFrom="paragraph">
              <wp:posOffset>2070834</wp:posOffset>
            </wp:positionV>
            <wp:extent cx="3495675" cy="2035175"/>
            <wp:effectExtent l="0" t="0" r="0" b="0"/>
            <wp:wrapTopAndBottom/>
            <wp:docPr id="1031" name="shape103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4">
                      <a:extLst>
                        <a:ext uri="{28A0092B-C50C-407E-A947-70E740481C1C}">
                          <a14:useLocalDpi xmlns:a14="http://schemas.microsoft.com/office/drawing/2010/main" val="0"/>
                        </a:ext>
                      </a:extLst>
                    </a:blip>
                    <a:srcRect/>
                    <a:stretch>
                      <a:fillRect/>
                    </a:stretch>
                  </pic:blipFill>
                  <pic:spPr>
                    <a:xfrm>
                      <a:off x="0" y="0"/>
                      <a:ext cx="3495675" cy="2035175"/>
                    </a:xfrm>
                    <a:prstGeom prst="rect"/>
                    <a:noFill/>
                    <a:ln>
                      <a:noFill/>
                    </a:ln>
                  </pic:spPr>
                </pic:pic>
              </a:graphicData>
            </a:graphic>
          </wp:anchor>
        </w:drawing>
      </w:r>
      <w:r>
        <w:rPr>
          <w:rFonts w:hint="eastAsia"/>
          <w:szCs w:val="20"/>
        </w:rPr>
        <w:t xml:space="preserve"> </w:t>
      </w:r>
      <w:r>
        <w:rPr>
          <w:szCs w:val="20"/>
        </w:rPr>
        <w:t xml:space="preserve">When SC1 was applied with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 1000 and P = 1 on the Fashion MNIST dataset without additional constraints,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xml:space="preserve"> </m:t>
        </m:r>
      </m:oMath>
      <w:r>
        <w:rPr>
          <w:szCs w:val="20"/>
        </w:rPr>
        <w:t xml:space="preserve">was 5131 and the accuracy reached 97.3%. As M was added as a limiting condition,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xml:space="preserve"> </m:t>
        </m:r>
      </m:oMath>
      <w:r>
        <w:rPr>
          <w:szCs w:val="20"/>
        </w:rPr>
        <w:t xml:space="preserve">decreased, and accuracy showed an increasing trend. However, when M=6,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xml:space="preserve"> </m:t>
        </m:r>
      </m:oMath>
      <w:r>
        <w:rPr>
          <w:szCs w:val="20"/>
        </w:rPr>
        <w:t>reduced by 1,616</w:t>
      </w:r>
      <w:r>
        <w:rPr>
          <w:szCs w:val="20"/>
        </w:rPr>
        <w:t>,</w:t>
      </w:r>
      <w:r>
        <w:rPr>
          <w:szCs w:val="20"/>
        </w:rPr>
        <w:t xml:space="preserve"> but the accuracy increased just 0.4%. The M-limiting condition does not have a significant </w:t>
      </w:r>
      <w:r>
        <w:rPr>
          <w:szCs w:val="20"/>
        </w:rPr>
        <w:t xml:space="preserve">effect on accuracy compared to the decrease in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Pr>
          <w:szCs w:val="20"/>
        </w:rPr>
        <w:t xml:space="preserve">. Subgraph's Density α is similar. Accuracy improves with the addition of the α condition, but the reduction amount of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xml:space="preserve"> </m:t>
        </m:r>
      </m:oMath>
      <w:r>
        <w:rPr>
          <w:szCs w:val="20"/>
        </w:rPr>
        <w:t xml:space="preserve">increases exponentially. Even until </w:t>
      </w:r>
      <m:oMath>
        <m:r>
          <m:rPr>
            <m:sty m:val="p"/>
          </m:rPr>
          <w:rPr>
            <w:rFonts w:ascii="Cambria Math" w:hAnsi="Cambria Math"/>
            <w:szCs w:val="20"/>
          </w:rPr>
          <m:t>α</m:t>
        </m:r>
      </m:oMath>
      <w:r>
        <w:rPr>
          <w:szCs w:val="20"/>
        </w:rPr>
        <w:t xml:space="preserve"> =0.8 where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Pr>
          <w:szCs w:val="20"/>
        </w:rPr>
        <w:t xml:space="preserve"> is gradually reduced,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Pr>
          <w:szCs w:val="20"/>
        </w:rPr>
        <w:t xml:space="preserve"> decreases about 800 in increasing accuracy by 1%. </w:t>
      </w:r>
    </w:p>
    <w:p>
      <w:pPr>
        <w:autoSpaceDE/>
        <w:autoSpaceDN/>
        <w:widowControl/>
        <w:wordWrap/>
        <w:jc w:val="center"/>
        <w:rPr>
          <w:szCs w:val="20"/>
        </w:rPr>
      </w:pPr>
      <w:r>
        <w:rPr>
          <w:lang w:val="en-US" w:eastAsia="ko-KR" w:bidi="ar-SA"/>
          <w:sz w:val="20"/>
          <w:szCs w:val="20"/>
          <w:kern w:val="1"/>
          <w:snapToGrid/>
          <w:spacing w:val="0"/>
          <w:rtl w:val="off"/>
        </w:rPr>
        <w:t>[</w:t>
      </w:r>
      <w:r>
        <w:rPr>
          <w:lang w:val="en-US" w:eastAsia="ko-KR" w:bidi="ar-SA"/>
          <w:sz w:val="20"/>
          <w:szCs w:val="20"/>
          <w:kern w:val="1"/>
          <w:snapToGrid/>
          <w:spacing w:val="0"/>
          <w:rtl w:val="off"/>
        </w:rPr>
        <w:t>F</w:t>
      </w:r>
      <w:r>
        <w:rPr>
          <w:lang w:val="en-US" w:eastAsia="ko-KR" w:bidi="ar-SA"/>
          <w:sz w:val="20"/>
          <w:szCs w:val="20"/>
          <w:kern w:val="1"/>
          <w:snapToGrid/>
          <w:spacing w:val="0"/>
          <w:rtl w:val="off"/>
        </w:rPr>
        <w:t>igure 4</w:t>
      </w:r>
      <w:r>
        <w:rPr>
          <w:lang w:val="en-US" w:eastAsia="ko-KR" w:bidi="ar-SA"/>
          <w:sz w:val="20"/>
          <w:szCs w:val="20"/>
          <w:kern w:val="1"/>
          <w:snapToGrid/>
          <w:spacing w:val="0"/>
          <w:rtl w:val="off"/>
        </w:rPr>
        <w:t xml:space="preserve">. Accurancy of </w:t>
      </w:r>
      <w:r>
        <w:rPr>
          <w:szCs w:val="20"/>
        </w:rPr>
        <w:t>SC1 when</w:t>
      </w:r>
      <w:r>
        <w:rPr>
          <w:lang w:val="en-US" w:eastAsia="ko-KR" w:bidi="ar-SA"/>
          <w:sz w:val="20"/>
          <w:szCs w:val="20"/>
          <w:kern w:val="1"/>
          <w:snapToGrid/>
          <w:spacing w:val="0"/>
          <w:rtl w:val="off"/>
        </w:rPr>
        <w:t xml:space="preserve"> </w:t>
      </w:r>
      <m:oMath>
        <m:sSub>
          <m:sSubPr>
            <m:ctrlPr>
              <w:rPr>
                <w:lang w:val="en-US" w:eastAsia="ko-KR" w:bidi="ar-SA"/>
                <w:sz w:val="20"/>
                <w:szCs w:val="22"/>
                <w:kern w:val="1"/>
                <w:snapToGrid/>
                <w:spacing w:val="0"/>
                <w:rtl w:val="off"/>
              </w:rPr>
            </m:ctrlPr>
          </m:sSubPr>
          <m:e>
            <m:r>
              <m:rPr>
                <m:scr m:val="roman"/>
                <m:sty m:val="i"/>
              </m:rPr>
              <w:rPr>
                <w:lang w:val="en-US" w:eastAsia="ko-KR" w:bidi="ar-SA"/>
                <w:rFonts w:ascii="Cambria Math" w:eastAsia="Cambria Math"/>
                <w:i/>
                <w:sz w:val="20"/>
                <w:szCs w:val="20"/>
                <w:kern w:val="1"/>
                <w:snapToGrid/>
                <w:spacing w:val="0"/>
                <w:rtl w:val="off"/>
              </w:rPr>
              <m:t>N</m:t>
            </m:r>
          </m:e>
          <m:sub>
            <m:r>
              <m:rPr>
                <m:scr m:val="roman"/>
                <m:sty m:val="i"/>
              </m:rPr>
              <w:rPr>
                <w:lang w:val="en-US" w:eastAsia="ko-KR" w:bidi="ar-SA"/>
                <w:rFonts w:ascii="Cambria Math" w:eastAsia="Cambria Math"/>
                <w:i/>
                <w:sz w:val="20"/>
                <w:szCs w:val="20"/>
                <w:kern w:val="1"/>
                <w:snapToGrid/>
                <w:spacing w:val="0"/>
                <w:rtl w:val="off"/>
              </w:rPr>
              <m:t>l</m:t>
            </m:r>
          </m:sub>
        </m:sSub>
      </m:oMath>
      <w:r>
        <w:rPr>
          <w:lang w:val="en-US" w:eastAsia="ko-KR" w:bidi="ar-SA"/>
          <w:sz w:val="20"/>
          <w:szCs w:val="20"/>
          <w:kern w:val="1"/>
          <w:snapToGrid/>
          <w:spacing w:val="0"/>
          <w:rtl w:val="off"/>
        </w:rPr>
        <w:t xml:space="preserve"> </w:t>
      </w:r>
      <w:r>
        <w:rPr>
          <w:lang w:val="en-US" w:eastAsia="ko-KR" w:bidi="ar-SA"/>
          <w:sz w:val="20"/>
          <w:szCs w:val="20"/>
          <w:kern w:val="1"/>
          <w:snapToGrid/>
          <w:spacing w:val="0"/>
          <w:rtl w:val="off"/>
        </w:rPr>
        <w:t xml:space="preserve">= 1000, </w:t>
      </w:r>
      <m:oMath>
        <m:r>
          <m:rPr>
            <m:scr m:val="roman"/>
            <m:sty m:val="i"/>
          </m:rPr>
          <w:rPr>
            <w:lang w:val="en-US" w:eastAsia="ko-KR" w:bidi="ar-SA"/>
            <w:rFonts w:ascii="Cambria Math" w:eastAsia="Cambria Math" w:hAnsi="Cambria Math"/>
            <w:i/>
            <w:sz w:val="20"/>
            <w:szCs w:val="20"/>
            <w:kern w:val="1"/>
            <w:snapToGrid/>
            <w:spacing w:val="0"/>
            <w:rtl w:val="off"/>
          </w:rPr>
          <m:t>|</m:t>
        </m:r>
        <m:r>
          <m:rPr>
            <m:scr m:val="roman"/>
            <m:sty m:val="i"/>
          </m:rPr>
          <w:rPr>
            <w:lang w:val="en-US" w:eastAsia="ko-KR" w:bidi="ar-SA"/>
            <w:rFonts w:ascii="Cambria Math" w:eastAsia="Cambria Math" w:hAnsi="Cambria Math"/>
            <w:i/>
            <w:sz w:val="20"/>
            <w:szCs w:val="20"/>
            <w:kern w:val="1"/>
            <w:snapToGrid/>
            <w:spacing w:val="0"/>
            <w:rtl w:val="off"/>
          </w:rPr>
          <m:t>S</m:t>
        </m:r>
        <m:r>
          <m:rPr>
            <m:scr m:val="roman"/>
            <m:sty m:val="i"/>
          </m:rPr>
          <w:rPr>
            <w:lang w:val="en-US" w:eastAsia="ko-KR" w:bidi="ar-SA"/>
            <w:rFonts w:ascii="Cambria Math" w:eastAsia="Cambria Math" w:hAnsi="Cambria Math"/>
            <w:i/>
            <w:sz w:val="20"/>
            <w:szCs w:val="20"/>
            <w:kern w:val="1"/>
            <w:snapToGrid/>
            <w:spacing w:val="0"/>
            <w:rtl w:val="off"/>
          </w:rPr>
          <m:t>|</m:t>
        </m:r>
      </m:oMath>
      <w:r>
        <w:rPr>
          <w:lang w:val="en-US" w:eastAsia="ko-KR" w:bidi="ar-SA"/>
          <w:sz w:val="20"/>
          <w:szCs w:val="20"/>
          <w:kern w:val="1"/>
          <w:snapToGrid/>
          <w:spacing w:val="0"/>
          <w:rtl w:val="off"/>
        </w:rPr>
        <w:t xml:space="preserve"> </w:t>
      </w:r>
      <w:r>
        <w:rPr>
          <w:lang w:val="en-US" w:eastAsia="ko-KR" w:bidi="ar-SA"/>
          <w:sz w:val="20"/>
          <w:szCs w:val="20"/>
          <w:kern w:val="1"/>
          <w:snapToGrid/>
          <w:spacing w:val="0"/>
          <w:rtl w:val="off"/>
        </w:rPr>
        <w:t>= 50,</w:t>
      </w:r>
      <w:r>
        <w:rPr>
          <w:lang w:val="en-US" w:eastAsia="ko-KR" w:bidi="ar-SA"/>
          <w:rFonts w:ascii="Cambria Math" w:eastAsia="Cambria Math"/>
          <w:i/>
          <w:sz w:val="20"/>
          <w:szCs w:val="20"/>
          <w:kern w:val="1"/>
          <w:snapToGrid/>
          <w:spacing w:val="0"/>
          <w:rtl w:val="off"/>
        </w:rPr>
        <w:t xml:space="preserve"> </w:t>
      </w:r>
      <m:oMath>
        <m:r>
          <m:rPr>
            <m:scr m:val="roman"/>
            <m:sty m:val="i"/>
          </m:rPr>
          <w:rPr>
            <w:lang w:val="en-US" w:eastAsia="ko-KR" w:bidi="ar-SA"/>
            <w:rFonts w:ascii="Cambria Math" w:eastAsia="Cambria Math"/>
            <w:i/>
            <w:sz w:val="20"/>
            <w:szCs w:val="20"/>
            <w:kern w:val="1"/>
            <w:snapToGrid/>
            <w:spacing w:val="0"/>
            <w:rtl w:val="off"/>
          </w:rPr>
          <m:t>P</m:t>
        </m:r>
      </m:oMath>
      <w:r>
        <w:rPr>
          <w:lang w:val="en-US" w:eastAsia="ko-KR" w:bidi="ar-SA"/>
          <w:sz w:val="20"/>
          <w:szCs w:val="20"/>
          <w:kern w:val="1"/>
          <w:snapToGrid/>
          <w:spacing w:val="0"/>
          <w:rtl w:val="off"/>
        </w:rPr>
        <w:t xml:space="preserve"> = 20</w:t>
      </w:r>
      <w:r>
        <w:rPr>
          <w:lang w:val="en-US" w:eastAsia="ko-KR" w:bidi="ar-SA"/>
          <w:sz w:val="20"/>
          <w:szCs w:val="20"/>
          <w:kern w:val="1"/>
          <w:snapToGrid/>
          <w:spacing w:val="0"/>
          <w:rtl w:val="off"/>
        </w:rPr>
        <w:t>]</w:t>
      </w:r>
    </w:p>
    <w:p>
      <w:pPr>
        <w:ind w:firstLineChars="50" w:firstLine="100"/>
        <w:autoSpaceDE/>
        <w:autoSpaceDN/>
        <w:widowControl/>
        <w:wordWrap/>
        <w:rPr>
          <w:szCs w:val="20"/>
        </w:rPr>
      </w:pPr>
      <w:r>
        <w:rPr>
          <w:lang w:val="en-US" w:eastAsia="ko-KR" w:bidi="ar-SA"/>
          <w:sz w:val="20"/>
          <w:szCs w:val="20"/>
          <w:kern w:val="1"/>
          <w:snapToGrid/>
          <w:spacing w:val="0"/>
          <w:rtl w:val="off"/>
        </w:rPr>
        <w:t xml:space="preserve">Furthermore, the conditions for M and </w:t>
      </w:r>
      <m:oMath>
        <m:r>
          <m:rPr>
            <m:scr m:val="roman"/>
            <m:sty m:val="p"/>
          </m:rPr>
          <w:rPr>
            <w:lang w:val="en-US" w:eastAsia="ko-KR" w:bidi="ar-SA"/>
            <w:rFonts w:ascii="Cambria Math" w:eastAsia="Cambria Math" w:hAnsi="Cambria Math"/>
            <w:sz w:val="20"/>
            <w:szCs w:val="20"/>
            <w:kern w:val="1"/>
            <w:snapToGrid/>
            <w:spacing w:val="0"/>
            <w:rtl w:val="off"/>
          </w:rPr>
          <m:t>α</m:t>
        </m:r>
      </m:oMath>
      <w:r>
        <w:rPr>
          <w:lang w:val="en-US" w:eastAsia="ko-KR" w:bidi="ar-SA"/>
          <w:sz w:val="20"/>
          <w:szCs w:val="20"/>
          <w:kern w:val="1"/>
          <w:snapToGrid/>
          <w:spacing w:val="0"/>
          <w:rtl w:val="off"/>
        </w:rPr>
        <w:t xml:space="preserve"> do not completely prevent CS1 errors that occur with low probability. In CS1, when sampling size </w:t>
      </w:r>
      <m:oMath>
        <m:r>
          <m:rPr>
            <m:scr m:val="roman"/>
            <m:sty m:val="i"/>
          </m:rPr>
          <w:rPr>
            <w:lang w:val="en-US" w:eastAsia="ko-KR" w:bidi="ar-SA"/>
            <w:rFonts w:ascii="Cambria Math" w:eastAsia="Cambria Math" w:hAnsi="Cambria Math"/>
            <w:i/>
            <w:sz w:val="20"/>
            <w:szCs w:val="20"/>
            <w:kern w:val="1"/>
            <w:snapToGrid/>
            <w:spacing w:val="0"/>
            <w:rtl w:val="off"/>
          </w:rPr>
          <m:t>|</m:t>
        </m:r>
        <m:sSup>
          <m:sSupPr>
            <m:ctrlPr>
              <w:rPr>
                <w:lang w:val="en-US" w:eastAsia="ko-KR" w:bidi="ar-SA"/>
                <w:sz w:val="20"/>
                <w:szCs w:val="22"/>
                <w:kern w:val="1"/>
                <w:snapToGrid/>
                <w:spacing w:val="0"/>
                <w:rtl w:val="off"/>
              </w:rPr>
            </m:ctrlPr>
          </m:sSupPr>
          <m:e>
            <m:r>
              <m:rPr>
                <m:scr m:val="roman"/>
                <m:sty m:val="i"/>
              </m:rPr>
              <w:rPr>
                <w:lang w:val="en-US" w:eastAsia="ko-KR" w:bidi="ar-SA"/>
                <w:rFonts w:ascii="Cambria Math" w:eastAsia="Cambria Math" w:hAnsi="Cambria Math"/>
                <w:i/>
                <w:sz w:val="20"/>
                <w:szCs w:val="20"/>
                <w:kern w:val="1"/>
                <w:snapToGrid/>
                <w:spacing w:val="0"/>
                <w:rtl w:val="off"/>
              </w:rPr>
              <m:t>S</m:t>
            </m:r>
          </m:e>
          <m:sup>
            <m:r>
              <m:rPr>
                <m:scr m:val="roman"/>
                <m:sty m:val="i"/>
              </m:rPr>
              <w:rPr>
                <w:lang w:val="en-US" w:eastAsia="ko-KR" w:bidi="ar-SA"/>
                <w:rFonts w:ascii="Cambria Math" w:eastAsia="Cambria Math" w:hAnsi="Cambria Math"/>
                <w:i/>
                <w:sz w:val="20"/>
                <w:szCs w:val="20"/>
                <w:kern w:val="1"/>
                <w:snapToGrid/>
                <w:spacing w:val="0"/>
                <w:rtl w:val="off"/>
              </w:rPr>
              <m:t>i</m:t>
            </m:r>
          </m:sup>
        </m:sSup>
        <m:r>
          <m:rPr>
            <m:scr m:val="roman"/>
            <m:sty m:val="i"/>
          </m:rPr>
          <w:rPr>
            <w:lang w:val="en-US" w:eastAsia="ko-KR" w:bidi="ar-SA"/>
            <w:rFonts w:ascii="Cambria Math" w:eastAsia="Cambria Math" w:hAnsi="Cambria Math"/>
            <w:i/>
            <w:sz w:val="20"/>
            <w:szCs w:val="20"/>
            <w:kern w:val="1"/>
            <w:snapToGrid/>
            <w:spacing w:val="0"/>
            <w:rtl w:val="off"/>
          </w:rPr>
          <m:t>|</m:t>
        </m:r>
      </m:oMath>
      <w:r>
        <w:rPr>
          <w:lang w:val="en-US" w:eastAsia="ko-KR" w:bidi="ar-SA"/>
          <w:sz w:val="20"/>
          <w:szCs w:val="20"/>
          <w:kern w:val="1"/>
          <w:snapToGrid/>
          <w:spacing w:val="0"/>
          <w:rtl w:val="off"/>
        </w:rPr>
        <w:t xml:space="preserve"> for each session is set small, there is a case where the central class of the subgraph encountered is the same even though it is not the center of a specific class by chance. Through Figure 4, it can be confirmed that the accuracy between 1st and 5th period suddenly decreases. When the mi α condition is added, the effect depends on the situation. The fundamental problem of the above phenomenon is the insufficient performance of the representation learning method. If clustering, which is completely divided according to each class, is not possible, multiple classes may be mapped to the same low-dimensional area. A place where several class data are aggregated may have a high density even at the boundary. That is, even if the α condition is strengthened as shown in Figure 5, the accuracy may decrease. On the one hand, even if several classes are united, it is difficult to satisfy the conditions of CS1. However, the number of subgraphs encountered is at most eight on two dimensions. That is, there is a possibility that all center of subgraphs ui which is not representing the subgraph's data sampled by chance are the same. The possibility can be reduced by adding the number M of subgraphs encountered as a condition, but it is not a perfect solution. This can be confirmed through the trend of accuracy change for 1st and 5th period in Figure 5. In addition to improving the performance of representation learning, it is also a method to reduce the size of radius δ by increasing the size of |Si|. As the size of δ decreases, the gap between subgraphs decreases, enabling more detailed class distinction. In addition, the number of subgraphs encountered increases, reducing the possibility of overlapping classes of subgraphs due to chance.</w:t>
      </w:r>
    </w:p>
    <w:p>
      <w:pPr>
        <w:autoSpaceDE/>
        <w:autoSpaceDN/>
        <w:widowControl/>
        <w:wordWrap/>
        <w:rPr>
          <w:szCs w:val="20"/>
        </w:rPr>
      </w:pPr>
    </w:p>
    <w:p>
      <w:pPr>
        <w:autoSpaceDE/>
        <w:autoSpaceDN/>
        <w:widowControl/>
        <w:wordWrap/>
        <w:jc w:val="center"/>
        <w:rPr>
          <w:lang/>
          <w:rFonts/>
          <w:szCs w:val="20"/>
          <w:rtl w:val="off"/>
        </w:rPr>
      </w:pPr>
      <w:r>
        <w:drawing>
          <wp:inline distT="0" distB="0" distL="180" distR="180">
            <wp:extent cx="5724525" cy="1543050"/>
            <wp:effectExtent l="0" t="0" r="0" b="0"/>
            <wp:docPr id="1032" name="shape103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5724525" cy="1543050"/>
                    </a:xfrm>
                    <a:prstGeom prst="rect"/>
                    <a:noFill/>
                    <a:ln>
                      <a:noFill/>
                    </a:ln>
                  </pic:spPr>
                </pic:pic>
              </a:graphicData>
            </a:graphic>
          </wp:inline>
        </w:drawing>
      </w:r>
    </w:p>
    <w:p>
      <w:pPr>
        <w:autoSpaceDE/>
        <w:autoSpaceDN/>
        <w:widowControl/>
        <w:wordWrap/>
        <w:jc w:val="center"/>
        <w:rPr>
          <w:szCs w:val="20"/>
        </w:rPr>
      </w:pPr>
      <w:r>
        <w:rPr>
          <w:rFonts w:hint="eastAsia"/>
          <w:szCs w:val="20"/>
        </w:rPr>
        <w:t>[F</w:t>
      </w:r>
      <w:r>
        <w:rPr>
          <w:szCs w:val="20"/>
        </w:rPr>
        <w:t xml:space="preserve">igure </w:t>
      </w:r>
      <w:r>
        <w:rPr>
          <w:lang w:eastAsia="ko-KR"/>
          <w:szCs w:val="20"/>
          <w:rtl w:val="off"/>
        </w:rPr>
        <w:t>5</w:t>
      </w:r>
      <w:r>
        <w:rPr>
          <w:szCs w:val="20"/>
        </w:rPr>
        <w:t xml:space="preserve">. </w:t>
      </w:r>
      <w:r>
        <w:rPr>
          <w:lang w:val="en-US" w:eastAsia="ko-KR" w:bidi="ar-SA"/>
          <w:sz w:val="20"/>
          <w:szCs w:val="20"/>
          <w:kern w:val="1"/>
          <w:snapToGrid/>
          <w:spacing w:val="0"/>
          <w:rtl w:val="off"/>
        </w:rPr>
        <w:t>Sensitive test of bad case in CS1]</w:t>
      </w:r>
    </w:p>
    <w:p>
      <w:pPr>
        <w:autoSpaceDE/>
        <w:autoSpaceDN/>
        <w:widowControl/>
        <w:wordWrap/>
        <w:rPr>
          <w:szCs w:val="20"/>
        </w:rPr>
      </w:pPr>
      <w:r>
        <w:rPr>
          <w:rFonts w:hint="eastAsia"/>
          <w:szCs w:val="20"/>
        </w:rPr>
        <w:t xml:space="preserve"> </w:t>
      </w:r>
      <w:r>
        <w:rPr>
          <w:szCs w:val="20"/>
        </w:rPr>
        <w:t xml:space="preserve">In addition, sensitive tests were conducted on MNIST, Fashion MNIST, and EMNIST to analyze the limiting condition of threshold </w:t>
      </w:r>
      <m:oMath>
        <m:r>
          <m:rPr>
            <m:sty m:val="p"/>
          </m:rPr>
          <w:rPr>
            <w:rFonts w:ascii="Cambria Math" w:hAnsi="Cambria Math"/>
            <w:szCs w:val="20"/>
          </w:rPr>
          <m:t>β</m:t>
        </m:r>
      </m:oMath>
      <w:r>
        <w:rPr>
          <w:szCs w:val="20"/>
        </w:rPr>
        <w:t xml:space="preserve"> in </w:t>
      </w:r>
      <w:r>
        <w:rPr>
          <w:szCs w:val="20"/>
        </w:rPr>
        <w:t>CS</w:t>
      </w:r>
      <w:r>
        <w:rPr>
          <w:szCs w:val="20"/>
        </w:rPr>
        <w:t xml:space="preserve">2. In all datasets,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CS2</m:t>
            </m:r>
          </m:sub>
        </m:sSub>
      </m:oMath>
      <w:r>
        <w:rPr>
          <w:szCs w:val="20"/>
        </w:rPr>
        <w:t xml:space="preserve">and accuracy have a tradeoff relationship. In MNIST and Fashion MNIST datasets with the same number of classes, the trend of change in accuracy with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CS2</m:t>
            </m:r>
          </m:sub>
        </m:sSub>
      </m:oMath>
      <w:r>
        <w:rPr>
          <w:szCs w:val="20"/>
        </w:rPr>
        <w:t xml:space="preserve"> according to </w:t>
      </w:r>
      <m:oMath>
        <m:r>
          <m:rPr>
            <m:sty m:val="p"/>
          </m:rPr>
          <w:rPr>
            <w:rFonts w:ascii="Cambria Math" w:hAnsi="Cambria Math"/>
            <w:szCs w:val="20"/>
          </w:rPr>
          <m:t>β</m:t>
        </m:r>
      </m:oMath>
      <w:r>
        <w:rPr>
          <w:szCs w:val="20"/>
        </w:rPr>
        <w:t xml:space="preserve"> is similar. Each part painted in red is a point with an accuracy of more than 95%. From this, it can be seen that </w:t>
      </w:r>
      <m:oMath>
        <m:r>
          <m:rPr>
            <m:sty m:val="p"/>
          </m:rPr>
          <w:rPr>
            <w:rFonts w:ascii="Cambria Math" w:hAnsi="Cambria Math"/>
            <w:szCs w:val="20"/>
          </w:rPr>
          <m:t>β</m:t>
        </m:r>
      </m:oMath>
      <w:r>
        <w:rPr>
          <w:szCs w:val="20"/>
        </w:rPr>
        <w:t xml:space="preserve"> is stricter than reflecting the probability that each specific value belongs to. However, the appropriate value of </w:t>
      </w:r>
      <m:oMath>
        <m:r>
          <m:rPr>
            <m:sty m:val="p"/>
          </m:rPr>
          <w:rPr>
            <w:rFonts w:ascii="Cambria Math" w:hAnsi="Cambria Math"/>
            <w:szCs w:val="20"/>
          </w:rPr>
          <m:t>β</m:t>
        </m:r>
      </m:oMath>
      <w:r>
        <w:rPr>
          <w:szCs w:val="20"/>
        </w:rPr>
        <w:t xml:space="preserve"> varies for each data set. Considering the results of Table 1, it seems to depend on how well the CAE reflects the information of each dataset.</w:t>
      </w:r>
    </w:p>
    <w:p>
      <w:pPr>
        <w:autoSpaceDE/>
        <w:autoSpaceDN/>
        <w:widowControl/>
        <w:wordWrap/>
        <w:rPr>
          <w:szCs w:val="20"/>
        </w:rPr>
      </w:pPr>
      <w:r>
        <w:drawing>
          <wp:inline distT="0" distB="0" distL="180" distR="180">
            <wp:extent cx="5724525" cy="1876425"/>
            <wp:effectExtent l="0" t="0" r="0" b="0"/>
            <wp:docPr id="1033" name="shape103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5724525" cy="1876425"/>
                    </a:xfrm>
                    <a:prstGeom prst="rect"/>
                    <a:noFill/>
                    <a:ln>
                      <a:noFill/>
                    </a:ln>
                  </pic:spPr>
                </pic:pic>
              </a:graphicData>
            </a:graphic>
          </wp:inline>
        </w:drawing>
      </w:r>
      <w:r>
        <w:rPr>
          <w:rFonts w:hint="eastAsia"/>
          <w:szCs w:val="20"/>
        </w:rPr>
        <w:t xml:space="preserve"> </w:t>
      </w:r>
    </w:p>
    <w:p>
      <w:pPr>
        <w:autoSpaceDE/>
        <w:autoSpaceDN/>
        <w:widowControl/>
        <w:wordWrap/>
        <w:jc w:val="center"/>
        <w:rPr>
          <w:szCs w:val="20"/>
        </w:rPr>
      </w:pPr>
      <w:r>
        <w:rPr>
          <w:rFonts w:hint="eastAsia"/>
          <w:szCs w:val="20"/>
        </w:rPr>
        <w:t>[F</w:t>
      </w:r>
      <w:r>
        <w:rPr>
          <w:szCs w:val="20"/>
        </w:rPr>
        <w:t xml:space="preserve">igure </w:t>
      </w:r>
      <w:r>
        <w:rPr>
          <w:lang w:eastAsia="ko-KR"/>
          <w:szCs w:val="20"/>
          <w:rtl w:val="off"/>
        </w:rPr>
        <w:t>6</w:t>
      </w:r>
      <w:r>
        <w:rPr>
          <w:szCs w:val="20"/>
        </w:rPr>
        <w:t>. SC2</w:t>
      </w:r>
      <w:r>
        <w:rPr>
          <w:rFonts w:hint="eastAsia"/>
          <w:szCs w:val="20"/>
        </w:rPr>
        <w:t xml:space="preserve"> </w:t>
      </w:r>
      <w:r>
        <w:rPr>
          <w:szCs w:val="20"/>
        </w:rPr>
        <w:t>Sensitive test</w:t>
      </w:r>
      <w:r>
        <w:rPr>
          <w:szCs w:val="20"/>
        </w:rPr>
        <w:t xml:space="preserve"> in </w:t>
      </w:r>
      <m:oMath>
        <m:r>
          <w:rPr>
            <w:rFonts w:ascii="Cambria Math" w:hAnsi="Cambria Math"/>
            <w:szCs w:val="20"/>
          </w:rPr>
          <m:t>MNIST, Fashion</m:t>
        </m:r>
        <m:r>
          <w:rPr>
            <w:lang w:eastAsia="ko-KR"/>
            <w:rFonts w:ascii="Cambria Math" w:hAnsi="Cambria Math"/>
            <w:szCs w:val="20"/>
            <w:rtl w:val="off"/>
          </w:rPr>
          <m:t xml:space="preserve"> MN</m:t>
        </m:r>
        <m:r>
          <w:rPr>
            <w:rFonts w:ascii="Cambria Math" w:hAnsi="Cambria Math"/>
            <w:szCs w:val="20"/>
          </w:rPr>
          <m:t>IST, EMNIST</m:t>
        </m:r>
      </m:oMath>
      <w:r>
        <w:rPr>
          <w:szCs w:val="20"/>
        </w:rPr>
        <w:t>]</w:t>
      </w:r>
    </w:p>
    <w:p>
      <w:pPr>
        <w:ind w:firstLineChars="100" w:firstLine="200"/>
        <w:autoSpaceDE/>
        <w:autoSpaceDN/>
        <w:widowControl/>
        <w:wordWrap/>
        <w:rPr>
          <w:szCs w:val="20"/>
        </w:rPr>
      </w:pPr>
      <w:r>
        <w:rPr>
          <w:szCs w:val="20"/>
        </w:rPr>
        <w:t xml:space="preserve">The appropriate </w:t>
      </w:r>
      <m:oMath>
        <m:r>
          <m:rPr>
            <m:sty m:val="p"/>
          </m:rPr>
          <w:rPr>
            <w:rFonts w:ascii="Cambria Math" w:hAnsi="Cambria Math"/>
            <w:szCs w:val="20"/>
          </w:rPr>
          <m:t>β</m:t>
        </m:r>
      </m:oMath>
      <w:r>
        <w:rPr>
          <w:szCs w:val="20"/>
        </w:rPr>
        <w:t xml:space="preserve"> is influenced by the number of iterations and the number of classes. As the number of Iterations increases, the probability of the class to which it belongs will increase as the subgraph information of the periphery continues to be reflected. On the other hand, in the case of EMNIST, it can be confirmed that the appropriate </w:t>
      </w:r>
      <m:oMath>
        <m:r>
          <m:rPr>
            <m:sty m:val="p"/>
          </m:rPr>
          <w:rPr>
            <w:rFonts w:ascii="Cambria Math" w:hAnsi="Cambria Math"/>
            <w:szCs w:val="20"/>
          </w:rPr>
          <m:t>β</m:t>
        </m:r>
      </m:oMath>
      <w:r>
        <w:rPr>
          <w:szCs w:val="20"/>
        </w:rPr>
        <w:t xml:space="preserve"> decreases significantly as the number of classes increases. This is because classes that have never been counted in obtaining the large probability proportion of </w:t>
      </w:r>
      <w:r>
        <w:rPr>
          <w:szCs w:val="20"/>
        </w:rPr>
        <w:t>SoftMax</w:t>
      </w:r>
      <w:r>
        <w:rPr>
          <w:szCs w:val="20"/>
        </w:rPr>
        <w:t xml:space="preserve">. For example, in a dataset with a total of 10 classes, there is a data belonging to class 1. When the data belongs to </w:t>
      </w:r>
      <w:r>
        <w:rPr>
          <w:szCs w:val="20"/>
        </w:rPr>
        <w:t>c</w:t>
      </w:r>
      <w:r>
        <w:rPr>
          <w:szCs w:val="20"/>
        </w:rPr>
        <w:t>lass 1 subgraph only once, the probability of class 1 according to the CS2 method is</w:t>
      </w:r>
      <w:r>
        <w:rPr>
          <w:szCs w:val="20"/>
        </w:rPr>
        <w:t xml:space="preserve"> just</w:t>
      </w:r>
      <w:r>
        <w:rPr>
          <w:szCs w:val="20"/>
        </w:rPr>
        <w:t xml:space="preserve"> 23%. As the number of classes increases, the probability measured by the CS2 method become decrease further. It is necessary to take measures to generalize the </w:t>
      </w:r>
      <m:oMath>
        <m:r>
          <m:rPr>
            <m:sty m:val="p"/>
          </m:rPr>
          <w:rPr>
            <w:rFonts w:ascii="Cambria Math" w:hAnsi="Cambria Math"/>
            <w:szCs w:val="20"/>
          </w:rPr>
          <m:t>β</m:t>
        </m:r>
      </m:oMath>
      <w:r>
        <w:rPr>
          <w:szCs w:val="20"/>
        </w:rPr>
        <w:t xml:space="preserve"> for various datasets in the future</w:t>
      </w:r>
      <w:r>
        <w:rPr>
          <w:rFonts w:hint="eastAsia"/>
          <w:szCs w:val="20"/>
        </w:rPr>
        <w:t xml:space="preserve"> </w:t>
      </w:r>
    </w:p>
    <w:p>
      <w:pPr>
        <w:autoSpaceDE/>
        <w:autoSpaceDN/>
        <w:widowControl/>
        <w:wordWrap/>
        <w:rPr>
          <w:szCs w:val="20"/>
        </w:rPr>
      </w:pPr>
      <w:r>
        <w:rPr>
          <w:rFonts w:hint="eastAsia"/>
          <w:szCs w:val="20"/>
        </w:rPr>
        <w:t>4</w:t>
      </w:r>
      <w:r>
        <w:rPr>
          <w:szCs w:val="20"/>
        </w:rPr>
        <w:t xml:space="preserve">-4) </w:t>
      </w:r>
      <w:r>
        <w:rPr>
          <w:rFonts w:hint="eastAsia"/>
          <w:szCs w:val="20"/>
        </w:rPr>
        <w:t>L</w:t>
      </w:r>
      <w:r>
        <w:rPr>
          <w:szCs w:val="20"/>
        </w:rPr>
        <w:t>imitation</w:t>
      </w:r>
      <w:r>
        <w:rPr>
          <w:rFonts w:hint="eastAsia"/>
          <w:szCs w:val="20"/>
        </w:rPr>
        <w:t xml:space="preserve"> </w:t>
      </w:r>
    </w:p>
    <w:p>
      <w:pPr>
        <w:autoSpaceDE/>
        <w:autoSpaceDN/>
        <w:widowControl/>
        <w:wordWrap/>
        <w:rPr>
          <w:szCs w:val="20"/>
        </w:rPr>
      </w:pPr>
      <w:r>
        <w:rPr>
          <w:rFonts w:hint="eastAsia"/>
          <w:szCs w:val="20"/>
        </w:rPr>
        <w:t xml:space="preserve"> </w:t>
      </w:r>
      <w:r>
        <w:rPr>
          <w:szCs w:val="20"/>
        </w:rPr>
        <w:t>The accuracy for test dataset become poor when using pseudo labeled data with higher accuracy than 99% via CS1 and CS2 for learning 13 CNN models on the MNIST.</w:t>
      </w:r>
    </w:p>
    <w:tbl>
      <w:tblPr>
        <w:tblStyle w:val="a7"/>
        <w:tblW w:w="0" w:type="auto"/>
        <w:tblBorders>
          <w:left w:val="none"/>
          <w:right w:val="none"/>
          <w:insideH w:val="none"/>
          <w:insideV w:val="none"/>
        </w:tblBorders>
        <w:tblLook w:val="04A0" w:firstRow="1" w:lastRow="0" w:firstColumn="1" w:lastColumn="0" w:noHBand="0" w:noVBand="1"/>
      </w:tblPr>
      <w:tblGrid>
        <w:gridCol w:w="1560"/>
        <w:gridCol w:w="1080"/>
        <w:gridCol w:w="1328"/>
        <w:gridCol w:w="1183"/>
        <w:gridCol w:w="1288"/>
        <w:gridCol w:w="1288"/>
        <w:gridCol w:w="1288"/>
      </w:tblGrid>
      <w:tr>
        <w:tc>
          <w:tcPr>
            <w:tcW w:w="1560" w:type="dxa"/>
            <w:tcBorders>
              <w:top w:val="single" w:sz="4" w:space="0" w:color="auto"/>
              <w:bottom w:val="single" w:sz="4" w:space="0" w:color="auto"/>
              <w:right w:val="single" w:sz="4" w:space="0" w:color="auto"/>
            </w:tcBorders>
          </w:tcPr>
          <w:p>
            <w:pPr>
              <w:autoSpaceDE/>
              <w:autoSpaceDN/>
              <w:widowControl/>
              <w:wordWrap/>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oMath>
            <w:r>
              <w:rPr>
                <w:szCs w:val="20"/>
              </w:rPr>
              <w:t>|, P)</w:t>
            </w:r>
          </w:p>
        </w:tc>
        <w:tc>
          <w:tcPr>
            <w:tcW w:w="1080" w:type="dxa"/>
            <w:tcBorders>
              <w:top w:val="single" w:sz="4" w:space="0" w:color="auto"/>
              <w:left w:val="single" w:sz="4" w:space="0" w:color="auto"/>
              <w:bottom w:val="single" w:sz="4" w:space="0" w:color="auto"/>
            </w:tcBorders>
          </w:tcPr>
          <w:p>
            <w:pPr>
              <w:autoSpaceDE/>
              <w:autoSpaceDN/>
              <w:widowControl/>
              <w:wordWrap/>
              <w:jc w:val="center"/>
              <w:rPr>
                <w:szCs w:val="20"/>
              </w:rPr>
            </w:pPr>
            <w:r>
              <w:rPr>
                <w:szCs w:val="20"/>
              </w:rPr>
              <w:t xml:space="preserve">CS1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p>
        </w:tc>
        <w:tc>
          <w:tcPr>
            <w:tcW w:w="1328" w:type="dxa"/>
            <w:tcBorders>
              <w:top w:val="single" w:sz="4" w:space="0" w:color="auto"/>
              <w:bottom w:val="single" w:sz="4" w:space="0" w:color="auto"/>
            </w:tcBorders>
          </w:tcPr>
          <w:p>
            <w:pPr>
              <w:autoSpaceDE/>
              <w:autoSpaceDN/>
              <w:widowControl/>
              <w:wordWrap/>
              <w:jc w:val="center"/>
              <w:rPr>
                <w:szCs w:val="20"/>
              </w:rPr>
            </w:pPr>
            <w:r>
              <w:rPr>
                <w:szCs w:val="20"/>
              </w:rPr>
              <w:t xml:space="preserve">CS2 </w:t>
            </w:r>
            <m:oMath>
              <m:r>
                <w:rPr>
                  <w:rFonts w:ascii="Cambria Math"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oMath>
          </w:p>
        </w:tc>
        <w:tc>
          <w:tcPr>
            <w:tcW w:w="1183" w:type="dxa"/>
            <w:tcBorders>
              <w:top w:val="single" w:sz="4" w:space="0" w:color="auto"/>
              <w:bottom w:val="single" w:sz="4" w:space="0" w:color="auto"/>
            </w:tcBorders>
          </w:tcPr>
          <w:p>
            <w:pPr>
              <w:autoSpaceDE/>
              <w:autoSpaceDN/>
              <w:widowControl/>
              <w:wordWrap/>
              <w:jc w:val="center"/>
              <w:rPr>
                <w:szCs w:val="20"/>
              </w:rPr>
            </w:pPr>
            <w:r>
              <w:rPr>
                <w:rFonts w:hint="eastAsia"/>
                <w:szCs w:val="20"/>
              </w:rPr>
              <w:t>T</w:t>
            </w:r>
            <w:r>
              <w:rPr>
                <w:szCs w:val="20"/>
              </w:rPr>
              <w:t>otal Acc</w:t>
            </w:r>
          </w:p>
        </w:tc>
        <w:tc>
          <w:tcPr>
            <w:tcW w:w="1288" w:type="dxa"/>
            <w:tcBorders>
              <w:top w:val="single" w:sz="4" w:space="0" w:color="auto"/>
              <w:bottom w:val="single" w:sz="4" w:space="0" w:color="auto"/>
            </w:tcBorders>
          </w:tcPr>
          <w:p>
            <w:pPr>
              <w:autoSpaceDE/>
              <w:autoSpaceDN/>
              <w:widowControl/>
              <w:wordWrap/>
              <w:jc w:val="center"/>
              <w:rPr>
                <w:szCs w:val="20"/>
              </w:rPr>
            </w:pPr>
            <w:r>
              <w:rPr>
                <w:rFonts w:hint="eastAsia"/>
                <w:szCs w:val="20"/>
              </w:rPr>
              <w:t>C</w:t>
            </w:r>
            <w:r>
              <w:rPr>
                <w:szCs w:val="20"/>
              </w:rPr>
              <w:t>NN Acc</w:t>
            </w:r>
          </w:p>
          <w:p>
            <w:pPr>
              <w:autoSpaceDE/>
              <w:autoSpaceDN/>
              <w:widowControl/>
              <w:wordWrap/>
              <w:jc w:val="center"/>
              <w:rPr>
                <w:szCs w:val="20"/>
              </w:rPr>
            </w:pPr>
            <w:r>
              <w:rPr>
                <w:rFonts w:hint="eastAsia"/>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only)</w:t>
            </w:r>
          </w:p>
        </w:tc>
        <w:tc>
          <w:tcPr>
            <w:tcW w:w="1288" w:type="dxa"/>
            <w:tcBorders>
              <w:top w:val="single" w:sz="4" w:space="0" w:color="auto"/>
              <w:bottom w:val="single" w:sz="4" w:space="0" w:color="auto"/>
            </w:tcBorders>
          </w:tcPr>
          <w:p>
            <w:pPr>
              <w:autoSpaceDE/>
              <w:autoSpaceDN/>
              <w:widowControl/>
              <w:wordWrap/>
              <w:jc w:val="center"/>
              <w:rPr>
                <w:szCs w:val="20"/>
              </w:rPr>
            </w:pPr>
            <w:r>
              <w:rPr>
                <w:rFonts w:hint="eastAsia"/>
                <w:szCs w:val="20"/>
              </w:rPr>
              <w:t>C</w:t>
            </w:r>
            <w:r>
              <w:rPr>
                <w:szCs w:val="20"/>
              </w:rPr>
              <w:t>NN Acc</w:t>
            </w:r>
          </w:p>
          <w:p>
            <w:pPr>
              <w:autoSpaceDE/>
              <w:autoSpaceDN/>
              <w:widowControl/>
              <w:wordWrap/>
              <w:jc w:val="center"/>
              <w:rPr>
                <w:szCs w:val="20"/>
              </w:rPr>
            </w:pP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Pr>
                <w:szCs w:val="20"/>
              </w:rPr>
              <w:t>)</w:t>
            </w:r>
          </w:p>
        </w:tc>
        <w:tc>
          <w:tcPr>
            <w:tcW w:w="1288" w:type="dxa"/>
            <w:tcBorders>
              <w:top w:val="single" w:sz="4" w:space="0" w:color="auto"/>
              <w:bottom w:val="single" w:sz="4" w:space="0" w:color="auto"/>
            </w:tcBorders>
          </w:tcPr>
          <w:p>
            <w:pPr>
              <w:autoSpaceDE/>
              <w:autoSpaceDN/>
              <w:widowControl/>
              <w:wordWrap/>
              <w:jc w:val="center"/>
              <w:rPr>
                <w:szCs w:val="20"/>
              </w:rPr>
            </w:pPr>
            <w:r>
              <w:rPr>
                <w:rFonts w:hint="eastAsia"/>
                <w:szCs w:val="20"/>
              </w:rPr>
              <w:t>C</w:t>
            </w:r>
            <w:r>
              <w:rPr>
                <w:szCs w:val="20"/>
              </w:rPr>
              <w:t>NN Acc</w:t>
            </w:r>
          </w:p>
          <w:p>
            <w:pPr>
              <w:autoSpaceDE/>
              <w:autoSpaceDN/>
              <w:widowControl/>
              <w:wordWrap/>
              <w:jc w:val="center"/>
              <w:rPr>
                <w:szCs w:val="20"/>
              </w:rPr>
            </w:pPr>
            <w:r>
              <w:rPr>
                <w:rFonts w:hint="eastAsia"/>
                <w:szCs w:val="20"/>
              </w:rPr>
              <w:t>(</w:t>
            </w: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oMath>
            <w:r>
              <w:rPr>
                <w:szCs w:val="20"/>
              </w:rPr>
              <w:t>)</w:t>
            </w:r>
          </w:p>
        </w:tc>
      </w:tr>
      <w:tr>
        <w:tc>
          <w:tcPr>
            <w:tcW w:w="1560" w:type="dxa"/>
            <w:tcBorders>
              <w:top w:val="single" w:sz="4" w:space="0" w:color="auto"/>
              <w:right w:val="single" w:sz="4" w:space="0" w:color="auto"/>
            </w:tcBorders>
          </w:tcPr>
          <w:p>
            <w:pPr>
              <w:autoSpaceDE/>
              <w:autoSpaceDN/>
              <w:widowControl/>
              <w:wordWrap/>
              <w:rPr>
                <w:szCs w:val="20"/>
              </w:rPr>
            </w:pPr>
            <w:r>
              <w:rPr>
                <w:rFonts w:hint="eastAsia"/>
                <w:szCs w:val="20"/>
              </w:rPr>
              <w:t>1</w:t>
            </w:r>
            <w:r>
              <w:rPr>
                <w:szCs w:val="20"/>
              </w:rPr>
              <w:t>00 (10, 10)</w:t>
            </w:r>
          </w:p>
        </w:tc>
        <w:tc>
          <w:tcPr>
            <w:tcW w:w="1080" w:type="dxa"/>
            <w:tcBorders>
              <w:top w:val="single" w:sz="4" w:space="0" w:color="auto"/>
              <w:left w:val="single" w:sz="4" w:space="0" w:color="auto"/>
            </w:tcBorders>
          </w:tcPr>
          <w:p>
            <w:pPr>
              <w:autoSpaceDE/>
              <w:autoSpaceDN/>
              <w:widowControl/>
              <w:wordWrap/>
              <w:jc w:val="center"/>
              <w:rPr>
                <w:szCs w:val="20"/>
              </w:rPr>
            </w:pPr>
            <w:r>
              <w:rPr>
                <w:rFonts w:hint="eastAsia"/>
                <w:szCs w:val="20"/>
              </w:rPr>
              <w:t>4</w:t>
            </w:r>
            <w:r>
              <w:rPr>
                <w:szCs w:val="20"/>
              </w:rPr>
              <w:t>505</w:t>
            </w:r>
          </w:p>
        </w:tc>
        <w:tc>
          <w:tcPr>
            <w:tcW w:w="1328" w:type="dxa"/>
            <w:tcBorders>
              <w:top w:val="single" w:sz="4" w:space="0" w:color="auto"/>
            </w:tcBorders>
          </w:tcPr>
          <w:p>
            <w:pPr>
              <w:autoSpaceDE/>
              <w:autoSpaceDN/>
              <w:widowControl/>
              <w:wordWrap/>
              <w:jc w:val="center"/>
              <w:rPr>
                <w:szCs w:val="20"/>
              </w:rPr>
            </w:pPr>
            <w:r>
              <w:rPr>
                <w:rFonts w:hint="eastAsia"/>
                <w:szCs w:val="20"/>
              </w:rPr>
              <w:t>4</w:t>
            </w:r>
            <w:r>
              <w:rPr>
                <w:szCs w:val="20"/>
              </w:rPr>
              <w:t>66</w:t>
            </w:r>
          </w:p>
        </w:tc>
        <w:tc>
          <w:tcPr>
            <w:tcW w:w="1183" w:type="dxa"/>
            <w:tcBorders>
              <w:top w:val="single" w:sz="4" w:space="0" w:color="auto"/>
            </w:tcBorders>
          </w:tcPr>
          <w:p>
            <w:pPr>
              <w:autoSpaceDE/>
              <w:autoSpaceDN/>
              <w:widowControl/>
              <w:wordWrap/>
              <w:jc w:val="center"/>
              <w:rPr>
                <w:szCs w:val="20"/>
              </w:rPr>
            </w:pPr>
            <w:r>
              <w:rPr>
                <w:rFonts w:hint="eastAsia"/>
                <w:szCs w:val="20"/>
              </w:rPr>
              <w:t>9</w:t>
            </w:r>
            <w:r>
              <w:rPr>
                <w:szCs w:val="20"/>
              </w:rPr>
              <w:t>9.02</w:t>
            </w:r>
          </w:p>
        </w:tc>
        <w:tc>
          <w:tcPr>
            <w:tcW w:w="1288" w:type="dxa"/>
            <w:tcBorders>
              <w:top w:val="single" w:sz="4" w:space="0" w:color="auto"/>
            </w:tcBorders>
          </w:tcPr>
          <w:p>
            <w:pPr>
              <w:autoSpaceDE/>
              <w:autoSpaceDN/>
              <w:widowControl/>
              <w:wordWrap/>
              <w:jc w:val="center"/>
              <w:rPr>
                <w:szCs w:val="20"/>
              </w:rPr>
            </w:pPr>
            <w:r>
              <w:rPr>
                <w:rFonts w:hint="eastAsia"/>
                <w:szCs w:val="20"/>
              </w:rPr>
              <w:t>4</w:t>
            </w:r>
            <w:r>
              <w:rPr>
                <w:szCs w:val="20"/>
              </w:rPr>
              <w:t>9.84</w:t>
            </w:r>
          </w:p>
        </w:tc>
        <w:tc>
          <w:tcPr>
            <w:tcW w:w="1288" w:type="dxa"/>
            <w:tcBorders>
              <w:top w:val="single" w:sz="4" w:space="0" w:color="auto"/>
            </w:tcBorders>
          </w:tcPr>
          <w:p>
            <w:pPr>
              <w:autoSpaceDE/>
              <w:autoSpaceDN/>
              <w:widowControl/>
              <w:wordWrap/>
              <w:jc w:val="center"/>
              <w:rPr>
                <w:szCs w:val="20"/>
              </w:rPr>
            </w:pPr>
            <w:r>
              <w:rPr>
                <w:rFonts w:hint="eastAsia"/>
                <w:szCs w:val="20"/>
              </w:rPr>
              <w:t>3</w:t>
            </w:r>
            <w:r>
              <w:rPr>
                <w:szCs w:val="20"/>
              </w:rPr>
              <w:t>2.87</w:t>
            </w:r>
          </w:p>
        </w:tc>
        <w:tc>
          <w:tcPr>
            <w:tcW w:w="1288" w:type="dxa"/>
            <w:tcBorders>
              <w:top w:val="single" w:sz="4" w:space="0" w:color="auto"/>
            </w:tcBorders>
          </w:tcPr>
          <w:p>
            <w:pPr>
              <w:autoSpaceDE/>
              <w:autoSpaceDN/>
              <w:widowControl/>
              <w:wordWrap/>
              <w:jc w:val="center"/>
              <w:rPr>
                <w:szCs w:val="20"/>
              </w:rPr>
            </w:pPr>
            <w:r>
              <w:rPr>
                <w:rFonts w:hint="eastAsia"/>
                <w:szCs w:val="20"/>
              </w:rPr>
              <w:t>3</w:t>
            </w:r>
            <w:r>
              <w:rPr>
                <w:szCs w:val="20"/>
              </w:rPr>
              <w:t>1.65</w:t>
            </w:r>
          </w:p>
        </w:tc>
      </w:tr>
      <w:tr>
        <w:tc>
          <w:tcPr>
            <w:tcW w:w="1560" w:type="dxa"/>
            <w:tcBorders>
              <w:right w:val="single" w:sz="4" w:space="0" w:color="auto"/>
            </w:tcBorders>
          </w:tcPr>
          <w:p>
            <w:pPr>
              <w:autoSpaceDE/>
              <w:autoSpaceDN/>
              <w:widowControl/>
              <w:wordWrap/>
              <w:rPr>
                <w:szCs w:val="20"/>
              </w:rPr>
            </w:pPr>
            <w:r>
              <w:rPr>
                <w:rFonts w:hint="eastAsia"/>
                <w:szCs w:val="20"/>
              </w:rPr>
              <w:t>2</w:t>
            </w:r>
            <w:r>
              <w:rPr>
                <w:szCs w:val="20"/>
              </w:rPr>
              <w:t>50 (25, 10)</w:t>
            </w:r>
          </w:p>
        </w:tc>
        <w:tc>
          <w:tcPr>
            <w:tcW w:w="1080" w:type="dxa"/>
            <w:tcBorders>
              <w:left w:val="single" w:sz="4" w:space="0" w:color="auto"/>
            </w:tcBorders>
          </w:tcPr>
          <w:p>
            <w:pPr>
              <w:autoSpaceDE/>
              <w:autoSpaceDN/>
              <w:widowControl/>
              <w:wordWrap/>
              <w:jc w:val="center"/>
              <w:rPr>
                <w:szCs w:val="20"/>
              </w:rPr>
            </w:pPr>
            <w:r>
              <w:rPr>
                <w:rFonts w:hint="eastAsia"/>
                <w:szCs w:val="20"/>
              </w:rPr>
              <w:t>8</w:t>
            </w:r>
            <w:r>
              <w:rPr>
                <w:szCs w:val="20"/>
              </w:rPr>
              <w:t>874</w:t>
            </w:r>
          </w:p>
        </w:tc>
        <w:tc>
          <w:tcPr>
            <w:tcW w:w="1328" w:type="dxa"/>
          </w:tcPr>
          <w:p>
            <w:pPr>
              <w:autoSpaceDE/>
              <w:autoSpaceDN/>
              <w:widowControl/>
              <w:wordWrap/>
              <w:jc w:val="center"/>
              <w:rPr>
                <w:szCs w:val="20"/>
              </w:rPr>
            </w:pPr>
            <w:r>
              <w:rPr>
                <w:rFonts w:hint="eastAsia"/>
                <w:szCs w:val="20"/>
              </w:rPr>
              <w:t>1</w:t>
            </w:r>
            <w:r>
              <w:rPr>
                <w:szCs w:val="20"/>
              </w:rPr>
              <w:t>087</w:t>
            </w:r>
          </w:p>
        </w:tc>
        <w:tc>
          <w:tcPr>
            <w:tcW w:w="1183" w:type="dxa"/>
          </w:tcPr>
          <w:p>
            <w:pPr>
              <w:autoSpaceDE/>
              <w:autoSpaceDN/>
              <w:widowControl/>
              <w:wordWrap/>
              <w:jc w:val="center"/>
              <w:rPr>
                <w:szCs w:val="20"/>
              </w:rPr>
            </w:pPr>
            <w:r>
              <w:rPr>
                <w:rFonts w:hint="eastAsia"/>
                <w:szCs w:val="20"/>
              </w:rPr>
              <w:t>9</w:t>
            </w:r>
            <w:r>
              <w:rPr>
                <w:szCs w:val="20"/>
              </w:rPr>
              <w:t>9.56</w:t>
            </w:r>
          </w:p>
        </w:tc>
        <w:tc>
          <w:tcPr>
            <w:tcW w:w="1288" w:type="dxa"/>
          </w:tcPr>
          <w:p>
            <w:pPr>
              <w:autoSpaceDE/>
              <w:autoSpaceDN/>
              <w:widowControl/>
              <w:wordWrap/>
              <w:jc w:val="center"/>
              <w:rPr>
                <w:szCs w:val="20"/>
              </w:rPr>
            </w:pPr>
            <w:r>
              <w:rPr>
                <w:rFonts w:hint="eastAsia"/>
                <w:szCs w:val="20"/>
              </w:rPr>
              <w:t>5</w:t>
            </w:r>
            <w:r>
              <w:rPr>
                <w:szCs w:val="20"/>
              </w:rPr>
              <w:t>4.45</w:t>
            </w:r>
          </w:p>
        </w:tc>
        <w:tc>
          <w:tcPr>
            <w:tcW w:w="1288" w:type="dxa"/>
          </w:tcPr>
          <w:p>
            <w:pPr>
              <w:autoSpaceDE/>
              <w:autoSpaceDN/>
              <w:widowControl/>
              <w:wordWrap/>
              <w:jc w:val="center"/>
              <w:rPr>
                <w:szCs w:val="20"/>
              </w:rPr>
            </w:pPr>
            <w:r>
              <w:rPr>
                <w:rFonts w:hint="eastAsia"/>
                <w:szCs w:val="20"/>
              </w:rPr>
              <w:t>3</w:t>
            </w:r>
            <w:r>
              <w:rPr>
                <w:szCs w:val="20"/>
              </w:rPr>
              <w:t>9.23</w:t>
            </w:r>
          </w:p>
        </w:tc>
        <w:tc>
          <w:tcPr>
            <w:tcW w:w="1288" w:type="dxa"/>
          </w:tcPr>
          <w:p>
            <w:pPr>
              <w:autoSpaceDE/>
              <w:autoSpaceDN/>
              <w:widowControl/>
              <w:wordWrap/>
              <w:jc w:val="center"/>
              <w:rPr>
                <w:szCs w:val="20"/>
              </w:rPr>
            </w:pPr>
            <w:r>
              <w:rPr>
                <w:rFonts w:hint="eastAsia"/>
                <w:szCs w:val="20"/>
              </w:rPr>
              <w:t>4</w:t>
            </w:r>
            <w:r>
              <w:rPr>
                <w:szCs w:val="20"/>
              </w:rPr>
              <w:t>4.52</w:t>
            </w:r>
          </w:p>
        </w:tc>
      </w:tr>
      <w:tr>
        <w:tc>
          <w:tcPr>
            <w:tcW w:w="1560" w:type="dxa"/>
            <w:tcBorders>
              <w:right w:val="single" w:sz="4" w:space="0" w:color="auto"/>
            </w:tcBorders>
          </w:tcPr>
          <w:p>
            <w:pPr>
              <w:autoSpaceDE/>
              <w:autoSpaceDN/>
              <w:widowControl/>
              <w:wordWrap/>
              <w:rPr>
                <w:szCs w:val="20"/>
              </w:rPr>
            </w:pPr>
            <w:r>
              <w:rPr>
                <w:rFonts w:hint="eastAsia"/>
                <w:szCs w:val="20"/>
              </w:rPr>
              <w:t>5</w:t>
            </w:r>
            <w:r>
              <w:rPr>
                <w:szCs w:val="20"/>
              </w:rPr>
              <w:t>00 (50, 10)</w:t>
            </w:r>
          </w:p>
        </w:tc>
        <w:tc>
          <w:tcPr>
            <w:tcW w:w="1080" w:type="dxa"/>
            <w:tcBorders>
              <w:left w:val="single" w:sz="4" w:space="0" w:color="auto"/>
            </w:tcBorders>
          </w:tcPr>
          <w:p>
            <w:pPr>
              <w:autoSpaceDE/>
              <w:autoSpaceDN/>
              <w:widowControl/>
              <w:wordWrap/>
              <w:jc w:val="center"/>
              <w:rPr>
                <w:szCs w:val="20"/>
              </w:rPr>
            </w:pPr>
            <w:r>
              <w:rPr>
                <w:rFonts w:hint="eastAsia"/>
                <w:szCs w:val="20"/>
              </w:rPr>
              <w:t>1</w:t>
            </w:r>
            <w:r>
              <w:rPr>
                <w:szCs w:val="20"/>
              </w:rPr>
              <w:t>1486</w:t>
            </w:r>
          </w:p>
        </w:tc>
        <w:tc>
          <w:tcPr>
            <w:tcW w:w="1328" w:type="dxa"/>
          </w:tcPr>
          <w:p>
            <w:pPr>
              <w:autoSpaceDE/>
              <w:autoSpaceDN/>
              <w:widowControl/>
              <w:wordWrap/>
              <w:jc w:val="center"/>
              <w:rPr>
                <w:szCs w:val="20"/>
              </w:rPr>
            </w:pPr>
            <w:r>
              <w:rPr>
                <w:rFonts w:hint="eastAsia"/>
                <w:szCs w:val="20"/>
              </w:rPr>
              <w:t>7</w:t>
            </w:r>
            <w:r>
              <w:rPr>
                <w:szCs w:val="20"/>
              </w:rPr>
              <w:t>14</w:t>
            </w:r>
          </w:p>
        </w:tc>
        <w:tc>
          <w:tcPr>
            <w:tcW w:w="1183" w:type="dxa"/>
          </w:tcPr>
          <w:p>
            <w:pPr>
              <w:autoSpaceDE/>
              <w:autoSpaceDN/>
              <w:widowControl/>
              <w:wordWrap/>
              <w:jc w:val="center"/>
              <w:rPr>
                <w:szCs w:val="20"/>
              </w:rPr>
            </w:pPr>
            <w:r>
              <w:rPr>
                <w:rFonts w:hint="eastAsia"/>
                <w:szCs w:val="20"/>
              </w:rPr>
              <w:t>9</w:t>
            </w:r>
            <w:r>
              <w:rPr>
                <w:szCs w:val="20"/>
              </w:rPr>
              <w:t>8.97</w:t>
            </w:r>
          </w:p>
        </w:tc>
        <w:tc>
          <w:tcPr>
            <w:tcW w:w="1288" w:type="dxa"/>
          </w:tcPr>
          <w:p>
            <w:pPr>
              <w:autoSpaceDE/>
              <w:autoSpaceDN/>
              <w:widowControl/>
              <w:wordWrap/>
              <w:jc w:val="center"/>
              <w:rPr>
                <w:szCs w:val="20"/>
              </w:rPr>
            </w:pPr>
            <w:r>
              <w:rPr>
                <w:rFonts w:hint="eastAsia"/>
                <w:szCs w:val="20"/>
              </w:rPr>
              <w:t>6</w:t>
            </w:r>
            <w:r>
              <w:rPr>
                <w:szCs w:val="20"/>
              </w:rPr>
              <w:t>8.26</w:t>
            </w:r>
          </w:p>
        </w:tc>
        <w:tc>
          <w:tcPr>
            <w:tcW w:w="1288" w:type="dxa"/>
          </w:tcPr>
          <w:p>
            <w:pPr>
              <w:autoSpaceDE/>
              <w:autoSpaceDN/>
              <w:widowControl/>
              <w:wordWrap/>
              <w:jc w:val="center"/>
              <w:rPr>
                <w:szCs w:val="20"/>
              </w:rPr>
            </w:pPr>
            <w:r>
              <w:rPr>
                <w:rFonts w:hint="eastAsia"/>
                <w:szCs w:val="20"/>
              </w:rPr>
              <w:t>5</w:t>
            </w:r>
            <w:r>
              <w:rPr>
                <w:szCs w:val="20"/>
              </w:rPr>
              <w:t>2.35</w:t>
            </w:r>
          </w:p>
        </w:tc>
        <w:tc>
          <w:tcPr>
            <w:tcW w:w="1288" w:type="dxa"/>
          </w:tcPr>
          <w:p>
            <w:pPr>
              <w:autoSpaceDE/>
              <w:autoSpaceDN/>
              <w:widowControl/>
              <w:wordWrap/>
              <w:jc w:val="center"/>
              <w:rPr>
                <w:szCs w:val="20"/>
              </w:rPr>
            </w:pPr>
            <w:r>
              <w:rPr>
                <w:rFonts w:hint="eastAsia"/>
                <w:szCs w:val="20"/>
              </w:rPr>
              <w:t>5</w:t>
            </w:r>
            <w:r>
              <w:rPr>
                <w:szCs w:val="20"/>
              </w:rPr>
              <w:t>8.03</w:t>
            </w:r>
          </w:p>
        </w:tc>
      </w:tr>
      <w:tr>
        <w:tc>
          <w:tcPr>
            <w:tcW w:w="1560" w:type="dxa"/>
            <w:tcBorders>
              <w:right w:val="single" w:sz="4" w:space="0" w:color="auto"/>
            </w:tcBorders>
          </w:tcPr>
          <w:p>
            <w:pPr>
              <w:autoSpaceDE/>
              <w:autoSpaceDN/>
              <w:widowControl/>
              <w:wordWrap/>
              <w:rPr>
                <w:szCs w:val="20"/>
              </w:rPr>
            </w:pPr>
            <w:r>
              <w:rPr>
                <w:rFonts w:hint="eastAsia"/>
                <w:szCs w:val="20"/>
              </w:rPr>
              <w:t>7</w:t>
            </w:r>
            <w:r>
              <w:rPr>
                <w:szCs w:val="20"/>
              </w:rPr>
              <w:t>50 (75, 10)</w:t>
            </w:r>
          </w:p>
        </w:tc>
        <w:tc>
          <w:tcPr>
            <w:tcW w:w="1080" w:type="dxa"/>
            <w:tcBorders>
              <w:left w:val="single" w:sz="4" w:space="0" w:color="auto"/>
            </w:tcBorders>
          </w:tcPr>
          <w:p>
            <w:pPr>
              <w:autoSpaceDE/>
              <w:autoSpaceDN/>
              <w:widowControl/>
              <w:wordWrap/>
              <w:jc w:val="center"/>
              <w:rPr>
                <w:szCs w:val="20"/>
              </w:rPr>
            </w:pPr>
            <w:r>
              <w:rPr>
                <w:rFonts w:hint="eastAsia"/>
                <w:szCs w:val="20"/>
              </w:rPr>
              <w:t>1</w:t>
            </w:r>
            <w:r>
              <w:rPr>
                <w:szCs w:val="20"/>
              </w:rPr>
              <w:t>3012</w:t>
            </w:r>
          </w:p>
        </w:tc>
        <w:tc>
          <w:tcPr>
            <w:tcW w:w="1328" w:type="dxa"/>
          </w:tcPr>
          <w:p>
            <w:pPr>
              <w:autoSpaceDE/>
              <w:autoSpaceDN/>
              <w:widowControl/>
              <w:wordWrap/>
              <w:jc w:val="center"/>
              <w:rPr>
                <w:szCs w:val="20"/>
              </w:rPr>
            </w:pPr>
            <w:r>
              <w:rPr>
                <w:rFonts w:hint="eastAsia"/>
                <w:szCs w:val="20"/>
              </w:rPr>
              <w:t>2</w:t>
            </w:r>
            <w:r>
              <w:rPr>
                <w:szCs w:val="20"/>
              </w:rPr>
              <w:t>60</w:t>
            </w:r>
          </w:p>
        </w:tc>
        <w:tc>
          <w:tcPr>
            <w:tcW w:w="1183" w:type="dxa"/>
          </w:tcPr>
          <w:p>
            <w:pPr>
              <w:autoSpaceDE/>
              <w:autoSpaceDN/>
              <w:widowControl/>
              <w:wordWrap/>
              <w:jc w:val="center"/>
              <w:rPr>
                <w:szCs w:val="20"/>
              </w:rPr>
            </w:pPr>
            <w:r>
              <w:rPr>
                <w:rFonts w:hint="eastAsia"/>
                <w:szCs w:val="20"/>
              </w:rPr>
              <w:t>9</w:t>
            </w:r>
            <w:r>
              <w:rPr>
                <w:szCs w:val="20"/>
              </w:rPr>
              <w:t>9.84</w:t>
            </w:r>
          </w:p>
        </w:tc>
        <w:tc>
          <w:tcPr>
            <w:tcW w:w="1288" w:type="dxa"/>
          </w:tcPr>
          <w:p>
            <w:pPr>
              <w:autoSpaceDE/>
              <w:autoSpaceDN/>
              <w:widowControl/>
              <w:wordWrap/>
              <w:jc w:val="center"/>
              <w:rPr>
                <w:szCs w:val="20"/>
              </w:rPr>
            </w:pPr>
            <w:r>
              <w:rPr>
                <w:rFonts w:hint="eastAsia"/>
                <w:szCs w:val="20"/>
              </w:rPr>
              <w:t>6</w:t>
            </w:r>
            <w:r>
              <w:rPr>
                <w:szCs w:val="20"/>
              </w:rPr>
              <w:t>3.03</w:t>
            </w:r>
          </w:p>
        </w:tc>
        <w:tc>
          <w:tcPr>
            <w:tcW w:w="1288" w:type="dxa"/>
          </w:tcPr>
          <w:p>
            <w:pPr>
              <w:autoSpaceDE/>
              <w:autoSpaceDN/>
              <w:widowControl/>
              <w:wordWrap/>
              <w:jc w:val="center"/>
              <w:rPr>
                <w:szCs w:val="20"/>
              </w:rPr>
            </w:pPr>
            <w:r>
              <w:rPr>
                <w:rFonts w:hint="eastAsia"/>
                <w:szCs w:val="20"/>
              </w:rPr>
              <w:t>5</w:t>
            </w:r>
            <w:r>
              <w:rPr>
                <w:szCs w:val="20"/>
              </w:rPr>
              <w:t>4.77</w:t>
            </w:r>
          </w:p>
        </w:tc>
        <w:tc>
          <w:tcPr>
            <w:tcW w:w="1288" w:type="dxa"/>
          </w:tcPr>
          <w:p>
            <w:pPr>
              <w:autoSpaceDE/>
              <w:autoSpaceDN/>
              <w:widowControl/>
              <w:wordWrap/>
              <w:jc w:val="center"/>
              <w:rPr>
                <w:szCs w:val="20"/>
              </w:rPr>
            </w:pPr>
            <w:r>
              <w:rPr>
                <w:rFonts w:hint="eastAsia"/>
                <w:szCs w:val="20"/>
              </w:rPr>
              <w:t>5</w:t>
            </w:r>
            <w:r>
              <w:rPr>
                <w:szCs w:val="20"/>
              </w:rPr>
              <w:t>5.42</w:t>
            </w:r>
          </w:p>
        </w:tc>
      </w:tr>
      <w:tr>
        <w:tc>
          <w:tcPr>
            <w:tcW w:w="1560" w:type="dxa"/>
            <w:tcBorders>
              <w:bottom w:val="single" w:sz="4" w:space="0" w:color="auto"/>
              <w:right w:val="single" w:sz="4" w:space="0" w:color="auto"/>
            </w:tcBorders>
          </w:tcPr>
          <w:p>
            <w:pPr>
              <w:autoSpaceDE/>
              <w:autoSpaceDN/>
              <w:widowControl/>
              <w:wordWrap/>
              <w:rPr>
                <w:szCs w:val="20"/>
              </w:rPr>
            </w:pPr>
            <w:r>
              <w:rPr>
                <w:rFonts w:hint="eastAsia"/>
                <w:szCs w:val="20"/>
              </w:rPr>
              <w:t>1</w:t>
            </w:r>
            <w:r>
              <w:rPr>
                <w:szCs w:val="20"/>
              </w:rPr>
              <w:t>000 (100, 10)</w:t>
            </w:r>
          </w:p>
        </w:tc>
        <w:tc>
          <w:tcPr>
            <w:tcW w:w="1080" w:type="dxa"/>
            <w:tcBorders>
              <w:left w:val="single" w:sz="4" w:space="0" w:color="auto"/>
            </w:tcBorders>
          </w:tcPr>
          <w:p>
            <w:pPr>
              <w:autoSpaceDE/>
              <w:autoSpaceDN/>
              <w:widowControl/>
              <w:wordWrap/>
              <w:jc w:val="center"/>
              <w:rPr>
                <w:szCs w:val="20"/>
              </w:rPr>
            </w:pPr>
            <w:r>
              <w:rPr>
                <w:rFonts w:hint="eastAsia"/>
                <w:szCs w:val="20"/>
              </w:rPr>
              <w:t>1</w:t>
            </w:r>
            <w:r>
              <w:rPr>
                <w:szCs w:val="20"/>
              </w:rPr>
              <w:t>5305</w:t>
            </w:r>
          </w:p>
        </w:tc>
        <w:tc>
          <w:tcPr>
            <w:tcW w:w="1328" w:type="dxa"/>
          </w:tcPr>
          <w:p>
            <w:pPr>
              <w:autoSpaceDE/>
              <w:autoSpaceDN/>
              <w:widowControl/>
              <w:wordWrap/>
              <w:jc w:val="center"/>
              <w:rPr>
                <w:szCs w:val="20"/>
              </w:rPr>
            </w:pPr>
            <w:r>
              <w:rPr>
                <w:rFonts w:hint="eastAsia"/>
                <w:szCs w:val="20"/>
              </w:rPr>
              <w:t>2</w:t>
            </w:r>
            <w:r>
              <w:rPr>
                <w:szCs w:val="20"/>
              </w:rPr>
              <w:t>52</w:t>
            </w:r>
          </w:p>
        </w:tc>
        <w:tc>
          <w:tcPr>
            <w:tcW w:w="1183" w:type="dxa"/>
          </w:tcPr>
          <w:p>
            <w:pPr>
              <w:autoSpaceDE/>
              <w:autoSpaceDN/>
              <w:widowControl/>
              <w:wordWrap/>
              <w:jc w:val="center"/>
              <w:rPr>
                <w:szCs w:val="20"/>
              </w:rPr>
            </w:pPr>
            <w:r>
              <w:rPr>
                <w:rFonts w:hint="eastAsia"/>
                <w:szCs w:val="20"/>
              </w:rPr>
              <w:t>9</w:t>
            </w:r>
            <w:r>
              <w:rPr>
                <w:szCs w:val="20"/>
              </w:rPr>
              <w:t>9.47</w:t>
            </w:r>
          </w:p>
        </w:tc>
        <w:tc>
          <w:tcPr>
            <w:tcW w:w="1288" w:type="dxa"/>
          </w:tcPr>
          <w:p>
            <w:pPr>
              <w:autoSpaceDE/>
              <w:autoSpaceDN/>
              <w:widowControl/>
              <w:wordWrap/>
              <w:jc w:val="center"/>
              <w:rPr>
                <w:szCs w:val="20"/>
              </w:rPr>
            </w:pPr>
            <w:r>
              <w:rPr>
                <w:rFonts w:hint="eastAsia"/>
                <w:szCs w:val="20"/>
              </w:rPr>
              <w:t>6</w:t>
            </w:r>
            <w:r>
              <w:rPr>
                <w:szCs w:val="20"/>
              </w:rPr>
              <w:t>7.60</w:t>
            </w:r>
          </w:p>
        </w:tc>
        <w:tc>
          <w:tcPr>
            <w:tcW w:w="1288" w:type="dxa"/>
          </w:tcPr>
          <w:p>
            <w:pPr>
              <w:autoSpaceDE/>
              <w:autoSpaceDN/>
              <w:widowControl/>
              <w:wordWrap/>
              <w:jc w:val="center"/>
              <w:rPr>
                <w:szCs w:val="20"/>
              </w:rPr>
            </w:pPr>
            <w:r>
              <w:rPr>
                <w:rFonts w:hint="eastAsia"/>
                <w:szCs w:val="20"/>
              </w:rPr>
              <w:t>5</w:t>
            </w:r>
            <w:r>
              <w:rPr>
                <w:szCs w:val="20"/>
              </w:rPr>
              <w:t>8.17</w:t>
            </w:r>
          </w:p>
        </w:tc>
        <w:tc>
          <w:tcPr>
            <w:tcW w:w="1288" w:type="dxa"/>
          </w:tcPr>
          <w:p>
            <w:pPr>
              <w:autoSpaceDE/>
              <w:autoSpaceDN/>
              <w:widowControl/>
              <w:wordWrap/>
              <w:jc w:val="center"/>
              <w:rPr>
                <w:szCs w:val="20"/>
              </w:rPr>
            </w:pPr>
            <w:r>
              <w:rPr>
                <w:rFonts w:hint="eastAsia"/>
                <w:szCs w:val="20"/>
              </w:rPr>
              <w:t>5</w:t>
            </w:r>
            <w:r>
              <w:rPr>
                <w:szCs w:val="20"/>
              </w:rPr>
              <w:t>3.12</w:t>
            </w:r>
          </w:p>
        </w:tc>
      </w:tr>
    </w:tbl>
    <w:p>
      <w:pPr>
        <w:autoSpaceDE/>
        <w:autoSpaceDN/>
        <w:widowControl/>
        <w:wordWrap/>
        <w:jc w:val="center"/>
        <w:rPr>
          <w:szCs w:val="20"/>
        </w:rPr>
      </w:pPr>
      <w:r>
        <w:rPr>
          <w:szCs w:val="20"/>
        </w:rPr>
        <w:t xml:space="preserve">[Table 3. </w:t>
      </w:r>
      <w:r>
        <w:rPr>
          <w:szCs w:val="20"/>
        </w:rPr>
        <w:t>Model performance when using pseudo la</w:t>
      </w:r>
      <w:r>
        <w:rPr>
          <w:szCs w:val="20"/>
        </w:rPr>
        <w:t>bel</w:t>
      </w:r>
      <w:r>
        <w:rPr>
          <w:szCs w:val="20"/>
        </w:rPr>
        <w:t>ed data by CS1, CS2</w:t>
      </w:r>
      <w:r>
        <w:rPr>
          <w:szCs w:val="20"/>
        </w:rPr>
        <w:t>]</w:t>
      </w:r>
    </w:p>
    <w:p>
      <w:pPr>
        <w:ind w:firstLineChars="50" w:firstLine="100"/>
        <w:autoSpaceDE/>
        <w:autoSpaceDN/>
        <w:widowControl/>
        <w:wordWrap/>
        <w:rPr>
          <w:szCs w:val="20"/>
        </w:rPr>
      </w:pPr>
      <w:r>
        <w:rPr>
          <w:szCs w:val="20"/>
        </w:rPr>
        <w:t xml:space="preserve">There are three main interpretations of this. First, the data classified through the CS1 and CS2 methods are data belonging to the center of the class, and all have similar characteristics. Therefore, using the data for learning does not have a significant impact on the 13-CNN model. Second, the balance between label data is changed. The methods of CS1 and CS2 are effective when the feature extracted by CAE is well distinguished from other classes. In the case of MNIST between this study, the classification was good for class of 0, 4, and 6 data, but in the case of other classes, just a few </w:t>
      </w:r>
      <w:r>
        <w:rPr>
          <w:szCs w:val="20"/>
        </w:rPr>
        <w:t>cases</w:t>
      </w:r>
      <w:r>
        <w:rPr>
          <w:szCs w:val="20"/>
        </w:rPr>
        <w:t xml:space="preserve"> were applicated. More label data but imbalanced causes overfitting rather than generalization of the model. In particular, although not included in this paper, even when CS1 and CS2 had 100% accuracy, their performance was the same or rather degraded. Third, the data of the misclassified minority class has a great adverse effect on model learning. Due to the lack of performance of CAE, the features were similar, but the original data can differ greatly. As the different class is incorrectly classified same as major of pseudo labeling data, it may have a confirmation bias.</w:t>
      </w:r>
    </w:p>
    <w:p>
      <w:pPr>
        <w:ind w:firstLineChars="50" w:firstLine="100"/>
        <w:autoSpaceDE/>
        <w:autoSpaceDN/>
        <w:widowControl/>
        <w:wordWrap/>
        <w:rPr>
          <w:b/>
          <w:bCs/>
          <w:szCs w:val="20"/>
        </w:rPr>
      </w:pPr>
      <w:r>
        <w:rPr>
          <w:rFonts w:hint="eastAsia"/>
          <w:b/>
          <w:bCs/>
          <w:szCs w:val="20"/>
        </w:rPr>
        <w:t>5</w:t>
      </w:r>
      <w:r>
        <w:rPr>
          <w:b/>
          <w:bCs/>
          <w:szCs w:val="20"/>
        </w:rPr>
        <w:t xml:space="preserve">. </w:t>
      </w:r>
      <w:r>
        <w:rPr>
          <w:rFonts w:hint="eastAsia"/>
          <w:b/>
          <w:bCs/>
          <w:szCs w:val="20"/>
        </w:rPr>
        <w:t>F</w:t>
      </w:r>
      <w:r>
        <w:rPr>
          <w:b/>
          <w:bCs/>
          <w:szCs w:val="20"/>
        </w:rPr>
        <w:t xml:space="preserve">uture work </w:t>
      </w:r>
    </w:p>
    <w:p>
      <w:pPr>
        <w:autoSpaceDE/>
        <w:autoSpaceDN/>
        <w:widowControl/>
        <w:wordWrap/>
        <w:rPr>
          <w:szCs w:val="20"/>
        </w:rPr>
      </w:pPr>
      <w:r>
        <w:rPr>
          <w:rFonts w:hint="eastAsia"/>
          <w:szCs w:val="20"/>
        </w:rPr>
        <w:t xml:space="preserve"> </w:t>
      </w:r>
      <w:r>
        <w:rPr>
          <w:szCs w:val="20"/>
        </w:rPr>
        <w:t>The biggest limitation is that the CS1 and CS2 methods can be applied only to datasets with low resolution. It is necessary to find other methods to map high dimen</w:t>
      </w:r>
      <w:r>
        <w:rPr>
          <w:szCs w:val="20"/>
        </w:rPr>
        <w:t>s</w:t>
      </w:r>
      <w:r>
        <w:rPr>
          <w:szCs w:val="20"/>
        </w:rPr>
        <w:t xml:space="preserve">ion data to a low level and to clustering for each class simultaneously. In this paper, we applied </w:t>
      </w:r>
      <w:r>
        <w:rPr>
          <w:szCs w:val="20"/>
        </w:rPr>
        <w:t>to</w:t>
      </w:r>
      <w:r>
        <w:rPr>
          <w:szCs w:val="20"/>
        </w:rPr>
        <w:t xml:space="preserve"> the 13 CNN model. In the future, it is necessary to apply the unsupervised presentation learning method for various image data such as ResNet 18 and DGI. Next problem is that the high-accuracy pseudo-labeled data obtained through the CS1 and CS2 methods does not lead to improved performance of the DL model. In the future, it is necessary to solve imbalance classification about unlabeled data and confirmation bias due to the misclassification. The former may be partially resolved by applying </w:t>
      </w:r>
      <w:r>
        <w:rPr>
          <w:szCs w:val="20"/>
        </w:rPr>
        <w:t xml:space="preserve">a </w:t>
      </w:r>
      <w:r>
        <w:rPr>
          <w:szCs w:val="20"/>
        </w:rPr>
        <w:t xml:space="preserve">better representation learning method. If the feature extraction is clustered to be well distinguished for each class, CS1 and CS2 can be applied to various class data. In other way, by assuming that the class ratio of the label data selected through the Coreset selection is similar to </w:t>
      </w:r>
      <w:r>
        <w:rPr>
          <w:szCs w:val="20"/>
        </w:rPr>
        <w:t xml:space="preserve">the </w:t>
      </w:r>
      <w:r>
        <w:rPr>
          <w:szCs w:val="20"/>
        </w:rPr>
        <w:t>original dataset, the influence of the unbalanced pseudo labeling data can be regularized. In addition, data augmentation may be performed only for class</w:t>
      </w:r>
      <w:r>
        <w:rPr>
          <w:szCs w:val="20"/>
        </w:rPr>
        <w:t>es</w:t>
      </w:r>
      <w:r>
        <w:rPr>
          <w:szCs w:val="20"/>
        </w:rPr>
        <w:t xml:space="preserve"> that the CS1 and CS2 methods have not been applied. Confirmation bias could be solved by applying outlier detection to a small amount of misclassification data. In the case of incorrectly labeled data, it was confirmed that the loss value jumped significantly. Therefore, if the value of loss is limited to below a certain value, misclassification may be prevented.</w:t>
      </w:r>
    </w:p>
    <w:p>
      <w:pPr>
        <w:ind w:firstLineChars="50" w:firstLine="100"/>
        <w:autoSpaceDE/>
        <w:autoSpaceDN/>
        <w:widowControl/>
        <w:wordWrap/>
        <w:rPr>
          <w:szCs w:val="20"/>
        </w:rPr>
      </w:pPr>
      <w:r>
        <w:rPr>
          <w:szCs w:val="20"/>
        </w:rPr>
        <w:t xml:space="preserve">In addition, there are several ways for improvement of CS2. When the number of iterations was increased for a given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the number of classifiable data increased. It could be expanded to Iterated for every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coreset selection. Above all, since a subgraph is formed for each Iteration, each point is included in at least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w:t>
      </w:r>
      <w:r>
        <w:rPr>
          <w:szCs w:val="20"/>
        </w:rPr>
        <w:t xml:space="preserve"> subgraphs. This will allow us to maximize the number of Iterations to generalize the Threshold </w:t>
      </w:r>
      <m:oMath>
        <m:r>
          <m:rPr>
            <m:sty m:val="p"/>
          </m:rPr>
          <w:rPr>
            <w:rFonts w:ascii="Cambria Math" w:hAnsi="Cambria Math"/>
            <w:szCs w:val="20"/>
          </w:rPr>
          <m:t>β</m:t>
        </m:r>
      </m:oMath>
      <w:r>
        <w:rPr>
          <w:szCs w:val="20"/>
        </w:rPr>
        <w:t xml:space="preserve"> and ensure great performance for various datasets. In addition, if only the CS2 method is considered, there is no need to lower the dimension of </w:t>
      </w:r>
      <w:r>
        <w:rPr>
          <w:szCs w:val="20"/>
        </w:rPr>
        <w:t xml:space="preserve">the </w:t>
      </w:r>
      <w:r>
        <w:rPr>
          <w:szCs w:val="20"/>
        </w:rPr>
        <w:t>feature to two dimensions. The methods of CS1 and CS2 focused on classification within train dataset in this paper. However, if the size of the train dataset is large enough to serve as a population, the representation learning</w:t>
      </w:r>
      <w:r>
        <w:rPr>
          <w:szCs w:val="20"/>
        </w:rPr>
        <w:t xml:space="preserve"> method</w:t>
      </w:r>
      <w:r>
        <w:rPr>
          <w:szCs w:val="20"/>
        </w:rPr>
        <w:t xml:space="preserve"> learned in the </w:t>
      </w:r>
      <w:r>
        <w:rPr>
          <w:szCs w:val="20"/>
        </w:rPr>
        <w:t>t</w:t>
      </w:r>
      <w:r>
        <w:rPr>
          <w:szCs w:val="20"/>
        </w:rPr>
        <w:t>rain</w:t>
      </w:r>
      <w:r>
        <w:rPr>
          <w:szCs w:val="20"/>
        </w:rPr>
        <w:t xml:space="preserve"> </w:t>
      </w:r>
      <w:r>
        <w:rPr>
          <w:szCs w:val="20"/>
        </w:rPr>
        <w:t xml:space="preserve">dataset can also be applied in the test dataset. It means that CS1 and CS2 can be conducted for train dataset. </w:t>
      </w:r>
    </w:p>
    <w:p>
      <w:pPr>
        <w:ind w:firstLineChars="50" w:firstLine="100"/>
        <w:autoSpaceDE/>
        <w:autoSpaceDN/>
        <w:widowControl/>
        <w:wordWrap/>
        <w:rPr>
          <w:szCs w:val="20"/>
        </w:rPr>
      </w:pPr>
    </w:p>
    <w:p>
      <w:pPr>
        <w:rPr>
          <w:rFonts w:eastAsiaTheme="minorHAnsi"/>
          <w:b/>
          <w:szCs w:val="20"/>
        </w:rPr>
      </w:pPr>
      <w:r>
        <w:rPr>
          <w:rFonts w:eastAsiaTheme="minorHAnsi"/>
          <w:b/>
          <w:szCs w:val="20"/>
        </w:rPr>
        <w:t xml:space="preserve">6. </w:t>
      </w:r>
      <w:r>
        <w:rPr>
          <w:rFonts w:eastAsiaTheme="minorHAnsi"/>
          <w:b/>
          <w:szCs w:val="20"/>
        </w:rPr>
        <w:t>C</w:t>
      </w:r>
      <w:r>
        <w:rPr>
          <w:rFonts w:eastAsiaTheme="minorHAnsi"/>
          <w:b/>
          <w:szCs w:val="20"/>
        </w:rPr>
        <w:t>onclusion</w:t>
      </w:r>
    </w:p>
    <w:p>
      <w:pPr>
        <w:ind w:firstLineChars="100" w:firstLine="200"/>
        <w:rPr>
          <w:rFonts w:eastAsiaTheme="minorHAnsi"/>
          <w:szCs w:val="20"/>
        </w:rPr>
      </w:pPr>
      <w:r>
        <w:rPr>
          <w:rFonts w:eastAsiaTheme="minorHAnsi"/>
          <w:szCs w:val="20"/>
        </w:rPr>
        <w:t xml:space="preserve">This study presents a new classification CS1 and CS2 using the subgraph of coreset selection from a geometric perspective. On the small Image dataset MNIST, Fashion MNIST, and EMNIST datasets, we can perform partial classification with 95% accuracy for unlabeled data, which is several times the given Label data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eastAsiaTheme="minorHAnsi"/>
          <w:szCs w:val="20"/>
        </w:rPr>
        <w:t xml:space="preserve">l. When representation learning method suitable for datasets is applied, the </w:t>
      </w:r>
      <w:r>
        <w:rPr>
          <w:rFonts w:eastAsiaTheme="minorHAnsi"/>
          <w:szCs w:val="20"/>
        </w:rPr>
        <w:t xml:space="preserve">efficiency become 10 to 40 times higher, and the accuracy is also close to 99%. To ensure the performance of SC1 and SC2, the tradeoff between sampling size |S| and the number of iterations P should be considered. </w:t>
      </w:r>
      <w:r>
        <w:rPr>
          <w:lang w:val="en-US" w:eastAsia="ko-KR" w:bidi="ar-SA"/>
          <w:sz w:val="20"/>
          <w:szCs w:val="20"/>
          <w:kern w:val="1"/>
          <w:snapToGrid/>
          <w:spacing w:val="0"/>
          <w:rtl w:val="off"/>
        </w:rPr>
        <w:t>The hyperparameter M should be applied to prevent misclassification in the SC1 situation. In two dimensions, M=6 is appropriate. On the other hand, the density α of the subgraph is not very useful.</w:t>
      </w:r>
      <w:r>
        <w:rPr>
          <w:rFonts w:eastAsiaTheme="minorHAnsi"/>
          <w:szCs w:val="20"/>
        </w:rPr>
        <w:t xml:space="preserve"> Threshold </w:t>
      </w:r>
      <m:oMath>
        <m:r>
          <m:rPr>
            <m:sty m:val="p"/>
          </m:rPr>
          <w:rPr>
            <w:rFonts w:ascii="Cambria Math" w:hAnsi="Cambria Math"/>
            <w:szCs w:val="20"/>
          </w:rPr>
          <m:t>β</m:t>
        </m:r>
      </m:oMath>
      <w:r>
        <w:rPr>
          <w:rFonts w:eastAsiaTheme="minorHAnsi"/>
          <w:szCs w:val="20"/>
        </w:rPr>
        <w:t xml:space="preserve"> is more conservative hyperparameter than the probability that the actual class belongs to. </w:t>
      </w:r>
      <m:oMath>
        <m:r>
          <m:rPr>
            <m:sty m:val="p"/>
          </m:rPr>
          <w:rPr>
            <w:rFonts w:ascii="Cambria Math" w:hAnsi="Cambria Math"/>
            <w:szCs w:val="20"/>
          </w:rPr>
          <m:t>β</m:t>
        </m:r>
      </m:oMath>
      <w:r>
        <w:rPr>
          <w:rFonts w:eastAsiaTheme="minorHAnsi"/>
          <w:szCs w:val="20"/>
        </w:rPr>
        <w:t xml:space="preserve"> should be set lower as the number of classes increases and the number of Iterations decreases. There are still many things to improve, but it is meaningful in that it is a new classification method to solve the lack of label data.</w:t>
      </w:r>
    </w:p>
    <w:p>
      <w:pPr>
        <w:jc w:val="center"/>
        <w:rPr>
          <w:rFonts w:eastAsiaTheme="minorHAnsi"/>
          <w:b/>
          <w:bCs/>
          <w:szCs w:val="20"/>
        </w:rPr>
      </w:pPr>
      <w:r>
        <w:rPr>
          <w:rFonts w:eastAsiaTheme="minorHAnsi"/>
          <w:b/>
          <w:bCs/>
          <w:szCs w:val="20"/>
        </w:rPr>
        <w:t>&lt;</w:t>
      </w:r>
      <w:r>
        <w:rPr>
          <w:rFonts w:eastAsiaTheme="minorHAnsi"/>
          <w:b/>
          <w:bCs/>
          <w:szCs w:val="20"/>
        </w:rPr>
        <w:t>R</w:t>
      </w:r>
      <w:r>
        <w:rPr>
          <w:rFonts w:eastAsiaTheme="minorHAnsi"/>
          <w:b/>
          <w:bCs/>
          <w:szCs w:val="20"/>
        </w:rPr>
        <w:t>eference</w:t>
      </w:r>
      <w:r>
        <w:rPr>
          <w:rFonts w:eastAsiaTheme="minorHAnsi"/>
          <w:b/>
          <w:bCs/>
          <w:szCs w:val="20"/>
        </w:rPr>
        <w:t>&gt;</w:t>
      </w:r>
    </w:p>
    <w:p>
      <w:pPr>
        <w:pStyle w:val="EndNoteBibliography"/>
        <w:ind w:left="720" w:hanging="720"/>
        <w:spacing w:after="0"/>
      </w:pPr>
      <w:r>
        <w:rPr>
          <w:rFonts w:eastAsiaTheme="minorHAnsi"/>
          <w:szCs w:val="20"/>
        </w:rPr>
        <w:fldChar w:fldCharType="begin"/>
      </w:r>
      <w:r>
        <w:rPr>
          <w:rFonts w:eastAsiaTheme="minorHAnsi"/>
          <w:szCs w:val="20"/>
        </w:rPr>
        <w:instrText xml:space="preserve"> ADDIN EN.REFLIST </w:instrText>
      </w:r>
      <w:r>
        <w:rPr>
          <w:rFonts w:eastAsiaTheme="minorHAnsi"/>
          <w:szCs w:val="20"/>
        </w:rPr>
        <w:fldChar w:fldCharType="separate"/>
      </w:r>
      <w:r>
        <w:t xml:space="preserve">Arazo, E., Ortego, D., Albert, P., O’Connor, N. E., &amp; McGuinness, K. (2020). </w:t>
      </w:r>
      <w:r>
        <w:rPr>
          <w:i/>
        </w:rPr>
        <w:t>Pseudo-labeling and confirmation bias in deep semi-supervised learning.</w:t>
      </w:r>
      <w:r>
        <w:t xml:space="preserve"> Paper presented at the 2020 International Joint Conference on Neural Networks (IJCNN).</w:t>
      </w:r>
    </w:p>
    <w:p>
      <w:pPr>
        <w:pStyle w:val="EndNoteBibliography"/>
        <w:ind w:left="720" w:hanging="720"/>
        <w:spacing w:after="0"/>
      </w:pPr>
      <w:r>
        <w:t xml:space="preserve">Argote, L., &amp; Ingram, P. (2000). Knowledge transfer: A basis for competitive advantage in firms. </w:t>
      </w:r>
      <w:r>
        <w:rPr>
          <w:i/>
        </w:rPr>
        <w:t>Organizational behavior and human decision processes, 82</w:t>
      </w:r>
      <w:r>
        <w:t xml:space="preserve">(1), 150-169. </w:t>
      </w:r>
    </w:p>
    <w:p>
      <w:pPr>
        <w:pStyle w:val="EndNoteBibliography"/>
        <w:ind w:left="720" w:hanging="720"/>
        <w:spacing w:after="0"/>
      </w:pPr>
      <w:r>
        <w:t xml:space="preserve">Cascante-Bonilla, P., Tan, F., Qi, Y., &amp; Ordonez, V. (2021). </w:t>
      </w:r>
      <w:r>
        <w:rPr>
          <w:i/>
        </w:rPr>
        <w:t>Curriculum labeling: Revisiting pseudo-labeling for semi-supervised learning.</w:t>
      </w:r>
      <w:r>
        <w:t xml:space="preserve"> Paper presented at the Proceedings of the AAAI Conference on Artificial Intelligence.</w:t>
      </w:r>
    </w:p>
    <w:p>
      <w:pPr>
        <w:pStyle w:val="EndNoteBibliography"/>
        <w:ind w:left="720" w:hanging="720"/>
        <w:spacing w:after="0"/>
      </w:pPr>
      <w:r>
        <w:t xml:space="preserve">Chapelle, O., Scholkopf, B., &amp; Zien, A. (2009). Semi-supervised learning (chapelle, o. et al., eds.; 2006)[book reviews]. </w:t>
      </w:r>
      <w:r>
        <w:rPr>
          <w:i/>
        </w:rPr>
        <w:t>IEEE Transactions on Neural Networks, 20</w:t>
      </w:r>
      <w:r>
        <w:t xml:space="preserve">(3), 542-542. </w:t>
      </w:r>
    </w:p>
    <w:p>
      <w:pPr>
        <w:pStyle w:val="EndNoteBibliography"/>
        <w:ind w:left="720" w:hanging="720"/>
        <w:spacing w:after="0"/>
      </w:pPr>
      <w:r>
        <w:t xml:space="preserve">Gal, Y., Islam, R., &amp; Ghahramani, Z. (2017). </w:t>
      </w:r>
      <w:r>
        <w:rPr>
          <w:i/>
        </w:rPr>
        <w:t>Deep bayesian active learning with image data.</w:t>
      </w:r>
      <w:r>
        <w:t xml:space="preserve"> Paper presented at the International Conference on Machine Learning.</w:t>
      </w:r>
    </w:p>
    <w:p>
      <w:pPr>
        <w:pStyle w:val="EndNoteBibliography"/>
        <w:ind w:left="720" w:hanging="720"/>
        <w:spacing w:after="0"/>
      </w:pPr>
      <w:r>
        <w:t xml:space="preserve">Grandvalet, Y., &amp; Bengio, Y. (2004). Semi-supervised learning by entropy minimization. </w:t>
      </w:r>
      <w:r>
        <w:rPr>
          <w:i/>
        </w:rPr>
        <w:t>Advances in neural information processing systems, 17</w:t>
      </w:r>
      <w:r>
        <w:t xml:space="preserve">. </w:t>
      </w:r>
    </w:p>
    <w:p>
      <w:pPr>
        <w:pStyle w:val="EndNoteBibliography"/>
        <w:ind w:left="720" w:hanging="720"/>
        <w:spacing w:after="0"/>
      </w:pPr>
      <w:r>
        <w:t xml:space="preserve">Hurtik, P., Molek, V., &amp; Perfilieva, I. (2020). Novel dimensionality reduction approach for unsupervised learning on small datasets. </w:t>
      </w:r>
      <w:r>
        <w:rPr>
          <w:i/>
        </w:rPr>
        <w:t>Pattern Recognition, 103</w:t>
      </w:r>
      <w:r>
        <w:t xml:space="preserve">, 107291. </w:t>
      </w:r>
    </w:p>
    <w:p>
      <w:pPr>
        <w:pStyle w:val="EndNoteBibliography"/>
        <w:ind w:left="720" w:hanging="720"/>
        <w:spacing w:after="0"/>
      </w:pPr>
      <w:r>
        <w:t xml:space="preserve">Lee, D.-H. (2013). </w:t>
      </w:r>
      <w:r>
        <w:rPr>
          <w:i/>
        </w:rPr>
        <w:t>Pseudo-label: The simple and efficient semi-supervised learning method for deep neural networks.</w:t>
      </w:r>
      <w:r>
        <w:t xml:space="preserve"> Paper presented at the Workshop on challenges in representation learning, ICML.</w:t>
      </w:r>
    </w:p>
    <w:p>
      <w:pPr>
        <w:pStyle w:val="EndNoteBibliography"/>
        <w:ind w:left="720" w:hanging="720"/>
        <w:spacing w:after="0"/>
      </w:pPr>
      <w:r>
        <w:t xml:space="preserve">Liu, P., Zhang, H., &amp; Eom, K. B. (2016). Active deep learning for classification of hyperspectral images. </w:t>
      </w:r>
      <w:r>
        <w:rPr>
          <w:i/>
        </w:rPr>
        <w:t>IEEE Journal of Selected Topics in Applied Earth Observations and Remote Sensing, 10</w:t>
      </w:r>
      <w:r>
        <w:t xml:space="preserve">(2), 712-724. </w:t>
      </w:r>
    </w:p>
    <w:p>
      <w:pPr>
        <w:pStyle w:val="EndNoteBibliography"/>
        <w:ind w:left="720" w:hanging="720"/>
        <w:spacing w:after="0"/>
      </w:pPr>
      <w:r>
        <w:t xml:space="preserve">Luo, Y., Zhu, J., Li, M., Ren, Y., &amp; Zhang, B. (2018). </w:t>
      </w:r>
      <w:r>
        <w:rPr>
          <w:i/>
        </w:rPr>
        <w:t>Smooth neighbors on teacher graphs for semi-supervised learning.</w:t>
      </w:r>
      <w:r>
        <w:t xml:space="preserve"> Paper presented at the Proceedings of the IEEE conference on computer vision and pattern recognition.</w:t>
      </w:r>
    </w:p>
    <w:p>
      <w:pPr>
        <w:pStyle w:val="EndNoteBibliography"/>
        <w:ind w:left="720" w:hanging="720"/>
        <w:spacing w:after="0"/>
      </w:pPr>
      <w:r>
        <w:t xml:space="preserve">Qiao, S., Shen, W., Zhang, Z., Wang, B., &amp; Yuille, A. (2018). </w:t>
      </w:r>
      <w:r>
        <w:rPr>
          <w:i/>
        </w:rPr>
        <w:t>Deep co-training for semi-supervised image recognition.</w:t>
      </w:r>
      <w:r>
        <w:t xml:space="preserve"> Paper presented at the Proceedings of the european conference on computer vision (eccv).</w:t>
      </w:r>
    </w:p>
    <w:p>
      <w:pPr>
        <w:pStyle w:val="EndNoteBibliography"/>
        <w:ind w:left="720" w:hanging="720"/>
        <w:spacing w:after="0"/>
      </w:pPr>
      <w:r>
        <w:t xml:space="preserve">Ren, P., Xiao, Y., Chang, X., Huang, P.-Y., Li, Z., Gupta, B. B., . . . Wang, X. (2021). A survey of deep active learning. </w:t>
      </w:r>
      <w:r>
        <w:rPr>
          <w:i/>
        </w:rPr>
        <w:t>ACM computing surveys (CSUR), 54</w:t>
      </w:r>
      <w:r>
        <w:t xml:space="preserve">(9), 1-40. </w:t>
      </w:r>
    </w:p>
    <w:p>
      <w:pPr>
        <w:pStyle w:val="EndNoteBibliography"/>
        <w:ind w:left="720" w:hanging="720"/>
        <w:spacing w:after="0"/>
      </w:pPr>
      <w:r>
        <w:t xml:space="preserve">Sajjadi, M., Javanmardi, M., &amp; Tasdizen, T. (2016). Regularization with stochastic transformations and perturbations for deep semi-supervised learning. </w:t>
      </w:r>
      <w:r>
        <w:rPr>
          <w:i/>
        </w:rPr>
        <w:t>Advances in neural information processing systems, 29</w:t>
      </w:r>
      <w:r>
        <w:t xml:space="preserve">. </w:t>
      </w:r>
    </w:p>
    <w:p>
      <w:pPr>
        <w:pStyle w:val="EndNoteBibliography"/>
        <w:ind w:left="720" w:hanging="720"/>
        <w:spacing w:after="0"/>
      </w:pPr>
      <w:r>
        <w:t xml:space="preserve">Sener, O., &amp; Savarese, S. (2017). Active learning for convolutional neural networks: A core-set approach. </w:t>
      </w:r>
      <w:r>
        <w:rPr>
          <w:i/>
        </w:rPr>
        <w:t>arXiv preprint arXiv:1708.00489</w:t>
      </w:r>
      <w:r>
        <w:t xml:space="preserve">. </w:t>
      </w:r>
    </w:p>
    <w:p>
      <w:pPr>
        <w:pStyle w:val="EndNoteBibliography"/>
        <w:ind w:left="720" w:hanging="720"/>
        <w:spacing w:after="0"/>
      </w:pPr>
      <w:r>
        <w:t xml:space="preserve">Shi, W., Gong, Y., Ding, C., Tao, Z. M., &amp; Zheng, N. (2018). </w:t>
      </w:r>
      <w:r>
        <w:rPr>
          <w:i/>
        </w:rPr>
        <w:t>Transductive semi-supervised deep learning using min-max features.</w:t>
      </w:r>
      <w:r>
        <w:t xml:space="preserve"> Paper presented at the Proceedings of the European Conference on Computer Vision (ECCV).</w:t>
      </w:r>
    </w:p>
    <w:p>
      <w:pPr>
        <w:pStyle w:val="EndNoteBibliography"/>
        <w:ind w:left="720" w:hanging="720"/>
        <w:spacing w:after="0"/>
      </w:pPr>
      <w:r>
        <w:t xml:space="preserve">Sinha, S., Ebrahimi, S., &amp; Darrell, T. (2019). </w:t>
      </w:r>
      <w:r>
        <w:rPr>
          <w:i/>
        </w:rPr>
        <w:t>Variational adversarial active learning.</w:t>
      </w:r>
      <w:r>
        <w:t xml:space="preserve"> Paper presented at the Proceedings of the IEEE/CVF International Conference on Computer Vision.</w:t>
      </w:r>
    </w:p>
    <w:p>
      <w:pPr>
        <w:pStyle w:val="EndNoteBibliography"/>
        <w:ind w:left="720" w:hanging="720"/>
        <w:spacing w:after="0"/>
      </w:pPr>
      <w:r>
        <w:t xml:space="preserve">Sun, Y., Li, J., Wang, W., Plaza, A., &amp; Chen, Z. (2016). </w:t>
      </w:r>
      <w:r>
        <w:rPr>
          <w:i/>
        </w:rPr>
        <w:t>Active learning based autoencoder for hyperspectral imagery classification.</w:t>
      </w:r>
      <w:r>
        <w:t xml:space="preserve"> Paper presented at the 2016 IEEE International Geoscience and Remote Sensing Symposium (IGARSS).</w:t>
      </w:r>
    </w:p>
    <w:p>
      <w:pPr>
        <w:pStyle w:val="EndNoteBibliography"/>
        <w:ind w:left="720" w:hanging="720"/>
        <w:spacing w:after="0"/>
      </w:pPr>
      <w:r>
        <w:t xml:space="preserve">Tong, S. (2001). </w:t>
      </w:r>
      <w:r>
        <w:rPr>
          <w:i/>
        </w:rPr>
        <w:t>Active learning: theory and applications</w:t>
      </w:r>
      <w:r>
        <w:t>: Stanford University.</w:t>
      </w:r>
    </w:p>
    <w:p>
      <w:pPr>
        <w:pStyle w:val="EndNoteBibliography"/>
        <w:ind w:left="720" w:hanging="720"/>
        <w:spacing w:after="0"/>
      </w:pPr>
      <w:r>
        <w:t xml:space="preserve">Wang, K., Zhang, D., Li, Y., Zhang, R., &amp; Lin, L. (2016). Cost-effective active learning for deep image classification. </w:t>
      </w:r>
      <w:r>
        <w:rPr>
          <w:i/>
        </w:rPr>
        <w:t>IEEE Transactions on Circuits and Systems for Video Technology, 27</w:t>
      </w:r>
      <w:r>
        <w:t xml:space="preserve">(12), 2591-2600. </w:t>
      </w:r>
    </w:p>
    <w:p>
      <w:pPr>
        <w:pStyle w:val="EndNoteBibliography"/>
        <w:ind w:left="720" w:hanging="720"/>
        <w:spacing w:after="0"/>
      </w:pPr>
      <w:r>
        <w:t xml:space="preserve">Wang, Y., Yao, H., &amp; Zhao, S. (2016). Auto-encoder based dimensionality reduction. </w:t>
      </w:r>
      <w:r>
        <w:rPr>
          <w:i/>
        </w:rPr>
        <w:t>Neurocomputing, 184</w:t>
      </w:r>
      <w:r>
        <w:t xml:space="preserve">, 232-242. </w:t>
      </w:r>
    </w:p>
    <w:p>
      <w:pPr>
        <w:pStyle w:val="EndNoteBibliography"/>
        <w:ind w:left="720" w:hanging="720"/>
        <w:spacing w:after="0"/>
      </w:pPr>
      <w:r>
        <w:t xml:space="preserve">Yang, X., Song, Z., King, I., &amp; Xu, Z. (2022). A survey on deep semi-supervised learning. </w:t>
      </w:r>
      <w:r>
        <w:rPr>
          <w:i/>
        </w:rPr>
        <w:t>IEEE Transactions on Knowledge and Data Engineering</w:t>
      </w:r>
      <w:r>
        <w:t xml:space="preserve">. </w:t>
      </w:r>
    </w:p>
    <w:p>
      <w:pPr>
        <w:pStyle w:val="EndNoteBibliography"/>
        <w:ind w:left="720" w:hanging="720"/>
      </w:pPr>
      <w:r>
        <w:t xml:space="preserve">Zhang, H., Cisse, M., Dauphin, Y. N., &amp; Lopez-Paz, D. (2017). mixup: Beyond empirical risk minimization. </w:t>
      </w:r>
      <w:r>
        <w:rPr>
          <w:i/>
        </w:rPr>
        <w:t>arXiv preprint arXiv:1710.09412</w:t>
      </w:r>
      <w:r>
        <w:t xml:space="preserve">. </w:t>
      </w:r>
    </w:p>
    <w:p>
      <w:pPr>
        <w:rPr>
          <w:rFonts w:eastAsiaTheme="minorHAnsi"/>
          <w:szCs w:val="20"/>
        </w:rPr>
      </w:pPr>
      <w:r>
        <w:rPr>
          <w:rFonts w:eastAsiaTheme="minorHAnsi"/>
          <w:szCs w:val="20"/>
        </w:rPr>
        <w:fldChar w:fldCharType="end"/>
      </w:r>
    </w:p>
    <w:p>
      <w:pPr>
        <w:rPr>
          <w:rFonts w:eastAsiaTheme="minorHAnsi"/>
          <w:szCs w:val="20"/>
        </w:rPr>
      </w:pPr>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 w:name="Cambria Math">
    <w:panose1 w:val="02040503050406030204"/>
    <w:family w:val="roman"/>
    <w:charset w:val="00"/>
    <w:notTrueType w:val="false"/>
    <w:sig w:usb0="E00006FF" w:usb1="420024FF" w:usb2="02000000" w:usb3="00000001" w:csb0="2000019F" w:csb1="00000001"/>
  </w:font>
  <w:font w:name="MS Gothic">
    <w:panose1 w:val="020B0609070205080204"/>
    <w:family w:val="modern"/>
    <w:charset w:val="80"/>
    <w:notTrueType w:val="false"/>
    <w:sig w:usb0="E00002FF" w:usb1="6AC7FDFB" w:usb2="08000012" w:usb3="00000001" w:csb0="4002009F" w:csb1="DFD70000"/>
  </w:font>
  <w:font w:name="맑은 고딕">
    <w:panose1 w:val="020B0503020000020004"/>
    <w:family w:val="modern"/>
    <w:charset w:val="81"/>
    <w:notTrueType w:val="false"/>
    <w:sig w:usb0="9000002F" w:usb1="29D77CFB" w:usb2="00000012" w:usb3="00000001" w:csb0="00080001"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0cd6eb8"/>
    <w:multiLevelType w:val="hybridMultilevel"/>
    <w:tmpl w:val="d604d0a4"/>
    <w:lvl w:ilvl="0" w:tplc="b406defa">
      <w:lvlText w:val="%1."/>
      <w:lvlJc w:val="left"/>
      <w:pPr>
        <w:ind w:left="560" w:hanging="360"/>
      </w:pPr>
      <w:rPr>
        <w:rFonts w:hint="default"/>
      </w:rPr>
    </w:lvl>
    <w:lvl w:ilvl="1" w:tentative="on" w:tplc="4090019">
      <w:start w:val="1"/>
      <w:numFmt w:val="upperLetter"/>
      <w:lvlText w:val="%2."/>
      <w:lvlJc w:val="left"/>
      <w:pPr>
        <w:ind w:left="1000" w:hanging="400"/>
      </w:pPr>
    </w:lvl>
    <w:lvl w:ilvl="2" w:tentative="on" w:tplc="409001b">
      <w:start w:val="1"/>
      <w:numFmt w:val="lowerRoman"/>
      <w:lvlText w:val="%3."/>
      <w:lvlJc w:val="right"/>
      <w:pPr>
        <w:ind w:left="1400" w:hanging="400"/>
      </w:pPr>
    </w:lvl>
    <w:lvl w:ilvl="3" w:tentative="on" w:tplc="409000f">
      <w:start w:val="1"/>
      <w:lvlText w:val="%4."/>
      <w:lvlJc w:val="left"/>
      <w:pPr>
        <w:ind w:left="1800" w:hanging="400"/>
      </w:pPr>
    </w:lvl>
    <w:lvl w:ilvl="4" w:tentative="on" w:tplc="4090019">
      <w:start w:val="1"/>
      <w:numFmt w:val="upperLetter"/>
      <w:lvlText w:val="%5."/>
      <w:lvlJc w:val="left"/>
      <w:pPr>
        <w:ind w:left="2200" w:hanging="400"/>
      </w:pPr>
    </w:lvl>
    <w:lvl w:ilvl="5" w:tentative="on" w:tplc="409001b">
      <w:start w:val="1"/>
      <w:numFmt w:val="lowerRoman"/>
      <w:lvlText w:val="%6."/>
      <w:lvlJc w:val="right"/>
      <w:pPr>
        <w:ind w:left="2600" w:hanging="400"/>
      </w:pPr>
    </w:lvl>
    <w:lvl w:ilvl="6" w:tentative="on" w:tplc="409000f">
      <w:start w:val="1"/>
      <w:lvlText w:val="%7."/>
      <w:lvlJc w:val="left"/>
      <w:pPr>
        <w:ind w:left="3000" w:hanging="400"/>
      </w:pPr>
    </w:lvl>
    <w:lvl w:ilvl="7" w:tentative="on" w:tplc="4090019">
      <w:start w:val="1"/>
      <w:numFmt w:val="upperLetter"/>
      <w:lvlText w:val="%8."/>
      <w:lvlJc w:val="left"/>
      <w:pPr>
        <w:ind w:left="3400" w:hanging="400"/>
      </w:pPr>
    </w:lvl>
    <w:lvl w:ilvl="8" w:tentative="on" w:tplc="409001b">
      <w:start w:val="1"/>
      <w:numFmt w:val="lowerRoman"/>
      <w:lvlText w:val="%9."/>
      <w:lvlJc w:val="right"/>
      <w:pPr>
        <w:ind w:left="38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150"/>
    <w:lsdException w:name="Light List Accent 1" w:uiPriority="151"/>
    <w:lsdException w:name="Light Grid Accent 1" w:uiPriority="152"/>
    <w:lsdException w:name="Medium Shading 1 Accent 1"/>
    <w:lsdException w:name="Medium Shading 2 Accent 1" w:uiPriority="0"/>
    <w:lsdException w:name="Medium List 1 Accent 1" w:uiPriority="0"/>
    <w:lsdException w:name="Revision" w:semiHidden="1"/>
    <w:lsdException w:name="List Paragraph" w:uiPriority="82" w:qFormat="1"/>
    <w:lsdException w:name="Quote" w:uiPriority="65" w:qFormat="1"/>
    <w:lsdException w:name="Intense Quote" w:uiPriority="72"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150"/>
    <w:lsdException w:name="Light List Accent 2" w:uiPriority="151"/>
    <w:lsdException w:name="Light Grid Accent 2" w:uiPriority="152"/>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150"/>
    <w:lsdException w:name="Light List Accent 3" w:uiPriority="151"/>
    <w:lsdException w:name="Light Grid Accent 3" w:uiPriority="152"/>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150"/>
    <w:lsdException w:name="Light List Accent 4" w:uiPriority="151"/>
    <w:lsdException w:name="Light Grid Accent 4" w:uiPriority="152"/>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150"/>
    <w:lsdException w:name="Light List Accent 5" w:uiPriority="151"/>
    <w:lsdException w:name="Light Grid Accent 5" w:uiPriority="152"/>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150"/>
    <w:lsdException w:name="Light List Accent 6" w:uiPriority="151"/>
    <w:lsdException w:name="Light Grid Accent 6" w:uiPriority="152"/>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paragraph" w:customStyle="1" w:styleId="EndNoteBibliographyTitle">
    <w:name w:val="EndNote Bibliography Title"/>
    <w:basedOn w:val="a"/>
    <w:link w:val="EndNoteBibliographyTitleChar"/>
    <w:pPr>
      <w:jc w:val="center"/>
      <w:spacing w:after="0"/>
    </w:pPr>
    <w:rPr>
      <w:rFonts w:ascii="맑은 고딕" w:eastAsia="맑은 고딕" w:hAnsi="맑은 고딕"/>
      <w:noProof/>
    </w:rPr>
  </w:style>
  <w:style w:type="character" w:customStyle="1" w:styleId="EndNoteBibliographyTitleChar">
    <w:name w:val="EndNote Bibliography Title Char"/>
    <w:basedOn w:val="a0"/>
    <w:link w:val="EndNoteBibliographyTitle"/>
    <w:rPr>
      <w:rFonts w:ascii="맑은 고딕" w:eastAsia="맑은 고딕" w:hAnsi="맑은 고딕"/>
      <w:noProof/>
    </w:rPr>
  </w:style>
  <w:style w:type="paragraph" w:customStyle="1" w:styleId="EndNoteBibliography">
    <w:name w:val="EndNote Bibliography"/>
    <w:basedOn w:val="a"/>
    <w:link w:val="EndNoteBibliographyChar"/>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Pr>
      <w:rFonts w:ascii="맑은 고딕" w:eastAsia="맑은 고딕" w:hAnsi="맑은 고딕"/>
      <w:noProof/>
    </w:rPr>
  </w:style>
  <w:style w:type="character" w:customStyle="1" w:styleId="notion-enable-hover">
    <w:name w:val="notion-enable-hover"/>
    <w:basedOn w:val="a0"/>
  </w:style>
  <w:style w:type="paragraph" w:styleId="a5">
    <w:name w:val="List Paragraph"/>
    <w:uiPriority w:val="34"/>
    <w:basedOn w:val="a"/>
    <w:qFormat/>
    <w:pPr>
      <w:ind w:leftChars="400" w:left="800"/>
    </w:pPr>
  </w:style>
  <w:style w:type="character" w:styleId="a6">
    <w:name w:val="Placeholder Text"/>
    <w:uiPriority w:val="99"/>
    <w:basedOn w:val="a0"/>
    <w:semiHidden/>
    <w:rPr>
      <w:color w:val="808080"/>
    </w:rPr>
  </w:style>
  <w:style w:type="table" w:styleId="a7">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fontTable" Target="fontTable.xml" /><Relationship Id="rId10" Type="http://schemas.openxmlformats.org/officeDocument/2006/relationships/webSettings" Target="webSettings.xml" /><Relationship Id="rId11" Type="http://schemas.openxmlformats.org/officeDocument/2006/relationships/numbering" Target="numbering.xml" /><Relationship Id="rId12"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2022-12-13T13:31:00Z</dcterms:created>
  <dcterms:modified xsi:type="dcterms:W3CDTF">2022-12-14T05:22:28Z</dcterms:modified>
  <cp:version>1200.0100.01</cp:version>
</cp:coreProperties>
</file>