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F4E79"/>
          <w:sz w:val="32"/>
        </w:rPr>
        <w:t>Критерии 2026 и критерии приёмки MVP-агента</w:t>
      </w:r>
    </w:p>
    <w:p>
      <w:pPr>
        <w:jc w:val="center"/>
      </w:pPr>
      <w:r>
        <w:rPr>
          <w:rFonts w:ascii="Arial" w:hAnsi="Arial"/>
          <w:b w:val="0"/>
          <w:i/>
          <w:color w:val="5A5A5A"/>
          <w:sz w:val="20"/>
        </w:rPr>
        <w:t>Для проверки задания аналитиков «Сбор и формализация требований»</w:t>
      </w:r>
    </w:p>
    <w:p>
      <w:r>
        <w:rPr>
          <w:b/>
        </w:rPr>
        <w:t xml:space="preserve">Назначение документа. </w:t>
      </w:r>
      <w:r>
        <w:t>Зафиксировать два независимых набора критериев: 1) критерии оценки работы стажёра в 2026 году; 2) критерии приёмки самого MVP-агента, который эту работу проверяет.</w:t>
      </w:r>
    </w:p>
    <w:p>
      <w:r>
        <w:rPr>
          <w:rFonts w:ascii="Arial" w:hAnsi="Arial"/>
          <w:b/>
          <w:i w:val="0"/>
          <w:color w:val="1F4E79"/>
          <w:sz w:val="26"/>
        </w:rPr>
        <w:t>1. Границы MVP</w:t>
      </w:r>
    </w:p>
    <w:p>
      <w:pPr>
        <w:pStyle w:val="ListBullet"/>
        <w:spacing w:after="0"/>
      </w:pPr>
      <w:r>
        <w:t>Проверяем только поток аналитиков.</w:t>
      </w:r>
    </w:p>
    <w:p>
      <w:pPr>
        <w:pStyle w:val="ListBullet"/>
        <w:spacing w:after="0"/>
      </w:pPr>
      <w:r>
        <w:t>В MVP поддерживается только задание «Сбор и формализация требований».</w:t>
      </w:r>
    </w:p>
    <w:p>
      <w:pPr>
        <w:pStyle w:val="ListBullet"/>
        <w:spacing w:after="0"/>
      </w:pPr>
      <w:r>
        <w:t>Ожидаемый артефакт ответа: документ ФТТ в формате DOCX или PDF.</w:t>
      </w:r>
    </w:p>
    <w:p>
      <w:pPr>
        <w:pStyle w:val="ListBullet"/>
        <w:spacing w:after="0"/>
      </w:pPr>
      <w:r>
        <w:t>Пользователь загружает только свою работу; исходные материалы задания заранее хранятся внутри системы.</w:t>
      </w:r>
    </w:p>
    <w:p>
      <w:pPr>
        <w:pStyle w:val="ListBullet"/>
        <w:spacing w:after="0"/>
      </w:pPr>
      <w:r>
        <w:t>Система должна работать без эталонов решённых заданий, но должна поддерживать подключение калибровочных примеров проверенных работ для последующей настройки логики оценки.</w:t>
      </w:r>
    </w:p>
    <w:p>
      <w:r>
        <w:rPr>
          <w:rFonts w:ascii="Arial" w:hAnsi="Arial"/>
          <w:b/>
          <w:i w:val="0"/>
          <w:color w:val="1F4E79"/>
          <w:sz w:val="26"/>
        </w:rPr>
        <w:t>2. Критерии оценки работы стажёра 2026</w:t>
      </w:r>
    </w:p>
    <w:p>
      <w:r>
        <w:t>Рекомендуемая шкала — 100 баллов. Ниже приведён базовый состав критериев для задания «Сбор требований».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Arial" w:hAnsi="Arial"/>
                <w:b/>
                <w:sz w:val="18"/>
              </w:rPr>
              <w:t>Критерий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Arial" w:hAnsi="Arial"/>
                <w:b/>
                <w:sz w:val="18"/>
              </w:rPr>
              <w:t>Вес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Arial" w:hAnsi="Arial"/>
                <w:b/>
                <w:sz w:val="18"/>
              </w:rPr>
              <w:t>Что проверяем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Arial" w:hAnsi="Arial"/>
                <w:b/>
                <w:sz w:val="18"/>
              </w:rPr>
              <w:t>Типичные проблемы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Полнота извлечения требований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Выделены ли из кейса и интервью ключевые цели, проблемы, источники данных, пользователи, метрики, ограничения MVP.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Упущены ежедневное обновление, топ-5, доступ закупкам, ограничение по скорости, причины текущих проблем.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Корректность распределения по разделам ФТТ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Попали ли сведения в правильные разделы документа: цели, текущая ситуация, требования к данным, визуализации, НФТ, доступы.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Смешение текущего процесса и будущих требований; метрики описаны вне раздела данных; НФТ спрятаны в визуализации.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Качество формулировок требований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Требования конкретны, проверяемы, однозначны, без воды и оценочных слов.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«Система должна быть удобной», «желательно», «эффективная визуализация» без измеримого критерия.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Отсутствие домыслов и фактическая достоверность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Нет ли требований, не подтверждённых входными материалами.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Придуманы интеграции, мобильное приложение, прогнозирование, роли или показатели, которых заказчик не называл.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Требования к данным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Корректно ли отражены источники, показатели, периодичность обновления, базовые правила расчёта и аналитические срезы.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Не перечислены Brand/Category/Product/Stock/Transaction; потеряна логика по выручке, полной цене, динамике.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Требования к визуализации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Раскрыты ли будущие формы анализа: графики, топы, фильтры, разрезы, детализация.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Описаны общие пожелания без состава отчёта, фильтров и срезов.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Соблюдение структуры и инструкции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Есть ли обязательные разделы, удалены ли подсказки шаблона, не скопированы ли примеры из инструкции.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В документе остались служебные тексты, серые пояснения, примеры или нарушена структура разделов.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Грамотность и деловой язык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Орфография, пунктуация, нейтральный деловой стиль.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Ошибки, тяжёлые фразы, разговорный стиль.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Признаки использования ИИ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Есть ли риск-маркеры машинной генерации.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sz w:val="18"/>
              </w:rPr>
              <w:t>Чрезмерно общие абзацы, пустые универсальные тезисы, неестественная однотипность списков.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Правила интерпретации результатов</w:t>
      </w:r>
    </w:p>
    <w:p>
      <w:pPr>
        <w:pStyle w:val="ListBullet"/>
        <w:spacing w:after="0"/>
      </w:pPr>
      <w:r>
        <w:t>Работа не должна оцениваться по принципу буквального совпадения с шаблоном или с одной образцовой формулировкой.</w:t>
      </w:r>
    </w:p>
    <w:p>
      <w:pPr>
        <w:pStyle w:val="ListBullet"/>
        <w:spacing w:after="0"/>
      </w:pPr>
      <w:r>
        <w:t>Исправление стажёром опечаток, стилистических шероховатостей и явных технических ошибок шаблона считается допустимым и положительным, если смысл не искажён.</w:t>
      </w:r>
    </w:p>
    <w:p>
      <w:pPr>
        <w:pStyle w:val="ListBullet"/>
        <w:spacing w:after="0"/>
      </w:pPr>
      <w:r>
        <w:t>Признаки использования ИИ оцениваются как риск-фактор, а не как автоматический вердикт. Каждое такое замечание должно сопровождаться примерами.</w:t>
      </w:r>
    </w:p>
    <w:p>
      <w:pPr>
        <w:pStyle w:val="ListBullet"/>
        <w:spacing w:after="0"/>
      </w:pPr>
      <w:r>
        <w:t>Обратная связь для стажёра должна быть развивающей: понятно указывать, что перепроверить или усилить, но не подменять самостоятельную работу готовым ответом.</w:t>
      </w:r>
    </w:p>
    <w:p>
      <w:r>
        <w:rPr>
          <w:rFonts w:ascii="Arial" w:hAnsi="Arial"/>
          <w:b/>
          <w:i w:val="0"/>
          <w:sz w:val="22"/>
        </w:rPr>
        <w:t>Итоговые статусы работы</w:t>
      </w:r>
    </w:p>
    <w:p>
      <w:pPr>
        <w:pStyle w:val="ListBullet"/>
        <w:spacing w:after="0"/>
      </w:pPr>
      <w:r>
        <w:t>85–100 баллов — сильная работа: требования полные, хорошо распределены и качественно сформулированы.</w:t>
      </w:r>
    </w:p>
    <w:p>
      <w:pPr>
        <w:pStyle w:val="ListBullet"/>
        <w:spacing w:after="0"/>
      </w:pPr>
      <w:r>
        <w:t>65–84 балла — приемлемая работа: основа верная, но есть заметные пробелы или слабые формулировки.</w:t>
      </w:r>
    </w:p>
    <w:p>
      <w:pPr>
        <w:pStyle w:val="ListBullet"/>
        <w:spacing w:after="0"/>
      </w:pPr>
      <w:r>
        <w:t>0–64 балла — слабая работа: много упущений, домыслов, нарушений структуры или проблем с качеством требований.</w:t>
      </w:r>
    </w:p>
    <w:p>
      <w:r>
        <w:rPr>
          <w:rFonts w:ascii="Arial" w:hAnsi="Arial"/>
          <w:b/>
          <w:i w:val="0"/>
          <w:color w:val="1F4E79"/>
          <w:sz w:val="26"/>
        </w:rPr>
        <w:t>3. Критерии приёмки MVP-агента</w:t>
      </w:r>
    </w:p>
    <w:p>
      <w:r>
        <w:t>Ниже — критерии, по которым можно считать сам MVP готовым к использованию наставниками.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Arial" w:hAnsi="Arial"/>
                <w:b/>
                <w:sz w:val="18"/>
              </w:rPr>
              <w:t>Критерий приёмки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Arial" w:hAnsi="Arial"/>
                <w:b/>
                <w:sz w:val="18"/>
              </w:rPr>
              <w:t>Что считается выполнением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Arial" w:hAnsi="Arial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Загрузка ответа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Система принимает один файл ответа стажёра в DOCX или PDF без необходимости повторно загружать кейс и инструкции.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Пользователь загружает только свою работу.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Автоподбор материалов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Система автоматически использует внутренний пакет материалов задания: кейс, интервью, шаблон, инструкцию и правила проверки.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Исходные материалы заранее привязаны к профилю задания.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Структурированный отчёт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На выходе формируется единый отчёт с общим резюме, оценкой по критериям, примерами несоответствий и развивающей обратной связью.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Отчёт должен быть пригоден и для наставника, и для стажёра.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Объяснимость замечаний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Для каждого существенного замечания есть понятное основание: цитата из ответа или указание на отсутствующий смысл.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Без голословных претензий.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Корректный тон обратной связи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Система подсказывает направление исправления, но не пишет готовые разделы документа за стажёра.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Запрещено автодорешивание задания.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Работа без эталонов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MVP корректно работает только на материалах задания и критериях 2026, без обязательного наличия образцовых решений.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Эталоны не являются блокером запуска.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Поддержка калибровочных примеров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Архитектура позволяет позже подключить сильные, средние и слабые проверенные работы для настройки логики оценки.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Это усиление второй итерации, а не условие запуска.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Устойчивость обработки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Система не падает на типовых входных файлах и возвращает осмысленное сообщение об ошибке для неподдерживаемых или повреждённых файлов.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Важно для реального использования.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Повторяемость оценки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При повторной проверке одного и того же документа вывод сохраняет общий уровень и ключевые замечания.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Допускаются мелкие вариации формулировок, но не развал логики.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Готовность к интеграции API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Есть выделённый слой вызова модели, чтобы позднее подключить OpenAI API без переписывания всей системы.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Arial" w:hAnsi="Arial"/>
                <w:sz w:val="18"/>
              </w:rPr>
              <w:t>До подключения API допустим rule-based каркас и заглушки.</w:t>
            </w:r>
          </w:p>
        </w:tc>
      </w:tr>
    </w:tbl>
    <w:p>
      <w:r>
        <w:rPr>
          <w:rFonts w:ascii="Arial" w:hAnsi="Arial"/>
          <w:b/>
          <w:i w:val="0"/>
          <w:color w:val="1F4E79"/>
          <w:sz w:val="26"/>
        </w:rPr>
        <w:t>4. Что не входит в MVP</w:t>
      </w:r>
    </w:p>
    <w:p>
      <w:pPr>
        <w:pStyle w:val="ListBullet"/>
        <w:spacing w:after="0"/>
      </w:pPr>
      <w:r>
        <w:t>Проверка остальных заданий аналитиков.</w:t>
      </w:r>
    </w:p>
    <w:p>
      <w:pPr>
        <w:pStyle w:val="ListBullet"/>
        <w:spacing w:after="0"/>
      </w:pPr>
      <w:r>
        <w:t>Проверка потоков инженеров данных.</w:t>
      </w:r>
    </w:p>
    <w:p>
      <w:pPr>
        <w:pStyle w:val="ListBullet"/>
        <w:spacing w:after="0"/>
      </w:pPr>
      <w:r>
        <w:t>Полноценная панель администратора.</w:t>
      </w:r>
    </w:p>
    <w:p>
      <w:pPr>
        <w:pStyle w:val="ListBullet"/>
        <w:spacing w:after="0"/>
      </w:pPr>
      <w:r>
        <w:t>Массовая пакетная проверка нескольких десятков работ одновременно.</w:t>
      </w:r>
    </w:p>
    <w:p>
      <w:pPr>
        <w:pStyle w:val="ListBullet"/>
        <w:spacing w:after="0"/>
      </w:pPr>
      <w:r>
        <w:t>Интеграции с YT, базой знаний и внутренними корпоративными системами.</w:t>
      </w:r>
    </w:p>
    <w:p>
      <w:r>
        <w:rPr>
          <w:rFonts w:ascii="Arial" w:hAnsi="Arial"/>
          <w:b/>
          <w:i w:val="0"/>
          <w:color w:val="1F4E79"/>
          <w:sz w:val="26"/>
        </w:rPr>
        <w:t>5. Вывод</w:t>
      </w:r>
    </w:p>
    <w:p>
      <w:r>
        <w:rPr>
          <w:b/>
        </w:rPr>
        <w:t xml:space="preserve">Для запуска MVP </w:t>
      </w:r>
      <w:r>
        <w:t xml:space="preserve">не требуется набор эталонных решённых заданий. Достаточно материалов кейса, критериев оценки 2026 и правил обратной связи. </w:t>
      </w:r>
      <w:r>
        <w:t xml:space="preserve">При этом система должна изначально поддерживать </w:t>
      </w:r>
      <w:r>
        <w:rPr>
          <w:b/>
        </w:rPr>
        <w:t>подключение калибровочных примеров проверенных работ</w:t>
      </w:r>
      <w:r>
        <w:t>, чтобы во второй итерации повысить точность различения сильных, средних и слабых ответов.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