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0C065" w14:textId="77777777" w:rsidR="000B48B4" w:rsidRPr="000B48B4" w:rsidRDefault="000B48B4" w:rsidP="000B48B4">
      <w:pPr>
        <w:pStyle w:val="Ttulo"/>
        <w:rPr>
          <w:lang w:val="pt-BR"/>
        </w:rPr>
      </w:pPr>
      <w:r w:rsidRPr="000B48B4">
        <w:rPr>
          <w:lang w:val="pt-BR"/>
        </w:rPr>
        <w:t>Auditoria do Ativo</w:t>
      </w:r>
    </w:p>
    <w:p w14:paraId="1451A72E" w14:textId="77777777" w:rsidR="00BF58EC" w:rsidRPr="000B48B4" w:rsidRDefault="000B48B4" w:rsidP="000B48B4">
      <w:pPr>
        <w:pStyle w:val="Subttulo"/>
        <w:rPr>
          <w:lang w:val="pt-BR"/>
        </w:rPr>
      </w:pPr>
      <w:r w:rsidRPr="000B48B4">
        <w:rPr>
          <w:lang w:val="pt-BR"/>
        </w:rPr>
        <w:t>Relatório ao Conselho: de que é feito o ativo da Lumis e que números sobrevivem a uma auditoria independente</w:t>
      </w:r>
    </w:p>
    <w:p w14:paraId="1B8743F0" w14:textId="77777777" w:rsidR="00082595" w:rsidRPr="00061C5C" w:rsidRDefault="00000000">
      <w:pPr>
        <w:pStyle w:val="LumisDestaque"/>
        <w:rPr>
          <w:lang w:val="pt-BR"/>
        </w:rPr>
      </w:pPr>
      <w:r w:rsidRPr="00061C5C">
        <w:rPr>
          <w:lang w:val="pt-BR"/>
        </w:rPr>
        <w:t>Hoje o ativo da Lumis não passa numa auditoria independente. A parte da base que só a Lumis tem está sob contratos frágeis, e o modelo erra mais justamente com quem mais precisa de prioridade.</w:t>
      </w:r>
    </w:p>
    <w:p w14:paraId="2F4618D1" w14:textId="77777777" w:rsidR="00082595" w:rsidRPr="00061C5C" w:rsidRDefault="00000000">
      <w:pPr>
        <w:rPr>
          <w:lang w:val="pt-BR"/>
        </w:rPr>
      </w:pPr>
      <w:r w:rsidRPr="00061C5C">
        <w:rPr>
          <w:lang w:val="pt-BR"/>
        </w:rPr>
        <w:t>A parte exclusiva da base são 5,9 milhões de registros de clientes. Desses, 35,4% vêm de contratos com autorização frágil para treinamento, e nenhum dos seis contratos de dados passou por revisão jurídica desde a assinatura. Em campo, de cada 10 pacientes com 60 anos ou mais de CEP D/E que precisavam de prioridade, 3 foram classificados como baixa prioridade, e quem mediu isso foi o hospital. Das cinco afirmações que a Lumis divulga ao mercado, nenhuma passa numa auditoria do jeito que é divulgada.</w:t>
      </w:r>
    </w:p>
    <w:p w14:paraId="2F32E078" w14:textId="5CE444A1" w:rsidR="00082595" w:rsidRPr="00061C5C" w:rsidRDefault="00000000">
      <w:pPr>
        <w:rPr>
          <w:lang w:val="pt-BR"/>
        </w:rPr>
      </w:pPr>
      <w:r w:rsidRPr="00061C5C">
        <w:rPr>
          <w:b/>
          <w:lang w:val="pt-BR"/>
        </w:rPr>
        <w:t>Pedido ao conselho</w:t>
      </w:r>
      <w:r w:rsidR="00061C5C">
        <w:rPr>
          <w:b/>
          <w:lang w:val="pt-BR"/>
        </w:rPr>
        <w:t>:</w:t>
      </w:r>
      <w:r w:rsidRPr="00061C5C">
        <w:rPr>
          <w:lang w:val="pt-BR"/>
        </w:rPr>
        <w:t xml:space="preserve"> </w:t>
      </w:r>
      <w:r w:rsidR="00061C5C">
        <w:rPr>
          <w:lang w:val="pt-BR"/>
        </w:rPr>
        <w:t>R</w:t>
      </w:r>
      <w:r w:rsidRPr="00061C5C">
        <w:rPr>
          <w:lang w:val="pt-BR"/>
        </w:rPr>
        <w:t>estringir a recomendação automática para pacientes com 60 anos ou mais de CEP C e D/E, com o custo descrito na seção 5</w:t>
      </w:r>
      <w:r w:rsidR="00061C5C">
        <w:rPr>
          <w:lang w:val="pt-BR"/>
        </w:rPr>
        <w:t>.</w:t>
      </w:r>
      <w:r w:rsidRPr="00061C5C">
        <w:rPr>
          <w:lang w:val="pt-BR"/>
        </w:rPr>
        <w:t xml:space="preserve"> </w:t>
      </w:r>
      <w:r w:rsidR="00061C5C">
        <w:rPr>
          <w:lang w:val="pt-BR"/>
        </w:rPr>
        <w:t>E</w:t>
      </w:r>
      <w:r w:rsidRPr="00061C5C">
        <w:rPr>
          <w:lang w:val="pt-BR"/>
        </w:rPr>
        <w:t xml:space="preserve"> tirar do material comercial os números que não se sustentam</w:t>
      </w:r>
      <w:r w:rsidR="00061C5C">
        <w:rPr>
          <w:lang w:val="pt-BR"/>
        </w:rPr>
        <w:t>.</w:t>
      </w:r>
    </w:p>
    <w:p w14:paraId="4DDA2D91" w14:textId="77777777" w:rsidR="00082595" w:rsidRPr="00061C5C" w:rsidRDefault="00000000">
      <w:pPr>
        <w:pStyle w:val="Ttulo1"/>
        <w:rPr>
          <w:lang w:val="pt-BR"/>
        </w:rPr>
      </w:pPr>
      <w:r w:rsidRPr="00061C5C">
        <w:rPr>
          <w:lang w:val="pt-BR"/>
        </w:rPr>
        <w:t>1. De onde vêm os dados e se a Lumis pode usá-los</w:t>
      </w:r>
    </w:p>
    <w:p w14:paraId="4612E293" w14:textId="77777777" w:rsidR="00082595" w:rsidRPr="00061C5C" w:rsidRDefault="00000000">
      <w:pPr>
        <w:rPr>
          <w:lang w:val="pt-BR"/>
        </w:rPr>
      </w:pPr>
      <w:r w:rsidRPr="00061C5C">
        <w:rPr>
          <w:lang w:val="pt-BR"/>
        </w:rPr>
        <w:t xml:space="preserve">A base de treinamento soma 22,0 milhões de registros. O DATASUS responde por 63,6% e os dados sintéticos gerados pela própria Lumis por 9,5%. O DATASUS tem uso autorizado, só que está aberto a qualquer concorrente. O que é exclusivo da Lumis são os 26,8% vindos de clientes, e é nessa parte que estão as fragilidades </w:t>
      </w:r>
      <w:r w:rsidRPr="00061C5C">
        <w:rPr>
          <w:rStyle w:val="TagFonte"/>
          <w:lang w:val="pt-BR"/>
        </w:rPr>
        <w:t>[fonte: Cap. 2, Quadro 7]</w:t>
      </w:r>
      <w:r w:rsidRPr="00061C5C">
        <w:rPr>
          <w:lang w:val="pt-BR"/>
        </w:rPr>
        <w:t>.</w:t>
      </w:r>
    </w:p>
    <w:tbl>
      <w:tblPr>
        <w:tblW w:w="0" w:type="auto"/>
        <w:jc w:val="center"/>
        <w:tblBorders>
          <w:top w:val="single" w:sz="4" w:space="0" w:color="D3DEDB"/>
          <w:bottom w:val="single" w:sz="4" w:space="0" w:color="D3DEDB"/>
          <w:insideH w:val="single" w:sz="4" w:space="0" w:color="D3DEDB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57"/>
        <w:gridCol w:w="2098"/>
        <w:gridCol w:w="964"/>
        <w:gridCol w:w="2551"/>
      </w:tblGrid>
      <w:tr w:rsidR="00082595" w14:paraId="4865E396" w14:textId="77777777">
        <w:trPr>
          <w:cantSplit/>
          <w:tblHeader/>
          <w:jc w:val="center"/>
        </w:trPr>
        <w:tc>
          <w:tcPr>
            <w:tcW w:w="1701" w:type="dxa"/>
            <w:shd w:val="clear" w:color="auto" w:fill="0F2D3A"/>
          </w:tcPr>
          <w:p w14:paraId="5D8B0581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Fonte</w:t>
            </w:r>
          </w:p>
        </w:tc>
        <w:tc>
          <w:tcPr>
            <w:tcW w:w="1757" w:type="dxa"/>
            <w:shd w:val="clear" w:color="auto" w:fill="0F2D3A"/>
          </w:tcPr>
          <w:p w14:paraId="395F197A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Volume e período</w:t>
            </w:r>
          </w:p>
        </w:tc>
        <w:tc>
          <w:tcPr>
            <w:tcW w:w="2098" w:type="dxa"/>
            <w:shd w:val="clear" w:color="auto" w:fill="0F2D3A"/>
          </w:tcPr>
          <w:p w14:paraId="10614194" w14:textId="77777777" w:rsidR="00082595" w:rsidRPr="00061C5C" w:rsidRDefault="00000000">
            <w:pPr>
              <w:pStyle w:val="LumisTabela"/>
              <w:keepNext/>
              <w:rPr>
                <w:lang w:val="pt-BR"/>
              </w:rPr>
            </w:pPr>
            <w:r w:rsidRPr="00061C5C">
              <w:rPr>
                <w:b/>
                <w:color w:val="FFFFFF"/>
                <w:lang w:val="pt-BR"/>
              </w:rPr>
              <w:t>O que o contrato diz sobre treino</w:t>
            </w:r>
          </w:p>
        </w:tc>
        <w:tc>
          <w:tcPr>
            <w:tcW w:w="964" w:type="dxa"/>
            <w:shd w:val="clear" w:color="auto" w:fill="0F2D3A"/>
          </w:tcPr>
          <w:p w14:paraId="7E1D7F96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Vence</w:t>
            </w:r>
          </w:p>
        </w:tc>
        <w:tc>
          <w:tcPr>
            <w:tcW w:w="2551" w:type="dxa"/>
            <w:shd w:val="clear" w:color="auto" w:fill="0F2D3A"/>
          </w:tcPr>
          <w:p w14:paraId="4CB49FDE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Leitura da equipe</w:t>
            </w:r>
          </w:p>
        </w:tc>
      </w:tr>
      <w:tr w:rsidR="00082595" w:rsidRPr="00061C5C" w14:paraId="3D31A1C7" w14:textId="77777777">
        <w:trPr>
          <w:cantSplit/>
          <w:jc w:val="center"/>
        </w:trPr>
        <w:tc>
          <w:tcPr>
            <w:tcW w:w="1701" w:type="dxa"/>
          </w:tcPr>
          <w:p w14:paraId="07D8C677" w14:textId="77777777" w:rsidR="00082595" w:rsidRDefault="00000000">
            <w:pPr>
              <w:pStyle w:val="LumisTabela"/>
            </w:pPr>
            <w:r>
              <w:rPr>
                <w:b/>
              </w:rPr>
              <w:t>Seguradora Prisma</w:t>
            </w:r>
          </w:p>
        </w:tc>
        <w:tc>
          <w:tcPr>
            <w:tcW w:w="1757" w:type="dxa"/>
          </w:tcPr>
          <w:p w14:paraId="224275F6" w14:textId="77777777" w:rsidR="00082595" w:rsidRDefault="00000000">
            <w:pPr>
              <w:pStyle w:val="LumisTabela"/>
            </w:pPr>
            <w:r>
              <w:t>890 mil sinistros, 2021 a 2026</w:t>
            </w:r>
          </w:p>
        </w:tc>
        <w:tc>
          <w:tcPr>
            <w:tcW w:w="2098" w:type="dxa"/>
          </w:tcPr>
          <w:p w14:paraId="6AB410B7" w14:textId="77777777" w:rsidR="00082595" w:rsidRDefault="00000000">
            <w:pPr>
              <w:pStyle w:val="LumisTabela"/>
            </w:pPr>
            <w:r>
              <w:t>Nada (contrato silente)</w:t>
            </w:r>
          </w:p>
        </w:tc>
        <w:tc>
          <w:tcPr>
            <w:tcW w:w="964" w:type="dxa"/>
          </w:tcPr>
          <w:p w14:paraId="18F23F15" w14:textId="77777777" w:rsidR="00082595" w:rsidRDefault="00000000">
            <w:pPr>
              <w:pStyle w:val="LumisTabela"/>
            </w:pPr>
            <w:r>
              <w:t>12/2026</w:t>
            </w:r>
          </w:p>
        </w:tc>
        <w:tc>
          <w:tcPr>
            <w:tcW w:w="2551" w:type="dxa"/>
          </w:tcPr>
          <w:p w14:paraId="206AD31C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Sem autorização. Vence em menos de três meses</w:t>
            </w:r>
          </w:p>
        </w:tc>
      </w:tr>
      <w:tr w:rsidR="00082595" w:rsidRPr="00061C5C" w14:paraId="570A5003" w14:textId="77777777">
        <w:trPr>
          <w:cantSplit/>
          <w:jc w:val="center"/>
        </w:trPr>
        <w:tc>
          <w:tcPr>
            <w:tcW w:w="1701" w:type="dxa"/>
            <w:shd w:val="clear" w:color="auto" w:fill="F1F6F4"/>
          </w:tcPr>
          <w:p w14:paraId="34182982" w14:textId="77777777" w:rsidR="00082595" w:rsidRDefault="00000000">
            <w:pPr>
              <w:pStyle w:val="LumisTabela"/>
            </w:pPr>
            <w:r>
              <w:rPr>
                <w:b/>
              </w:rPr>
              <w:t>Hospital Vila Ipê</w:t>
            </w:r>
          </w:p>
        </w:tc>
        <w:tc>
          <w:tcPr>
            <w:tcW w:w="1757" w:type="dxa"/>
            <w:shd w:val="clear" w:color="auto" w:fill="F1F6F4"/>
          </w:tcPr>
          <w:p w14:paraId="1DFD2E61" w14:textId="77777777" w:rsidR="00082595" w:rsidRDefault="00000000">
            <w:pPr>
              <w:pStyle w:val="LumisTabela"/>
            </w:pPr>
            <w:r>
              <w:t>1,2 mi atendimentos, 2019 a 2026</w:t>
            </w:r>
          </w:p>
        </w:tc>
        <w:tc>
          <w:tcPr>
            <w:tcW w:w="2098" w:type="dxa"/>
            <w:shd w:val="clear" w:color="auto" w:fill="F1F6F4"/>
          </w:tcPr>
          <w:p w14:paraId="14E90407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Cláusula genérica: "melhoria contínua do serviço"</w:t>
            </w:r>
          </w:p>
        </w:tc>
        <w:tc>
          <w:tcPr>
            <w:tcW w:w="964" w:type="dxa"/>
            <w:shd w:val="clear" w:color="auto" w:fill="F1F6F4"/>
          </w:tcPr>
          <w:p w14:paraId="4A4C2A47" w14:textId="77777777" w:rsidR="00082595" w:rsidRDefault="00000000">
            <w:pPr>
              <w:pStyle w:val="LumisTabela"/>
            </w:pPr>
            <w:r>
              <w:t>03/2027</w:t>
            </w:r>
          </w:p>
        </w:tc>
        <w:tc>
          <w:tcPr>
            <w:tcW w:w="2551" w:type="dxa"/>
            <w:shd w:val="clear" w:color="auto" w:fill="F1F6F4"/>
          </w:tcPr>
          <w:p w14:paraId="66FEC64C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Autorização frágil. É também o hospital que notificou o viés</w:t>
            </w:r>
          </w:p>
        </w:tc>
      </w:tr>
      <w:tr w:rsidR="00082595" w:rsidRPr="00061C5C" w14:paraId="456EE1B9" w14:textId="77777777">
        <w:trPr>
          <w:cantSplit/>
          <w:jc w:val="center"/>
        </w:trPr>
        <w:tc>
          <w:tcPr>
            <w:tcW w:w="1701" w:type="dxa"/>
          </w:tcPr>
          <w:p w14:paraId="41AC6D57" w14:textId="77777777" w:rsidR="00082595" w:rsidRDefault="00000000">
            <w:pPr>
              <w:pStyle w:val="LumisTabela"/>
            </w:pPr>
            <w:r>
              <w:rPr>
                <w:b/>
              </w:rPr>
              <w:t>Rede Sanare</w:t>
            </w:r>
            <w:r>
              <w:t xml:space="preserve"> (7 unidades)</w:t>
            </w:r>
          </w:p>
        </w:tc>
        <w:tc>
          <w:tcPr>
            <w:tcW w:w="1757" w:type="dxa"/>
          </w:tcPr>
          <w:p w14:paraId="0EEB6BD0" w14:textId="77777777" w:rsidR="00082595" w:rsidRDefault="00000000">
            <w:pPr>
              <w:pStyle w:val="LumisTabela"/>
            </w:pPr>
            <w:r>
              <w:t>3,4 mi atendimentos, 2020 a 2026</w:t>
            </w:r>
          </w:p>
        </w:tc>
        <w:tc>
          <w:tcPr>
            <w:tcW w:w="2098" w:type="dxa"/>
          </w:tcPr>
          <w:p w14:paraId="7893CFCB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Sim, para uso agregado e anonimizado</w:t>
            </w:r>
          </w:p>
        </w:tc>
        <w:tc>
          <w:tcPr>
            <w:tcW w:w="964" w:type="dxa"/>
          </w:tcPr>
          <w:p w14:paraId="599798A7" w14:textId="77777777" w:rsidR="00082595" w:rsidRDefault="00000000">
            <w:pPr>
              <w:pStyle w:val="LumisTabela"/>
            </w:pPr>
            <w:r>
              <w:t>08/2028</w:t>
            </w:r>
          </w:p>
        </w:tc>
        <w:tc>
          <w:tcPr>
            <w:tcW w:w="2551" w:type="dxa"/>
          </w:tcPr>
          <w:p w14:paraId="27C82CE4" w14:textId="1695F8A1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 xml:space="preserve">Autoriza com condição. </w:t>
            </w:r>
          </w:p>
        </w:tc>
      </w:tr>
      <w:tr w:rsidR="00082595" w:rsidRPr="00061C5C" w14:paraId="30920928" w14:textId="77777777">
        <w:trPr>
          <w:cantSplit/>
          <w:jc w:val="center"/>
        </w:trPr>
        <w:tc>
          <w:tcPr>
            <w:tcW w:w="1701" w:type="dxa"/>
            <w:shd w:val="clear" w:color="auto" w:fill="F1F6F4"/>
          </w:tcPr>
          <w:p w14:paraId="49D64734" w14:textId="77777777" w:rsidR="00082595" w:rsidRDefault="00000000">
            <w:pPr>
              <w:pStyle w:val="LumisTabela"/>
            </w:pPr>
            <w:r>
              <w:rPr>
                <w:b/>
              </w:rPr>
              <w:t>Banco Meridiano</w:t>
            </w:r>
          </w:p>
        </w:tc>
        <w:tc>
          <w:tcPr>
            <w:tcW w:w="1757" w:type="dxa"/>
            <w:shd w:val="clear" w:color="auto" w:fill="F1F6F4"/>
          </w:tcPr>
          <w:p w14:paraId="3C767D4B" w14:textId="77777777" w:rsidR="00082595" w:rsidRDefault="00000000">
            <w:pPr>
              <w:pStyle w:val="LumisTabela"/>
            </w:pPr>
            <w:r>
              <w:t>410 mil operações, 2023 a 2026</w:t>
            </w:r>
          </w:p>
        </w:tc>
        <w:tc>
          <w:tcPr>
            <w:tcW w:w="2098" w:type="dxa"/>
            <w:shd w:val="clear" w:color="auto" w:fill="F1F6F4"/>
          </w:tcPr>
          <w:p w14:paraId="28B17333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Sim, com auditoria anual do cliente</w:t>
            </w:r>
          </w:p>
        </w:tc>
        <w:tc>
          <w:tcPr>
            <w:tcW w:w="964" w:type="dxa"/>
            <w:shd w:val="clear" w:color="auto" w:fill="F1F6F4"/>
          </w:tcPr>
          <w:p w14:paraId="3A9D33E9" w14:textId="77777777" w:rsidR="00082595" w:rsidRDefault="00000000">
            <w:pPr>
              <w:pStyle w:val="LumisTabela"/>
            </w:pPr>
            <w:r>
              <w:t>05/2028</w:t>
            </w:r>
          </w:p>
        </w:tc>
        <w:tc>
          <w:tcPr>
            <w:tcW w:w="2551" w:type="dxa"/>
            <w:shd w:val="clear" w:color="auto" w:fill="F1F6F4"/>
          </w:tcPr>
          <w:p w14:paraId="3BDD36F4" w14:textId="126FEA05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 xml:space="preserve">Autoriza com condição. </w:t>
            </w:r>
          </w:p>
        </w:tc>
      </w:tr>
      <w:tr w:rsidR="00082595" w:rsidRPr="00061C5C" w14:paraId="57342E0D" w14:textId="77777777">
        <w:trPr>
          <w:cantSplit/>
          <w:jc w:val="center"/>
        </w:trPr>
        <w:tc>
          <w:tcPr>
            <w:tcW w:w="1701" w:type="dxa"/>
          </w:tcPr>
          <w:p w14:paraId="6D760730" w14:textId="77777777" w:rsidR="00082595" w:rsidRDefault="00000000">
            <w:pPr>
              <w:pStyle w:val="LumisTabela"/>
            </w:pPr>
            <w:r>
              <w:rPr>
                <w:b/>
              </w:rPr>
              <w:t>DATASUS</w:t>
            </w:r>
          </w:p>
        </w:tc>
        <w:tc>
          <w:tcPr>
            <w:tcW w:w="1757" w:type="dxa"/>
          </w:tcPr>
          <w:p w14:paraId="63FEBD76" w14:textId="77777777" w:rsidR="00082595" w:rsidRDefault="00000000">
            <w:pPr>
              <w:pStyle w:val="LumisTabela"/>
            </w:pPr>
            <w:r>
              <w:t>14,0 mi registros, 2015 a 2024</w:t>
            </w:r>
          </w:p>
        </w:tc>
        <w:tc>
          <w:tcPr>
            <w:tcW w:w="2098" w:type="dxa"/>
          </w:tcPr>
          <w:p w14:paraId="3EB74FFA" w14:textId="77777777" w:rsidR="00082595" w:rsidRDefault="00000000">
            <w:pPr>
              <w:pStyle w:val="LumisTabela"/>
            </w:pPr>
            <w:r>
              <w:t>Uso público</w:t>
            </w:r>
          </w:p>
        </w:tc>
        <w:tc>
          <w:tcPr>
            <w:tcW w:w="964" w:type="dxa"/>
          </w:tcPr>
          <w:p w14:paraId="19840A2E" w14:textId="77777777" w:rsidR="00082595" w:rsidRDefault="00000000">
            <w:pPr>
              <w:pStyle w:val="LumisTabela"/>
            </w:pPr>
            <w:r>
              <w:t>Não se aplica</w:t>
            </w:r>
          </w:p>
        </w:tc>
        <w:tc>
          <w:tcPr>
            <w:tcW w:w="2551" w:type="dxa"/>
          </w:tcPr>
          <w:p w14:paraId="798750D0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Autorizado e aberto a todos</w:t>
            </w:r>
          </w:p>
        </w:tc>
      </w:tr>
      <w:tr w:rsidR="00082595" w:rsidRPr="00061C5C" w14:paraId="4FC40BE2" w14:textId="77777777">
        <w:trPr>
          <w:cantSplit/>
          <w:jc w:val="center"/>
        </w:trPr>
        <w:tc>
          <w:tcPr>
            <w:tcW w:w="1701" w:type="dxa"/>
            <w:shd w:val="clear" w:color="auto" w:fill="F1F6F4"/>
          </w:tcPr>
          <w:p w14:paraId="07D7978C" w14:textId="77777777" w:rsidR="00082595" w:rsidRDefault="00000000">
            <w:pPr>
              <w:pStyle w:val="LumisTabela"/>
              <w:keepNext/>
            </w:pPr>
            <w:r>
              <w:rPr>
                <w:b/>
              </w:rPr>
              <w:t>Sintéticos internos</w:t>
            </w:r>
          </w:p>
        </w:tc>
        <w:tc>
          <w:tcPr>
            <w:tcW w:w="1757" w:type="dxa"/>
            <w:shd w:val="clear" w:color="auto" w:fill="F1F6F4"/>
          </w:tcPr>
          <w:p w14:paraId="74DD7BC5" w14:textId="77777777" w:rsidR="00082595" w:rsidRDefault="00000000">
            <w:pPr>
              <w:pStyle w:val="LumisTabela"/>
              <w:keepNext/>
            </w:pPr>
            <w:r>
              <w:t>2,1 mi registros, 2024 a 2026</w:t>
            </w:r>
          </w:p>
        </w:tc>
        <w:tc>
          <w:tcPr>
            <w:tcW w:w="2098" w:type="dxa"/>
            <w:shd w:val="clear" w:color="auto" w:fill="F1F6F4"/>
          </w:tcPr>
          <w:p w14:paraId="6FE23152" w14:textId="77777777" w:rsidR="00082595" w:rsidRDefault="00000000">
            <w:pPr>
              <w:pStyle w:val="LumisTabela"/>
              <w:keepNext/>
            </w:pPr>
            <w:r>
              <w:t>Geração própria</w:t>
            </w:r>
          </w:p>
        </w:tc>
        <w:tc>
          <w:tcPr>
            <w:tcW w:w="964" w:type="dxa"/>
            <w:shd w:val="clear" w:color="auto" w:fill="F1F6F4"/>
          </w:tcPr>
          <w:p w14:paraId="538B0143" w14:textId="77777777" w:rsidR="00082595" w:rsidRDefault="00000000">
            <w:pPr>
              <w:pStyle w:val="LumisTabela"/>
              <w:keepNext/>
            </w:pPr>
            <w:r>
              <w:t>Não se aplica</w:t>
            </w:r>
          </w:p>
        </w:tc>
        <w:tc>
          <w:tcPr>
            <w:tcW w:w="2551" w:type="dxa"/>
            <w:shd w:val="clear" w:color="auto" w:fill="F1F6F4"/>
          </w:tcPr>
          <w:p w14:paraId="16BC4587" w14:textId="77777777" w:rsidR="00082595" w:rsidRPr="00061C5C" w:rsidRDefault="00000000">
            <w:pPr>
              <w:pStyle w:val="LumisTabela"/>
              <w:keepNext/>
              <w:rPr>
                <w:lang w:val="pt-BR"/>
              </w:rPr>
            </w:pPr>
            <w:r w:rsidRPr="00061C5C">
              <w:rPr>
                <w:lang w:val="pt-BR"/>
              </w:rPr>
              <w:t xml:space="preserve">De que dados foram gerados </w:t>
            </w:r>
            <w:r w:rsidRPr="00061C5C">
              <w:rPr>
                <w:rStyle w:val="TagNoconsta"/>
                <w:lang w:val="pt-BR"/>
              </w:rPr>
              <w:t>[não consta]</w:t>
            </w:r>
          </w:p>
        </w:tc>
      </w:tr>
    </w:tbl>
    <w:p w14:paraId="2F08ADA7" w14:textId="77777777" w:rsidR="00082595" w:rsidRPr="00061C5C" w:rsidRDefault="00000000">
      <w:pPr>
        <w:pStyle w:val="Legenda"/>
        <w:rPr>
          <w:lang w:val="pt-BR"/>
        </w:rPr>
      </w:pPr>
      <w:r w:rsidRPr="00061C5C">
        <w:rPr>
          <w:lang w:val="pt-BR"/>
        </w:rPr>
        <w:t>Tabela 1. As seis fontes da base de treinamento, da mais frágil para a mais segura. Fonte: Cap. 2, Quadro 7; leitura da equipe.</w:t>
      </w:r>
    </w:p>
    <w:p w14:paraId="7AFA9D41" w14:textId="77777777" w:rsidR="00082595" w:rsidRPr="00061C5C" w:rsidRDefault="00000000">
      <w:pPr>
        <w:rPr>
          <w:lang w:val="pt-BR"/>
        </w:rPr>
      </w:pPr>
      <w:r w:rsidRPr="00061C5C">
        <w:rPr>
          <w:lang w:val="pt-BR"/>
        </w:rPr>
        <w:t>Os pontos frágeis são quatro:</w:t>
      </w:r>
    </w:p>
    <w:p w14:paraId="7B6FD2A7" w14:textId="77777777" w:rsidR="00082595" w:rsidRPr="00061C5C" w:rsidRDefault="00000000">
      <w:pPr>
        <w:pStyle w:val="Commarcadores"/>
        <w:rPr>
          <w:lang w:val="pt-BR"/>
        </w:rPr>
      </w:pPr>
      <w:r w:rsidRPr="00061C5C">
        <w:rPr>
          <w:b/>
          <w:lang w:val="pt-BR"/>
        </w:rPr>
        <w:lastRenderedPageBreak/>
        <w:t>Autorização.</w:t>
      </w:r>
      <w:r w:rsidRPr="00061C5C">
        <w:rPr>
          <w:lang w:val="pt-BR"/>
        </w:rPr>
        <w:t xml:space="preserve"> Prisma e Vila Ipê somam 2,09 milhões de registros, 35,4% dos dados de clientes. Nenhum dos seis instrumentos passou por revisão jurídica, e a política de privacidade para dados de saúde está em elaboração desde 2024, sem versão aprovada </w:t>
      </w:r>
      <w:r w:rsidRPr="00061C5C">
        <w:rPr>
          <w:rStyle w:val="TagFonte"/>
          <w:lang w:val="pt-BR"/>
        </w:rPr>
        <w:t>[fonte: Cap. 2, Quadros 7 e 17]</w:t>
      </w:r>
      <w:r w:rsidRPr="00061C5C">
        <w:rPr>
          <w:lang w:val="pt-BR"/>
        </w:rPr>
        <w:t>. O modelo atual já foi treinado com esses dados, então o risco existe hoje, antes de qualquer vencimento.</w:t>
      </w:r>
    </w:p>
    <w:p w14:paraId="0BF13D3E" w14:textId="71194AE2" w:rsidR="00082595" w:rsidRPr="00061C5C" w:rsidRDefault="00000000">
      <w:pPr>
        <w:pStyle w:val="Commarcadores"/>
        <w:rPr>
          <w:lang w:val="pt-BR"/>
        </w:rPr>
      </w:pPr>
      <w:r w:rsidRPr="00061C5C">
        <w:rPr>
          <w:b/>
          <w:lang w:val="pt-BR"/>
        </w:rPr>
        <w:t>Base legal.</w:t>
      </w:r>
      <w:r w:rsidRPr="00061C5C">
        <w:rPr>
          <w:lang w:val="pt-BR"/>
        </w:rPr>
        <w:t xml:space="preserve"> Dado de saúde é dado pessoal sensível, e a LGPD pede finalidade específica e informada ao titular³. Uma cláusula de "melhoria contínua do serviço" dificilmente cobre treinar um produto vendido a outros clientes. Quem trata dados em nome do cliente só pode usá-los para a finalidade definida por ele⁴. Ao treinar o próprio modelo, a Lumis passa a decidir uma finalidade própria e precisaria de base legal própri</w:t>
      </w:r>
      <w:r w:rsidR="006A3A0F">
        <w:rPr>
          <w:lang w:val="pt-BR"/>
        </w:rPr>
        <w:t>a</w:t>
      </w:r>
      <w:r w:rsidRPr="00061C5C">
        <w:rPr>
          <w:lang w:val="pt-BR"/>
        </w:rPr>
        <w:t>.</w:t>
      </w:r>
    </w:p>
    <w:p w14:paraId="40C72EA4" w14:textId="77777777" w:rsidR="00082595" w:rsidRPr="00061C5C" w:rsidRDefault="00000000">
      <w:pPr>
        <w:pStyle w:val="Commarcadores"/>
        <w:rPr>
          <w:lang w:val="pt-BR"/>
        </w:rPr>
      </w:pPr>
      <w:r w:rsidRPr="00061C5C">
        <w:rPr>
          <w:b/>
          <w:lang w:val="pt-BR"/>
        </w:rPr>
        <w:t>Prazo.</w:t>
      </w:r>
      <w:r w:rsidRPr="00061C5C">
        <w:rPr>
          <w:lang w:val="pt-BR"/>
        </w:rPr>
        <w:t xml:space="preserve"> As duas fontes frágeis são as que vencem primeiro: Prisma em 12/2026 e Vila Ipê em 03/2027. O Vila Ipê é, ao mesmo tempo, fonte de dados e o cliente que mandou a notificação formal sobre o viés </w:t>
      </w:r>
      <w:r w:rsidRPr="00061C5C">
        <w:rPr>
          <w:rStyle w:val="TagFonte"/>
          <w:lang w:val="pt-BR"/>
        </w:rPr>
        <w:t>[fonte: Cap. 2, Quadros 7 e 14]</w:t>
      </w:r>
      <w:r w:rsidRPr="00061C5C">
        <w:rPr>
          <w:lang w:val="pt-BR"/>
        </w:rPr>
        <w:t>.</w:t>
      </w:r>
    </w:p>
    <w:p w14:paraId="34552F7B" w14:textId="77777777" w:rsidR="00082595" w:rsidRDefault="00000000">
      <w:pPr>
        <w:pStyle w:val="Commarcadores"/>
      </w:pPr>
      <w:r w:rsidRPr="00061C5C">
        <w:rPr>
          <w:b/>
          <w:lang w:val="pt-BR"/>
        </w:rPr>
        <w:t>Histórico anterior ao contrato.</w:t>
      </w:r>
      <w:r w:rsidRPr="00061C5C">
        <w:rPr>
          <w:lang w:val="pt-BR"/>
        </w:rPr>
        <w:t xml:space="preserve"> A Lumis foi fundada em 2022, mas os dados do Vila Ipê começam em 2019, os da Sanare em 2020 e o contrato da Prisma é de 2021 </w:t>
      </w:r>
      <w:r w:rsidRPr="00061C5C">
        <w:rPr>
          <w:rStyle w:val="TagFonte"/>
          <w:lang w:val="pt-BR"/>
        </w:rPr>
        <w:t>[fonte: Cap. 2, Quadros 3 e 7]</w:t>
      </w:r>
      <w:r w:rsidRPr="00061C5C">
        <w:rPr>
          <w:lang w:val="pt-BR"/>
        </w:rPr>
        <w:t xml:space="preserve">. Se esse histórico chegou à Lumis e sob que cláusula </w:t>
      </w:r>
      <w:r w:rsidRPr="00061C5C">
        <w:rPr>
          <w:rStyle w:val="TagNoconsta"/>
          <w:lang w:val="pt-BR"/>
        </w:rPr>
        <w:t>[não consta]</w:t>
      </w:r>
      <w:r w:rsidRPr="00061C5C">
        <w:rPr>
          <w:lang w:val="pt-BR"/>
        </w:rPr>
        <w:t xml:space="preserve">. </w:t>
      </w:r>
      <w:r>
        <w:t>É a primeira pergunta que uma due diligence faria.</w:t>
      </w:r>
    </w:p>
    <w:p w14:paraId="430B5CB9" w14:textId="77777777" w:rsidR="00082595" w:rsidRPr="00061C5C" w:rsidRDefault="00000000">
      <w:pPr>
        <w:rPr>
          <w:lang w:val="pt-BR"/>
        </w:rPr>
      </w:pPr>
      <w:r w:rsidRPr="00061C5C">
        <w:rPr>
          <w:b/>
          <w:lang w:val="pt-BR"/>
        </w:rPr>
        <w:t>O que é defensável hoje.</w:t>
      </w:r>
      <w:r w:rsidRPr="00061C5C">
        <w:rPr>
          <w:lang w:val="pt-BR"/>
        </w:rPr>
        <w:t xml:space="preserve"> No máximo os 3,81 milhões de registros da Sanare e do Meridiano, 64,6% dos dados de clientes, que têm autorização expressa. Mesmo essa parte depende de condições que ninguém verificou </w:t>
      </w:r>
      <w:r w:rsidRPr="00061C5C">
        <w:rPr>
          <w:rStyle w:val="TagFonte"/>
          <w:lang w:val="pt-BR"/>
        </w:rPr>
        <w:t>[fonte: conta da equipe sobre o Quadro 7]</w:t>
      </w:r>
      <w:r w:rsidRPr="00061C5C">
        <w:rPr>
          <w:lang w:val="pt-BR"/>
        </w:rPr>
        <w:t>. Com autorização expressa e parecer jurídico, a parcela é zero.</w:t>
      </w:r>
    </w:p>
    <w:p w14:paraId="25F0F349" w14:textId="77777777" w:rsidR="00082595" w:rsidRPr="00061C5C" w:rsidRDefault="00000000">
      <w:pPr>
        <w:rPr>
          <w:lang w:val="pt-BR"/>
        </w:rPr>
      </w:pPr>
      <w:r w:rsidRPr="00061C5C">
        <w:rPr>
          <w:b/>
          <w:lang w:val="pt-BR"/>
        </w:rPr>
        <w:t>Tamanho do risco.</w:t>
      </w:r>
      <w:r w:rsidRPr="00061C5C">
        <w:rPr>
          <w:lang w:val="pt-BR"/>
        </w:rPr>
        <w:t xml:space="preserve"> Se Prisma e Vila Ipê pagam perto do ticket médio de R$ 1,084 milhão, os dois contratos valem cerca de R$ 2,2 milhões por ano, uns 5% do ARR </w:t>
      </w:r>
      <w:r w:rsidRPr="00061C5C">
        <w:rPr>
          <w:rStyle w:val="TagHiptese"/>
          <w:lang w:val="pt-BR"/>
        </w:rPr>
        <w:t>[hipótese]</w:t>
      </w:r>
      <w:r w:rsidRPr="00061C5C">
        <w:rPr>
          <w:lang w:val="pt-BR"/>
        </w:rPr>
        <w:t xml:space="preserve">. A LGPD prevê multa de até 2% do faturamento, limitada a R$ 50 milhões por infração, e também a eliminação dos dados³. O custo maior tende a ser retirar dados e retreinar o modelo </w:t>
      </w:r>
      <w:r w:rsidRPr="00061C5C">
        <w:rPr>
          <w:rStyle w:val="TagHiptese"/>
          <w:lang w:val="pt-BR"/>
        </w:rPr>
        <w:t>[hipótese]</w:t>
      </w:r>
      <w:r w:rsidRPr="00061C5C">
        <w:rPr>
          <w:lang w:val="pt-BR"/>
        </w:rPr>
        <w:t xml:space="preserve">, e esse custo </w:t>
      </w:r>
      <w:r w:rsidRPr="00061C5C">
        <w:rPr>
          <w:rStyle w:val="TagNoconsta"/>
          <w:lang w:val="pt-BR"/>
        </w:rPr>
        <w:t>[não consta]</w:t>
      </w:r>
      <w:r w:rsidRPr="00061C5C">
        <w:rPr>
          <w:lang w:val="pt-BR"/>
        </w:rPr>
        <w:t>.</w:t>
      </w:r>
    </w:p>
    <w:p w14:paraId="27B1F556" w14:textId="77777777" w:rsidR="00082595" w:rsidRPr="00061C5C" w:rsidRDefault="00000000">
      <w:pPr>
        <w:pStyle w:val="LumisNota"/>
        <w:rPr>
          <w:lang w:val="pt-BR"/>
        </w:rPr>
      </w:pPr>
      <w:r w:rsidRPr="00061C5C">
        <w:rPr>
          <w:lang w:val="pt-BR"/>
        </w:rPr>
        <w:t>O Cap. 2 diz em um trecho que são três os contratos com cláusula que ninguém releu, e o Quadro 5 fala em dois. Seguimos o Quadro 7, que mostra dois.</w:t>
      </w:r>
    </w:p>
    <w:p w14:paraId="711DB875" w14:textId="77777777" w:rsidR="00082595" w:rsidRPr="00061C5C" w:rsidRDefault="00000000">
      <w:pPr>
        <w:pStyle w:val="Ttulo1"/>
        <w:rPr>
          <w:lang w:val="pt-BR"/>
        </w:rPr>
      </w:pPr>
      <w:r w:rsidRPr="00061C5C">
        <w:rPr>
          <w:lang w:val="pt-BR"/>
        </w:rPr>
        <w:t>2. O que o modelo mede de fato</w:t>
      </w:r>
    </w:p>
    <w:p w14:paraId="1C3A6701" w14:textId="77777777" w:rsidR="00082595" w:rsidRPr="00061C5C" w:rsidRDefault="00000000">
      <w:pPr>
        <w:rPr>
          <w:lang w:val="pt-BR"/>
        </w:rPr>
      </w:pPr>
      <w:r w:rsidRPr="00061C5C">
        <w:rPr>
          <w:lang w:val="pt-BR"/>
        </w:rPr>
        <w:t xml:space="preserve">As duas variáveis de maior peso no modelo são o número de atendimentos nos últimos 24 meses (18,4%) e o custo acumulado de procedimentos (15,1%). A empresa diz que elas medem necessidade de cuidado e gravidade </w:t>
      </w:r>
      <w:r w:rsidRPr="00061C5C">
        <w:rPr>
          <w:rStyle w:val="TagFonte"/>
          <w:lang w:val="pt-BR"/>
        </w:rPr>
        <w:t>[fonte: Cap. 2, Quadro 8]</w:t>
      </w:r>
      <w:r w:rsidRPr="00061C5C">
        <w:rPr>
          <w:lang w:val="pt-BR"/>
        </w:rPr>
        <w:t xml:space="preserve">. Elas medem quem conseguiu ser atendido e quanto isso custou. Esse é o caso de variável proxy que o próprio capítulo descreve: quem usa gasto com saúde como indicador de gravidade mede "quem teve mais acesso a atendimento", e "foi exatamente isso que aconteceu no incidente da Fase 1" </w:t>
      </w:r>
      <w:r w:rsidRPr="00061C5C">
        <w:rPr>
          <w:rStyle w:val="TagFonte"/>
          <w:lang w:val="pt-BR"/>
        </w:rPr>
        <w:t>[fonte: Cap. 2, 2.2]</w:t>
      </w:r>
      <w:r w:rsidRPr="00061C5C">
        <w:rPr>
          <w:lang w:val="pt-BR"/>
        </w:rPr>
        <w:t>.</w:t>
      </w:r>
    </w:p>
    <w:p w14:paraId="078E46A4" w14:textId="77777777" w:rsidR="00082595" w:rsidRPr="00061C5C" w:rsidRDefault="00000000">
      <w:pPr>
        <w:rPr>
          <w:lang w:val="pt-BR"/>
        </w:rPr>
      </w:pPr>
      <w:r w:rsidRPr="00061C5C">
        <w:rPr>
          <w:lang w:val="pt-BR"/>
        </w:rPr>
        <w:t>Juntas, as duas somam 33,5% do peso do modelo. Numa população desigual, o paciente que teve menos acesso parece menos grave para o modelo do que é. Um caso real mostra o mesmo mecanismo: nos Estados Unidos, um algoritmo que usava custo no lugar de necessidade dava o mesmo escore a pacientes negros que estavam mais doentes que pacientes brancos¹.</w:t>
      </w:r>
    </w:p>
    <w:tbl>
      <w:tblPr>
        <w:tblW w:w="0" w:type="auto"/>
        <w:jc w:val="center"/>
        <w:tblBorders>
          <w:top w:val="single" w:sz="4" w:space="0" w:color="D3DEDB"/>
          <w:bottom w:val="single" w:sz="4" w:space="0" w:color="D3DEDB"/>
          <w:insideH w:val="single" w:sz="4" w:space="0" w:color="D3DEDB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1701"/>
        <w:gridCol w:w="2154"/>
        <w:gridCol w:w="3061"/>
      </w:tblGrid>
      <w:tr w:rsidR="00082595" w14:paraId="6F9E43B1" w14:textId="77777777">
        <w:trPr>
          <w:cantSplit/>
          <w:tblHeader/>
          <w:jc w:val="center"/>
        </w:trPr>
        <w:tc>
          <w:tcPr>
            <w:tcW w:w="2154" w:type="dxa"/>
            <w:shd w:val="clear" w:color="auto" w:fill="0F2D3A"/>
          </w:tcPr>
          <w:p w14:paraId="7838BAAC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Variável (peso)</w:t>
            </w:r>
          </w:p>
        </w:tc>
        <w:tc>
          <w:tcPr>
            <w:tcW w:w="1701" w:type="dxa"/>
            <w:shd w:val="clear" w:color="auto" w:fill="0F2D3A"/>
          </w:tcPr>
          <w:p w14:paraId="335E420F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A empresa diz medir</w:t>
            </w:r>
          </w:p>
        </w:tc>
        <w:tc>
          <w:tcPr>
            <w:tcW w:w="2154" w:type="dxa"/>
            <w:shd w:val="clear" w:color="auto" w:fill="0F2D3A"/>
          </w:tcPr>
          <w:p w14:paraId="421910BE" w14:textId="77777777" w:rsidR="00082595" w:rsidRPr="00061C5C" w:rsidRDefault="00000000">
            <w:pPr>
              <w:pStyle w:val="LumisTabela"/>
              <w:keepNext/>
              <w:rPr>
                <w:lang w:val="pt-BR"/>
              </w:rPr>
            </w:pPr>
            <w:r w:rsidRPr="00061C5C">
              <w:rPr>
                <w:b/>
                <w:color w:val="FFFFFF"/>
                <w:lang w:val="pt-BR"/>
              </w:rPr>
              <w:t>O que tende a medir</w:t>
            </w:r>
          </w:p>
        </w:tc>
        <w:tc>
          <w:tcPr>
            <w:tcW w:w="3061" w:type="dxa"/>
            <w:shd w:val="clear" w:color="auto" w:fill="0F2D3A"/>
          </w:tcPr>
          <w:p w14:paraId="56A413F3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Distorção possível</w:t>
            </w:r>
          </w:p>
        </w:tc>
      </w:tr>
      <w:tr w:rsidR="00082595" w:rsidRPr="00061C5C" w14:paraId="10764180" w14:textId="77777777">
        <w:trPr>
          <w:cantSplit/>
          <w:jc w:val="center"/>
        </w:trPr>
        <w:tc>
          <w:tcPr>
            <w:tcW w:w="2154" w:type="dxa"/>
          </w:tcPr>
          <w:p w14:paraId="2597C527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Nº de atendimentos em 24 meses (18,4%)</w:t>
            </w:r>
          </w:p>
        </w:tc>
        <w:tc>
          <w:tcPr>
            <w:tcW w:w="1701" w:type="dxa"/>
          </w:tcPr>
          <w:p w14:paraId="4A7339B7" w14:textId="77777777" w:rsidR="00082595" w:rsidRDefault="00000000">
            <w:pPr>
              <w:pStyle w:val="LumisTabela"/>
            </w:pPr>
            <w:r>
              <w:t>Necessidade de cuidado</w:t>
            </w:r>
          </w:p>
        </w:tc>
        <w:tc>
          <w:tcPr>
            <w:tcW w:w="2154" w:type="dxa"/>
          </w:tcPr>
          <w:p w14:paraId="417A056F" w14:textId="77777777" w:rsidR="00082595" w:rsidRDefault="00000000">
            <w:pPr>
              <w:pStyle w:val="LumisTabela"/>
            </w:pPr>
            <w:r>
              <w:t>Quem conseguiu ser atendido</w:t>
            </w:r>
          </w:p>
        </w:tc>
        <w:tc>
          <w:tcPr>
            <w:tcW w:w="3061" w:type="dxa"/>
          </w:tcPr>
          <w:p w14:paraId="012F5902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Quem tem menos acesso parece precisar de menos</w:t>
            </w:r>
          </w:p>
        </w:tc>
      </w:tr>
      <w:tr w:rsidR="00082595" w:rsidRPr="00061C5C" w14:paraId="780AB0AE" w14:textId="77777777">
        <w:trPr>
          <w:cantSplit/>
          <w:jc w:val="center"/>
        </w:trPr>
        <w:tc>
          <w:tcPr>
            <w:tcW w:w="2154" w:type="dxa"/>
            <w:shd w:val="clear" w:color="auto" w:fill="F1F6F4"/>
          </w:tcPr>
          <w:p w14:paraId="23BB7F94" w14:textId="77777777" w:rsidR="00082595" w:rsidRDefault="00000000">
            <w:pPr>
              <w:pStyle w:val="LumisTabela"/>
            </w:pPr>
            <w:r>
              <w:lastRenderedPageBreak/>
              <w:t>Custo acumulado (15,1%)</w:t>
            </w:r>
          </w:p>
        </w:tc>
        <w:tc>
          <w:tcPr>
            <w:tcW w:w="1701" w:type="dxa"/>
            <w:shd w:val="clear" w:color="auto" w:fill="F1F6F4"/>
          </w:tcPr>
          <w:p w14:paraId="6B1A18F5" w14:textId="77777777" w:rsidR="00082595" w:rsidRDefault="00000000">
            <w:pPr>
              <w:pStyle w:val="LumisTabela"/>
            </w:pPr>
            <w:r>
              <w:t>Gravidade</w:t>
            </w:r>
          </w:p>
        </w:tc>
        <w:tc>
          <w:tcPr>
            <w:tcW w:w="2154" w:type="dxa"/>
            <w:shd w:val="clear" w:color="auto" w:fill="F1F6F4"/>
          </w:tcPr>
          <w:p w14:paraId="633C5C6F" w14:textId="77777777" w:rsidR="00082595" w:rsidRDefault="00000000">
            <w:pPr>
              <w:pStyle w:val="LumisTabela"/>
            </w:pPr>
            <w:r>
              <w:t>Acesso a procedimentos pagos</w:t>
            </w:r>
          </w:p>
        </w:tc>
        <w:tc>
          <w:tcPr>
            <w:tcW w:w="3061" w:type="dxa"/>
            <w:shd w:val="clear" w:color="auto" w:fill="F1F6F4"/>
          </w:tcPr>
          <w:p w14:paraId="1DB30670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Quem gasta menos parece menos grave</w:t>
            </w:r>
          </w:p>
        </w:tc>
      </w:tr>
      <w:tr w:rsidR="00082595" w:rsidRPr="00061C5C" w14:paraId="44CB62F3" w14:textId="77777777">
        <w:trPr>
          <w:cantSplit/>
          <w:jc w:val="center"/>
        </w:trPr>
        <w:tc>
          <w:tcPr>
            <w:tcW w:w="2154" w:type="dxa"/>
          </w:tcPr>
          <w:p w14:paraId="4D28F3AE" w14:textId="77777777" w:rsidR="00082595" w:rsidRDefault="00000000">
            <w:pPr>
              <w:pStyle w:val="LumisTabela"/>
            </w:pPr>
            <w:r>
              <w:t>Faixa de CEP (8,9%)</w:t>
            </w:r>
          </w:p>
        </w:tc>
        <w:tc>
          <w:tcPr>
            <w:tcW w:w="1701" w:type="dxa"/>
          </w:tcPr>
          <w:p w14:paraId="3719266A" w14:textId="77777777" w:rsidR="00082595" w:rsidRDefault="00000000">
            <w:pPr>
              <w:pStyle w:val="LumisTabela"/>
            </w:pPr>
            <w:r>
              <w:t>Região de residência</w:t>
            </w:r>
          </w:p>
        </w:tc>
        <w:tc>
          <w:tcPr>
            <w:tcW w:w="2154" w:type="dxa"/>
          </w:tcPr>
          <w:p w14:paraId="5AE37FEE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Renda e oferta de serviços perto de casa</w:t>
            </w:r>
          </w:p>
        </w:tc>
        <w:tc>
          <w:tcPr>
            <w:tcW w:w="3061" w:type="dxa"/>
          </w:tcPr>
          <w:p w14:paraId="64AFBBFA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Leva a desigualdade regional para dentro do modelo</w:t>
            </w:r>
          </w:p>
        </w:tc>
      </w:tr>
      <w:tr w:rsidR="00082595" w:rsidRPr="00061C5C" w14:paraId="3249198C" w14:textId="77777777">
        <w:trPr>
          <w:cantSplit/>
          <w:jc w:val="center"/>
        </w:trPr>
        <w:tc>
          <w:tcPr>
            <w:tcW w:w="2154" w:type="dxa"/>
            <w:shd w:val="clear" w:color="auto" w:fill="F1F6F4"/>
          </w:tcPr>
          <w:p w14:paraId="499FEB27" w14:textId="77777777" w:rsidR="00082595" w:rsidRDefault="00000000">
            <w:pPr>
              <w:pStyle w:val="LumisTabela"/>
            </w:pPr>
            <w:r>
              <w:t>Tipo de plano (7,4%)</w:t>
            </w:r>
          </w:p>
        </w:tc>
        <w:tc>
          <w:tcPr>
            <w:tcW w:w="1701" w:type="dxa"/>
            <w:shd w:val="clear" w:color="auto" w:fill="F1F6F4"/>
          </w:tcPr>
          <w:p w14:paraId="170D2012" w14:textId="77777777" w:rsidR="00082595" w:rsidRDefault="00000000">
            <w:pPr>
              <w:pStyle w:val="LumisTabela"/>
            </w:pPr>
            <w:r>
              <w:t>Cobertura contratada</w:t>
            </w:r>
          </w:p>
        </w:tc>
        <w:tc>
          <w:tcPr>
            <w:tcW w:w="2154" w:type="dxa"/>
            <w:shd w:val="clear" w:color="auto" w:fill="F1F6F4"/>
          </w:tcPr>
          <w:p w14:paraId="6D941167" w14:textId="77777777" w:rsidR="00082595" w:rsidRDefault="00000000">
            <w:pPr>
              <w:pStyle w:val="LumisTabela"/>
            </w:pPr>
            <w:r>
              <w:t>Renda</w:t>
            </w:r>
          </w:p>
        </w:tc>
        <w:tc>
          <w:tcPr>
            <w:tcW w:w="3061" w:type="dxa"/>
            <w:shd w:val="clear" w:color="auto" w:fill="F1F6F4"/>
          </w:tcPr>
          <w:p w14:paraId="646C8577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Prioridade passa a depender do plano</w:t>
            </w:r>
          </w:p>
        </w:tc>
      </w:tr>
      <w:tr w:rsidR="00082595" w:rsidRPr="00061C5C" w14:paraId="4D0B19DC" w14:textId="77777777">
        <w:trPr>
          <w:cantSplit/>
          <w:jc w:val="center"/>
        </w:trPr>
        <w:tc>
          <w:tcPr>
            <w:tcW w:w="2154" w:type="dxa"/>
          </w:tcPr>
          <w:p w14:paraId="3965D83E" w14:textId="77777777" w:rsidR="00082595" w:rsidRDefault="00000000">
            <w:pPr>
              <w:pStyle w:val="LumisTabela"/>
            </w:pPr>
            <w:r>
              <w:t>Idade (12,7%)</w:t>
            </w:r>
          </w:p>
        </w:tc>
        <w:tc>
          <w:tcPr>
            <w:tcW w:w="1701" w:type="dxa"/>
          </w:tcPr>
          <w:p w14:paraId="132587D6" w14:textId="77777777" w:rsidR="00082595" w:rsidRDefault="00000000">
            <w:pPr>
              <w:pStyle w:val="LumisTabela"/>
            </w:pPr>
            <w:r>
              <w:t>Idade</w:t>
            </w:r>
          </w:p>
        </w:tc>
        <w:tc>
          <w:tcPr>
            <w:tcW w:w="2154" w:type="dxa"/>
          </w:tcPr>
          <w:p w14:paraId="21D8D0E5" w14:textId="77777777" w:rsidR="00082595" w:rsidRDefault="00000000">
            <w:pPr>
              <w:pStyle w:val="LumisTabela"/>
            </w:pPr>
            <w:r>
              <w:t>Idade, com fundamento clínico</w:t>
            </w:r>
          </w:p>
        </w:tc>
        <w:tc>
          <w:tcPr>
            <w:tcW w:w="3061" w:type="dxa"/>
          </w:tcPr>
          <w:p w14:paraId="15D2A4DB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Depende de como entra no modelo; o pior erro está nos idosos</w:t>
            </w:r>
          </w:p>
        </w:tc>
      </w:tr>
      <w:tr w:rsidR="00082595" w:rsidRPr="00061C5C" w14:paraId="40879E4F" w14:textId="77777777">
        <w:trPr>
          <w:cantSplit/>
          <w:jc w:val="center"/>
        </w:trPr>
        <w:tc>
          <w:tcPr>
            <w:tcW w:w="2154" w:type="dxa"/>
            <w:shd w:val="clear" w:color="auto" w:fill="F1F6F4"/>
          </w:tcPr>
          <w:p w14:paraId="3DEBDE85" w14:textId="77777777" w:rsidR="00082595" w:rsidRDefault="00000000">
            <w:pPr>
              <w:pStyle w:val="LumisTabela"/>
              <w:keepNext/>
            </w:pPr>
            <w:r>
              <w:t>Comorbidades registradas (11,2%)</w:t>
            </w:r>
          </w:p>
        </w:tc>
        <w:tc>
          <w:tcPr>
            <w:tcW w:w="1701" w:type="dxa"/>
            <w:shd w:val="clear" w:color="auto" w:fill="F1F6F4"/>
          </w:tcPr>
          <w:p w14:paraId="1CC466BD" w14:textId="77777777" w:rsidR="00082595" w:rsidRDefault="00000000">
            <w:pPr>
              <w:pStyle w:val="LumisTabela"/>
              <w:keepNext/>
            </w:pPr>
            <w:r>
              <w:t>Carga de doença</w:t>
            </w:r>
          </w:p>
        </w:tc>
        <w:tc>
          <w:tcPr>
            <w:tcW w:w="2154" w:type="dxa"/>
            <w:shd w:val="clear" w:color="auto" w:fill="F1F6F4"/>
          </w:tcPr>
          <w:p w14:paraId="35A63302" w14:textId="77777777" w:rsidR="00082595" w:rsidRDefault="00000000">
            <w:pPr>
              <w:pStyle w:val="LumisTabela"/>
              <w:keepNext/>
            </w:pPr>
            <w:r>
              <w:t>Doença já diagnosticada</w:t>
            </w:r>
          </w:p>
        </w:tc>
        <w:tc>
          <w:tcPr>
            <w:tcW w:w="3061" w:type="dxa"/>
            <w:shd w:val="clear" w:color="auto" w:fill="F1F6F4"/>
          </w:tcPr>
          <w:p w14:paraId="43FF9F1B" w14:textId="77777777" w:rsidR="00082595" w:rsidRPr="00061C5C" w:rsidRDefault="00000000">
            <w:pPr>
              <w:pStyle w:val="LumisTabela"/>
              <w:keepNext/>
              <w:rPr>
                <w:lang w:val="pt-BR"/>
              </w:rPr>
            </w:pPr>
            <w:r w:rsidRPr="00061C5C">
              <w:rPr>
                <w:lang w:val="pt-BR"/>
              </w:rPr>
              <w:t>Quem não foi diagnosticado parece mais saudável</w:t>
            </w:r>
          </w:p>
        </w:tc>
      </w:tr>
    </w:tbl>
    <w:p w14:paraId="2DD10BD3" w14:textId="77777777" w:rsidR="00082595" w:rsidRPr="00061C5C" w:rsidRDefault="00000000">
      <w:pPr>
        <w:pStyle w:val="Legenda"/>
        <w:rPr>
          <w:lang w:val="pt-BR"/>
        </w:rPr>
      </w:pPr>
      <w:r w:rsidRPr="00061C5C">
        <w:rPr>
          <w:lang w:val="pt-BR"/>
        </w:rPr>
        <w:t xml:space="preserve">Tabela 2. As variáveis de acesso e as de leitura discutível. As outras quatro estão no Anexo. Fonte: Cap. 2, Quadro 8; colunas 3 e 4: leitura da equipe </w:t>
      </w:r>
      <w:r w:rsidRPr="00061C5C">
        <w:rPr>
          <w:rStyle w:val="TagHiptese"/>
          <w:lang w:val="pt-BR"/>
        </w:rPr>
        <w:t>[hipótese]</w:t>
      </w:r>
      <w:r w:rsidRPr="00061C5C">
        <w:rPr>
          <w:lang w:val="pt-BR"/>
        </w:rPr>
        <w:t>.</w:t>
      </w:r>
    </w:p>
    <w:p w14:paraId="47BF704C" w14:textId="77777777" w:rsidR="00082595" w:rsidRPr="00061C5C" w:rsidRDefault="00000000">
      <w:pPr>
        <w:rPr>
          <w:lang w:val="pt-BR"/>
        </w:rPr>
      </w:pPr>
      <w:r w:rsidRPr="00061C5C">
        <w:rPr>
          <w:lang w:val="pt-BR"/>
        </w:rPr>
        <w:t xml:space="preserve">A faixa de CEP reforça o caso. Ela mede o que a empresa diz, a região, e por isso mesmo carrega renda e oferta de serviços. Com a idade fixa, o falso negativo sobe de A/B para D/E nas duas faixas etárias: 9,6 pontos entre 18 e 59 anos e 15,9 pontos entre os de 60 ou mais </w:t>
      </w:r>
      <w:r w:rsidRPr="00061C5C">
        <w:rPr>
          <w:rStyle w:val="TagFonte"/>
          <w:lang w:val="pt-BR"/>
        </w:rPr>
        <w:t>[fonte: conta da equipe sobre o Quadro 10]</w:t>
      </w:r>
      <w:r w:rsidRPr="00061C5C">
        <w:rPr>
          <w:lang w:val="pt-BR"/>
        </w:rPr>
        <w:t>.</w:t>
      </w:r>
    </w:p>
    <w:p w14:paraId="1643FADD" w14:textId="77777777" w:rsidR="00082595" w:rsidRPr="00061C5C" w:rsidRDefault="00000000">
      <w:pPr>
        <w:rPr>
          <w:lang w:val="pt-BR"/>
        </w:rPr>
      </w:pPr>
      <w:r w:rsidRPr="00061C5C">
        <w:rPr>
          <w:lang w:val="pt-BR"/>
        </w:rPr>
        <w:t xml:space="preserve">Pelo critério da equipe, as variáveis que registram uso passado de serviços ou renda (atendimentos, custo, CEP e plano) somam 49,8% do peso do modelo </w:t>
      </w:r>
      <w:r w:rsidRPr="00061C5C">
        <w:rPr>
          <w:rStyle w:val="TagHiptese"/>
          <w:lang w:val="pt-BR"/>
        </w:rPr>
        <w:t>[hipótese]</w:t>
      </w:r>
      <w:r w:rsidRPr="00061C5C">
        <w:rPr>
          <w:lang w:val="pt-BR"/>
        </w:rPr>
        <w:t xml:space="preserve">. O único sinal clínico direto, o painel de exames laboratoriais, pesa 6,9%. O efeito da idade tem duas explicações que o anexo não permite separar: o rótulo do treino reflete uso passado, ou há poucos idosos na base </w:t>
      </w:r>
      <w:r w:rsidRPr="00061C5C">
        <w:rPr>
          <w:rStyle w:val="TagHiptese"/>
          <w:lang w:val="pt-BR"/>
        </w:rPr>
        <w:t>[hipótese]</w:t>
      </w:r>
      <w:r w:rsidRPr="00061C5C">
        <w:rPr>
          <w:lang w:val="pt-BR"/>
        </w:rPr>
        <w:t xml:space="preserve">. Os testes que separam as duas ficam para a Fase 3, e nenhum foi feito pela Lumis </w:t>
      </w:r>
      <w:r w:rsidRPr="00061C5C">
        <w:rPr>
          <w:rStyle w:val="TagNoconsta"/>
          <w:lang w:val="pt-BR"/>
        </w:rPr>
        <w:t>[não consta]</w:t>
      </w:r>
      <w:r w:rsidRPr="00061C5C">
        <w:rPr>
          <w:lang w:val="pt-BR"/>
        </w:rPr>
        <w:t>.</w:t>
      </w:r>
    </w:p>
    <w:p w14:paraId="48FBAF4D" w14:textId="77777777" w:rsidR="00082595" w:rsidRPr="00061C5C" w:rsidRDefault="00000000">
      <w:pPr>
        <w:pStyle w:val="Ttulo1"/>
        <w:rPr>
          <w:lang w:val="pt-BR"/>
        </w:rPr>
      </w:pPr>
      <w:r w:rsidRPr="00061C5C">
        <w:rPr>
          <w:lang w:val="pt-BR"/>
        </w:rPr>
        <w:t>3. O que acontece em campo</w:t>
      </w:r>
    </w:p>
    <w:p w14:paraId="7A80ED98" w14:textId="77777777" w:rsidR="00082595" w:rsidRPr="00061C5C" w:rsidRDefault="00000000">
      <w:pPr>
        <w:rPr>
          <w:lang w:val="pt-BR"/>
        </w:rPr>
      </w:pPr>
      <w:r w:rsidRPr="00061C5C">
        <w:rPr>
          <w:lang w:val="pt-BR"/>
        </w:rPr>
        <w:t xml:space="preserve">Os 94% de acurácia vêm de 48 mil registros de 2023, de dois hospitais da mesma região. Em campo, no primeiro semestre de 2026, com 1,94 milhão de registros, a acurácia foi de 87,6%. O número que importa para priorização piorou mais: o falso negativo, paciente que deveria ser priorizado e foi classificado como baixa prioridade, foi de 7,4% para 17,7%, quase 2,4 vezes </w:t>
      </w:r>
      <w:r w:rsidRPr="00061C5C">
        <w:rPr>
          <w:rStyle w:val="TagFonte"/>
          <w:lang w:val="pt-BR"/>
        </w:rPr>
        <w:t>[fonte: Cap. 2, Quadro 9]</w:t>
      </w:r>
      <w:r w:rsidRPr="00061C5C">
        <w:rPr>
          <w:lang w:val="pt-BR"/>
        </w:rPr>
        <w:t>. Em IA clínica essa queda é comum. O modelo de sepse mais usado nos hospitais americanos teve, numa validação independente, desempenho bem abaixo do declarado pelo fornecedor².</w:t>
      </w:r>
    </w:p>
    <w:p w14:paraId="3F27CB24" w14:textId="77777777" w:rsidR="00082595" w:rsidRDefault="00000000">
      <w:pPr>
        <w:keepNext/>
        <w:jc w:val="center"/>
      </w:pPr>
      <w:r>
        <w:rPr>
          <w:noProof/>
        </w:rPr>
        <w:drawing>
          <wp:inline distT="0" distB="0" distL="0" distR="0" wp14:anchorId="10E91E6E" wp14:editId="5A411762">
            <wp:extent cx="5760000" cy="2127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subgrupo_v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2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05B5" w14:textId="77777777" w:rsidR="00082595" w:rsidRPr="00061C5C" w:rsidRDefault="00000000">
      <w:pPr>
        <w:pStyle w:val="Legenda"/>
        <w:rPr>
          <w:lang w:val="pt-BR"/>
        </w:rPr>
      </w:pPr>
      <w:r w:rsidRPr="00061C5C">
        <w:rPr>
          <w:lang w:val="pt-BR"/>
        </w:rPr>
        <w:t>Figura 1. Falso negativo em campo por subgrupo, 1º semestre de 2026. O grupo de 60 anos ou mais de CEP D/E tem três vezes o erro do melhor grupo. Fonte: Cap. 2, Quadros 9 e 10.</w:t>
      </w:r>
    </w:p>
    <w:p w14:paraId="134CE499" w14:textId="77777777" w:rsidR="00082595" w:rsidRDefault="00000000">
      <w:r w:rsidRPr="00061C5C">
        <w:rPr>
          <w:lang w:val="pt-BR"/>
        </w:rPr>
        <w:lastRenderedPageBreak/>
        <w:t xml:space="preserve">O erro se concentra em quem já é mais vulnerável. Entre os pacientes com 60 anos ou mais de CEP D/E que precisavam de prioridade, 31,8% ficaram para trás. No grupo de 18 a 59 anos de CEP A/B, foram 10,6%. </w:t>
      </w:r>
      <w:r>
        <w:t xml:space="preserve">A sensibilidade do pior grupo é 68,2% </w:t>
      </w:r>
      <w:r>
        <w:rPr>
          <w:rStyle w:val="TagFonte"/>
        </w:rPr>
        <w:t>[fonte: Cap. 2, Quadro 10]</w:t>
      </w:r>
      <w:r>
        <w:t>.</w:t>
      </w:r>
    </w:p>
    <w:p w14:paraId="07EA6E2B" w14:textId="77777777" w:rsidR="00082595" w:rsidRPr="00061C5C" w:rsidRDefault="00000000">
      <w:pPr>
        <w:pStyle w:val="Commarcadores"/>
        <w:rPr>
          <w:lang w:val="pt-BR"/>
        </w:rPr>
      </w:pPr>
      <w:r w:rsidRPr="00061C5C">
        <w:rPr>
          <w:b/>
          <w:lang w:val="pt-BR"/>
        </w:rPr>
        <w:t>Quem descobriu.</w:t>
      </w:r>
      <w:r w:rsidRPr="00061C5C">
        <w:rPr>
          <w:lang w:val="pt-BR"/>
        </w:rPr>
        <w:t xml:space="preserve"> O 31,8% foi apurado pelo Hospital Vila Ipê, por conta própria, e enviado junto com a notificação formal </w:t>
      </w:r>
      <w:r w:rsidRPr="00061C5C">
        <w:rPr>
          <w:rStyle w:val="TagFonte"/>
          <w:lang w:val="pt-BR"/>
        </w:rPr>
        <w:t>[fonte: Cap. 2, Quadro 10]</w:t>
      </w:r>
      <w:r w:rsidRPr="00061C5C">
        <w:rPr>
          <w:lang w:val="pt-BR"/>
        </w:rPr>
        <w:t>.</w:t>
      </w:r>
    </w:p>
    <w:p w14:paraId="47911E05" w14:textId="77777777" w:rsidR="00082595" w:rsidRPr="00061C5C" w:rsidRDefault="00000000">
      <w:pPr>
        <w:pStyle w:val="Commarcadores"/>
        <w:rPr>
          <w:lang w:val="pt-BR"/>
        </w:rPr>
      </w:pPr>
      <w:r w:rsidRPr="00061C5C">
        <w:rPr>
          <w:b/>
          <w:lang w:val="pt-BR"/>
        </w:rPr>
        <w:t>Quanto passa por revisão humana.</w:t>
      </w:r>
      <w:r w:rsidRPr="00061C5C">
        <w:rPr>
          <w:lang w:val="pt-BR"/>
        </w:rPr>
        <w:t xml:space="preserve"> Das 640 mil decisões de priorização por mês, 2% são revisadas por amostragem, cerca de 12.800 </w:t>
      </w:r>
      <w:r w:rsidRPr="00061C5C">
        <w:rPr>
          <w:rStyle w:val="TagFonte"/>
          <w:lang w:val="pt-BR"/>
        </w:rPr>
        <w:t>[fonte: Cap. 2, Quadro 12]</w:t>
      </w:r>
      <w:r w:rsidRPr="00061C5C">
        <w:rPr>
          <w:lang w:val="pt-BR"/>
        </w:rPr>
        <w:t>.</w:t>
      </w:r>
    </w:p>
    <w:p w14:paraId="25397AB6" w14:textId="77777777" w:rsidR="00082595" w:rsidRPr="00061C5C" w:rsidRDefault="00000000">
      <w:pPr>
        <w:pStyle w:val="Commarcadores"/>
        <w:rPr>
          <w:lang w:val="pt-BR"/>
        </w:rPr>
      </w:pPr>
      <w:r w:rsidRPr="00061C5C">
        <w:rPr>
          <w:b/>
          <w:lang w:val="pt-BR"/>
        </w:rPr>
        <w:t>O que as reclamações já diziam.</w:t>
      </w:r>
      <w:r w:rsidRPr="00061C5C">
        <w:rPr>
          <w:lang w:val="pt-BR"/>
        </w:rPr>
        <w:t xml:space="preserve"> Pacientes de CEP D/E são 25% da base e respondem por 47 das 74 reclamações formais do último ano, 64%. Esse registro nunca foi cruzado com o desempenho do modelo </w:t>
      </w:r>
      <w:r w:rsidRPr="00061C5C">
        <w:rPr>
          <w:rStyle w:val="TagFonte"/>
          <w:lang w:val="pt-BR"/>
        </w:rPr>
        <w:t>[fonte: Cap. 2, Quadro 17]</w:t>
      </w:r>
      <w:r w:rsidRPr="00061C5C">
        <w:rPr>
          <w:lang w:val="pt-BR"/>
        </w:rPr>
        <w:t>.</w:t>
      </w:r>
    </w:p>
    <w:p w14:paraId="29256A3E" w14:textId="77777777" w:rsidR="00082595" w:rsidRPr="00061C5C" w:rsidRDefault="00000000">
      <w:pPr>
        <w:pStyle w:val="Ttulo1"/>
        <w:rPr>
          <w:lang w:val="pt-BR"/>
        </w:rPr>
      </w:pPr>
      <w:r w:rsidRPr="00061C5C">
        <w:rPr>
          <w:lang w:val="pt-BR"/>
        </w:rPr>
        <w:t>4. Os números que mostramos ao mercado</w:t>
      </w:r>
    </w:p>
    <w:p w14:paraId="1B698300" w14:textId="77777777" w:rsidR="00082595" w:rsidRPr="00061C5C" w:rsidRDefault="00000000">
      <w:pPr>
        <w:rPr>
          <w:lang w:val="pt-BR"/>
        </w:rPr>
      </w:pPr>
      <w:r w:rsidRPr="00061C5C">
        <w:rPr>
          <w:lang w:val="pt-BR"/>
        </w:rPr>
        <w:t xml:space="preserve">O Vetor Capital avisou que "qualquer número que não sobreviva a uma auditoria independente será tratado como passivo, não como diferencial" </w:t>
      </w:r>
      <w:r w:rsidRPr="00061C5C">
        <w:rPr>
          <w:rStyle w:val="TagFonte"/>
          <w:lang w:val="pt-BR"/>
        </w:rPr>
        <w:t>[fonte: Cap. 2, memorando]</w:t>
      </w:r>
      <w:r w:rsidRPr="00061C5C">
        <w:rPr>
          <w:lang w:val="pt-BR"/>
        </w:rPr>
        <w:t xml:space="preserve">. Na maior parte dos casos, o problema está na forma de divulgar. Como diz o próprio caso sobre os 94%, "o número nunca foi mentira. Ele apenas nunca foi o que o comercial acreditava que era" </w:t>
      </w:r>
      <w:r w:rsidRPr="00061C5C">
        <w:rPr>
          <w:rStyle w:val="TagFonte"/>
          <w:lang w:val="pt-BR"/>
        </w:rPr>
        <w:t>[fonte: Cap. 2, 1.2]</w:t>
      </w:r>
      <w:r w:rsidRPr="00061C5C">
        <w:rPr>
          <w:lang w:val="pt-BR"/>
        </w:rPr>
        <w:t>.</w:t>
      </w:r>
    </w:p>
    <w:tbl>
      <w:tblPr>
        <w:tblW w:w="0" w:type="auto"/>
        <w:jc w:val="center"/>
        <w:tblBorders>
          <w:top w:val="single" w:sz="4" w:space="0" w:color="D3DEDB"/>
          <w:bottom w:val="single" w:sz="4" w:space="0" w:color="D3DEDB"/>
          <w:insideH w:val="single" w:sz="4" w:space="0" w:color="D3DEDB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551"/>
        <w:gridCol w:w="2494"/>
        <w:gridCol w:w="2098"/>
      </w:tblGrid>
      <w:tr w:rsidR="00082595" w14:paraId="0801E944" w14:textId="77777777">
        <w:trPr>
          <w:cantSplit/>
          <w:tblHeader/>
          <w:jc w:val="center"/>
        </w:trPr>
        <w:tc>
          <w:tcPr>
            <w:tcW w:w="1928" w:type="dxa"/>
            <w:shd w:val="clear" w:color="auto" w:fill="0F2D3A"/>
          </w:tcPr>
          <w:p w14:paraId="39D34C80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Afirmação</w:t>
            </w:r>
          </w:p>
        </w:tc>
        <w:tc>
          <w:tcPr>
            <w:tcW w:w="2551" w:type="dxa"/>
            <w:shd w:val="clear" w:color="auto" w:fill="0F2D3A"/>
          </w:tcPr>
          <w:p w14:paraId="7A2A987F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O que autoriza dizer</w:t>
            </w:r>
          </w:p>
        </w:tc>
        <w:tc>
          <w:tcPr>
            <w:tcW w:w="2494" w:type="dxa"/>
            <w:shd w:val="clear" w:color="auto" w:fill="0F2D3A"/>
          </w:tcPr>
          <w:p w14:paraId="4F2943B6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O que não autoriza</w:t>
            </w:r>
          </w:p>
        </w:tc>
        <w:tc>
          <w:tcPr>
            <w:tcW w:w="2098" w:type="dxa"/>
            <w:shd w:val="clear" w:color="auto" w:fill="0F2D3A"/>
          </w:tcPr>
          <w:p w14:paraId="7D177574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Destino</w:t>
            </w:r>
          </w:p>
        </w:tc>
      </w:tr>
      <w:tr w:rsidR="00082595" w:rsidRPr="00061C5C" w14:paraId="6CB061D1" w14:textId="77777777">
        <w:trPr>
          <w:cantSplit/>
          <w:jc w:val="center"/>
        </w:trPr>
        <w:tc>
          <w:tcPr>
            <w:tcW w:w="1928" w:type="dxa"/>
          </w:tcPr>
          <w:p w14:paraId="4C5E8E93" w14:textId="77777777" w:rsidR="00082595" w:rsidRDefault="00000000">
            <w:pPr>
              <w:pStyle w:val="LumisTabela"/>
            </w:pPr>
            <w:r>
              <w:t>"Acurácia de 94%"</w:t>
            </w:r>
          </w:p>
        </w:tc>
        <w:tc>
          <w:tcPr>
            <w:tcW w:w="2551" w:type="dxa"/>
          </w:tcPr>
          <w:p w14:paraId="62907212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Que o modelo acertou 94,1% numa amostra de 2023 de dois hospitais</w:t>
            </w:r>
          </w:p>
        </w:tc>
        <w:tc>
          <w:tcPr>
            <w:tcW w:w="2494" w:type="dxa"/>
          </w:tcPr>
          <w:p w14:paraId="5A75001E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Que acerta 94% hoje, em qualquer cliente ou grupo</w:t>
            </w:r>
          </w:p>
        </w:tc>
        <w:tc>
          <w:tcPr>
            <w:tcW w:w="2098" w:type="dxa"/>
          </w:tcPr>
          <w:p w14:paraId="55926819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Aposentar. Entra o falso negativo por subgrupo (indicador 1)</w:t>
            </w:r>
          </w:p>
        </w:tc>
      </w:tr>
      <w:tr w:rsidR="00082595" w:rsidRPr="00061C5C" w14:paraId="3BA48284" w14:textId="77777777">
        <w:trPr>
          <w:cantSplit/>
          <w:jc w:val="center"/>
        </w:trPr>
        <w:tc>
          <w:tcPr>
            <w:tcW w:w="1928" w:type="dxa"/>
            <w:shd w:val="clear" w:color="auto" w:fill="F1F6F4"/>
          </w:tcPr>
          <w:p w14:paraId="45A58DDB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"Redução de 30% no tempo de triagem"</w:t>
            </w:r>
          </w:p>
        </w:tc>
        <w:tc>
          <w:tcPr>
            <w:tcW w:w="2551" w:type="dxa"/>
            <w:shd w:val="clear" w:color="auto" w:fill="F1F6F4"/>
          </w:tcPr>
          <w:p w14:paraId="7B3FD901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Que o tempo caiu 30,4% num piloto de seis semanas, sem grupo de controle</w:t>
            </w:r>
          </w:p>
        </w:tc>
        <w:tc>
          <w:tcPr>
            <w:tcW w:w="2494" w:type="dxa"/>
            <w:shd w:val="clear" w:color="auto" w:fill="F1F6F4"/>
          </w:tcPr>
          <w:p w14:paraId="5B750262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Atribuir a queda ao produto ou estender a outros hospitais</w:t>
            </w:r>
          </w:p>
        </w:tc>
        <w:tc>
          <w:tcPr>
            <w:tcW w:w="2098" w:type="dxa"/>
            <w:shd w:val="clear" w:color="auto" w:fill="F1F6F4"/>
          </w:tcPr>
          <w:p w14:paraId="32E94FBB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Retirar até haver estudo com comparação</w:t>
            </w:r>
          </w:p>
        </w:tc>
      </w:tr>
      <w:tr w:rsidR="00082595" w14:paraId="1A66879D" w14:textId="77777777">
        <w:trPr>
          <w:cantSplit/>
          <w:jc w:val="center"/>
        </w:trPr>
        <w:tc>
          <w:tcPr>
            <w:tcW w:w="1928" w:type="dxa"/>
          </w:tcPr>
          <w:p w14:paraId="312FC3AB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"Mais de 5 milhões de vidas analisadas"</w:t>
            </w:r>
          </w:p>
        </w:tc>
        <w:tc>
          <w:tcPr>
            <w:tcW w:w="2551" w:type="dxa"/>
          </w:tcPr>
          <w:p w14:paraId="10723610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Que houve 5,2 milhões de processamentos</w:t>
            </w:r>
          </w:p>
        </w:tc>
        <w:tc>
          <w:tcPr>
            <w:tcW w:w="2494" w:type="dxa"/>
          </w:tcPr>
          <w:p w14:paraId="0890CD79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Falar em vidas ou pessoas: há reprocessamento do mesmo paciente</w:t>
            </w:r>
          </w:p>
        </w:tc>
        <w:tc>
          <w:tcPr>
            <w:tcW w:w="2098" w:type="dxa"/>
          </w:tcPr>
          <w:p w14:paraId="36273D46" w14:textId="77777777" w:rsidR="00082595" w:rsidRDefault="00000000">
            <w:pPr>
              <w:pStyle w:val="LumisTabela"/>
            </w:pPr>
            <w:r>
              <w:t>Retirar já</w:t>
            </w:r>
          </w:p>
        </w:tc>
      </w:tr>
      <w:tr w:rsidR="00082595" w:rsidRPr="00061C5C" w14:paraId="7F7F0936" w14:textId="77777777">
        <w:trPr>
          <w:cantSplit/>
          <w:jc w:val="center"/>
        </w:trPr>
        <w:tc>
          <w:tcPr>
            <w:tcW w:w="1928" w:type="dxa"/>
            <w:shd w:val="clear" w:color="auto" w:fill="F1F6F4"/>
          </w:tcPr>
          <w:p w14:paraId="6A6D5C10" w14:textId="77777777" w:rsidR="00082595" w:rsidRDefault="00000000">
            <w:pPr>
              <w:pStyle w:val="LumisTabela"/>
            </w:pPr>
            <w:r>
              <w:t>"NPS 72"</w:t>
            </w:r>
          </w:p>
        </w:tc>
        <w:tc>
          <w:tcPr>
            <w:tcW w:w="2551" w:type="dxa"/>
            <w:shd w:val="clear" w:color="auto" w:fill="F1F6F4"/>
          </w:tcPr>
          <w:p w14:paraId="0071BD57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Que 9 clientes indicados pelo comercial aprovam o produto</w:t>
            </w:r>
          </w:p>
        </w:tc>
        <w:tc>
          <w:tcPr>
            <w:tcW w:w="2494" w:type="dxa"/>
            <w:shd w:val="clear" w:color="auto" w:fill="F1F6F4"/>
          </w:tcPr>
          <w:p w14:paraId="267958D2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Falar em satisfação da carteira de 38 contas</w:t>
            </w:r>
          </w:p>
        </w:tc>
        <w:tc>
          <w:tcPr>
            <w:tcW w:w="2098" w:type="dxa"/>
            <w:shd w:val="clear" w:color="auto" w:fill="F1F6F4"/>
          </w:tcPr>
          <w:p w14:paraId="18513C32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Aposentar. Entram as reclamações por subgrupo (indicador 3)</w:t>
            </w:r>
          </w:p>
        </w:tc>
      </w:tr>
      <w:tr w:rsidR="00082595" w:rsidRPr="00061C5C" w14:paraId="28530F2F" w14:textId="77777777">
        <w:trPr>
          <w:cantSplit/>
          <w:jc w:val="center"/>
        </w:trPr>
        <w:tc>
          <w:tcPr>
            <w:tcW w:w="1928" w:type="dxa"/>
          </w:tcPr>
          <w:p w14:paraId="47916A45" w14:textId="77777777" w:rsidR="00082595" w:rsidRDefault="00000000">
            <w:pPr>
              <w:pStyle w:val="LumisTabela"/>
              <w:keepNext/>
            </w:pPr>
            <w:r>
              <w:t>"Disponibilidade de 99,9%"</w:t>
            </w:r>
          </w:p>
        </w:tc>
        <w:tc>
          <w:tcPr>
            <w:tcW w:w="2551" w:type="dxa"/>
          </w:tcPr>
          <w:p w14:paraId="30A6AEDC" w14:textId="77777777" w:rsidR="00082595" w:rsidRPr="00061C5C" w:rsidRDefault="00000000">
            <w:pPr>
              <w:pStyle w:val="LumisTabela"/>
              <w:keepNext/>
              <w:rPr>
                <w:lang w:val="pt-BR"/>
              </w:rPr>
            </w:pPr>
            <w:r w:rsidRPr="00061C5C">
              <w:rPr>
                <w:lang w:val="pt-BR"/>
              </w:rPr>
              <w:t>Que a interface de programação ficou no ar 99,92% do tempo</w:t>
            </w:r>
          </w:p>
        </w:tc>
        <w:tc>
          <w:tcPr>
            <w:tcW w:w="2494" w:type="dxa"/>
          </w:tcPr>
          <w:p w14:paraId="058F06F1" w14:textId="77777777" w:rsidR="00082595" w:rsidRPr="00061C5C" w:rsidRDefault="00000000">
            <w:pPr>
              <w:pStyle w:val="LumisTabela"/>
              <w:keepNext/>
              <w:rPr>
                <w:lang w:val="pt-BR"/>
              </w:rPr>
            </w:pPr>
            <w:r w:rsidRPr="00061C5C">
              <w:rPr>
                <w:lang w:val="pt-BR"/>
              </w:rPr>
              <w:t>Que o hospital recebeu a priorização correta a tempo</w:t>
            </w:r>
          </w:p>
        </w:tc>
        <w:tc>
          <w:tcPr>
            <w:tcW w:w="2098" w:type="dxa"/>
          </w:tcPr>
          <w:p w14:paraId="5B09F6EF" w14:textId="77777777" w:rsidR="00082595" w:rsidRPr="00061C5C" w:rsidRDefault="00000000">
            <w:pPr>
              <w:pStyle w:val="LumisTabela"/>
              <w:keepNext/>
              <w:rPr>
                <w:lang w:val="pt-BR"/>
              </w:rPr>
            </w:pPr>
            <w:r w:rsidRPr="00061C5C">
              <w:rPr>
                <w:lang w:val="pt-BR"/>
              </w:rPr>
              <w:t>Sai do material comercial; segue como meta técnica</w:t>
            </w:r>
          </w:p>
        </w:tc>
      </w:tr>
    </w:tbl>
    <w:p w14:paraId="157A482E" w14:textId="77777777" w:rsidR="00082595" w:rsidRPr="00061C5C" w:rsidRDefault="00000000">
      <w:pPr>
        <w:pStyle w:val="Legenda"/>
        <w:rPr>
          <w:lang w:val="pt-BR"/>
        </w:rPr>
      </w:pPr>
      <w:r w:rsidRPr="00061C5C">
        <w:rPr>
          <w:lang w:val="pt-BR"/>
        </w:rPr>
        <w:t>Tabela 3. As cinco afirmações do painel comercial. As quatro perguntas aplicadas a cada uma estão no Anexo. Fonte: Cap. 2, Quadros 9 e 11.</w:t>
      </w:r>
    </w:p>
    <w:p w14:paraId="0F2FD8D7" w14:textId="77777777" w:rsidR="00082595" w:rsidRPr="00061C5C" w:rsidRDefault="00000000">
      <w:pPr>
        <w:rPr>
          <w:lang w:val="pt-BR"/>
        </w:rPr>
      </w:pPr>
      <w:r w:rsidRPr="00061C5C">
        <w:rPr>
          <w:lang w:val="pt-BR"/>
        </w:rPr>
        <w:t xml:space="preserve">Os "5 milhões de vidas" são o caso mais grave. A auditoria interna achou a duplicidade em 01/2026, ela foi corrigida no sistema e o número continua no material comercial </w:t>
      </w:r>
      <w:r w:rsidRPr="00061C5C">
        <w:rPr>
          <w:rStyle w:val="TagFonte"/>
          <w:lang w:val="pt-BR"/>
        </w:rPr>
        <w:t>[fonte: Cap. 2, Quadro 14]</w:t>
      </w:r>
      <w:r w:rsidRPr="00061C5C">
        <w:rPr>
          <w:lang w:val="pt-BR"/>
        </w:rPr>
        <w:t>. Manter qualquer uma das cinco afirmações como está contradiz o nosso compromisso de Transparência, que manda informar as limitações do sistema (C1).</w:t>
      </w:r>
    </w:p>
    <w:p w14:paraId="399E7890" w14:textId="77777777" w:rsidR="00082595" w:rsidRPr="00061C5C" w:rsidRDefault="00000000">
      <w:pPr>
        <w:pStyle w:val="Ttulo1"/>
        <w:rPr>
          <w:lang w:val="pt-BR"/>
        </w:rPr>
      </w:pPr>
      <w:r w:rsidRPr="00061C5C">
        <w:rPr>
          <w:lang w:val="pt-BR"/>
        </w:rPr>
        <w:t>5. O que passamos a medir e o que decidimos agora</w:t>
      </w:r>
    </w:p>
    <w:p w14:paraId="0F83F898" w14:textId="77777777" w:rsidR="00082595" w:rsidRPr="00061C5C" w:rsidRDefault="00000000">
      <w:pPr>
        <w:rPr>
          <w:lang w:val="pt-BR"/>
        </w:rPr>
      </w:pPr>
      <w:r w:rsidRPr="00061C5C">
        <w:rPr>
          <w:lang w:val="pt-BR"/>
        </w:rPr>
        <w:t xml:space="preserve">No lugar dos números de vitrine, propomos cinco indicadores de gestão. Cada um muda uma decisão, tem um limite que dispara essa decisão e termina num cargo. Os cargos vêm do Quadro 13 e são provisórios até a Entrega 3, que define quem responde por cada decisão. Os limites são propostas da equipe </w:t>
      </w:r>
      <w:r w:rsidRPr="00061C5C">
        <w:rPr>
          <w:rStyle w:val="TagHiptese"/>
          <w:lang w:val="pt-BR"/>
        </w:rPr>
        <w:t>[hipótese]</w:t>
      </w:r>
      <w:r w:rsidRPr="00061C5C">
        <w:rPr>
          <w:lang w:val="pt-BR"/>
        </w:rPr>
        <w:t>. Nenhuma fonte fixa valores para este caso.</w:t>
      </w:r>
    </w:p>
    <w:p w14:paraId="54E48F3F" w14:textId="77777777" w:rsidR="00082595" w:rsidRDefault="00000000">
      <w:r w:rsidRPr="00061C5C">
        <w:rPr>
          <w:lang w:val="pt-BR"/>
        </w:rPr>
        <w:lastRenderedPageBreak/>
        <w:t xml:space="preserve">Para medir equidade, escolhemos uma regra: a mesma taxa de erro grave em todos os grupos. Em priorização, o erro grave é deixar de priorizar quem precisava. A regra tem custo: baixar o falso negativo de um grupo tende a priorizar mais pacientes nesse grupo, o que aumenta a carga do hospital. </w:t>
      </w:r>
      <w:r>
        <w:t>O indicador 1 acompanha esse custo junto.</w:t>
      </w:r>
    </w:p>
    <w:tbl>
      <w:tblPr>
        <w:tblW w:w="0" w:type="auto"/>
        <w:jc w:val="center"/>
        <w:tblBorders>
          <w:top w:val="single" w:sz="4" w:space="0" w:color="D3DEDB"/>
          <w:bottom w:val="single" w:sz="4" w:space="0" w:color="D3DEDB"/>
          <w:insideH w:val="single" w:sz="4" w:space="0" w:color="D3DEDB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1531"/>
        <w:gridCol w:w="1701"/>
        <w:gridCol w:w="2154"/>
        <w:gridCol w:w="1814"/>
      </w:tblGrid>
      <w:tr w:rsidR="00082595" w:rsidRPr="00061C5C" w14:paraId="1E157487" w14:textId="77777777">
        <w:trPr>
          <w:cantSplit/>
          <w:tblHeader/>
          <w:jc w:val="center"/>
        </w:trPr>
        <w:tc>
          <w:tcPr>
            <w:tcW w:w="1871" w:type="dxa"/>
            <w:shd w:val="clear" w:color="auto" w:fill="0F2D3A"/>
          </w:tcPr>
          <w:p w14:paraId="5F584E49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w="1531" w:type="dxa"/>
            <w:shd w:val="clear" w:color="auto" w:fill="0F2D3A"/>
          </w:tcPr>
          <w:p w14:paraId="59C01DA9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Hoje</w:t>
            </w:r>
          </w:p>
        </w:tc>
        <w:tc>
          <w:tcPr>
            <w:tcW w:w="1701" w:type="dxa"/>
            <w:shd w:val="clear" w:color="auto" w:fill="0F2D3A"/>
          </w:tcPr>
          <w:p w14:paraId="3A3EBFC0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Decisão que muda</w:t>
            </w:r>
          </w:p>
        </w:tc>
        <w:tc>
          <w:tcPr>
            <w:tcW w:w="2154" w:type="dxa"/>
            <w:shd w:val="clear" w:color="auto" w:fill="0F2D3A"/>
          </w:tcPr>
          <w:p w14:paraId="144EFD0C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Limite [hipótese]</w:t>
            </w:r>
          </w:p>
        </w:tc>
        <w:tc>
          <w:tcPr>
            <w:tcW w:w="1814" w:type="dxa"/>
            <w:shd w:val="clear" w:color="auto" w:fill="0F2D3A"/>
          </w:tcPr>
          <w:p w14:paraId="354E7619" w14:textId="77777777" w:rsidR="00082595" w:rsidRPr="00061C5C" w:rsidRDefault="00000000">
            <w:pPr>
              <w:pStyle w:val="LumisTabela"/>
              <w:keepNext/>
              <w:rPr>
                <w:lang w:val="pt-BR"/>
              </w:rPr>
            </w:pPr>
            <w:r w:rsidRPr="00061C5C">
              <w:rPr>
                <w:b/>
                <w:color w:val="FFFFFF"/>
                <w:lang w:val="pt-BR"/>
              </w:rPr>
              <w:t>Quem apura e quem decide</w:t>
            </w:r>
          </w:p>
        </w:tc>
      </w:tr>
      <w:tr w:rsidR="00082595" w14:paraId="028F6081" w14:textId="77777777">
        <w:trPr>
          <w:cantSplit/>
          <w:jc w:val="center"/>
        </w:trPr>
        <w:tc>
          <w:tcPr>
            <w:tcW w:w="1871" w:type="dxa"/>
          </w:tcPr>
          <w:p w14:paraId="3824118C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b/>
                <w:lang w:val="pt-BR"/>
              </w:rPr>
              <w:t>1. Falso negativo em campo por subgrupo</w:t>
            </w:r>
            <w:r w:rsidRPr="00061C5C">
              <w:rPr>
                <w:lang w:val="pt-BR"/>
              </w:rPr>
              <w:t xml:space="preserve"> (idade e CEP, também por cliente)</w:t>
            </w:r>
          </w:p>
        </w:tc>
        <w:tc>
          <w:tcPr>
            <w:tcW w:w="1531" w:type="dxa"/>
          </w:tcPr>
          <w:p w14:paraId="5AC1EBAB" w14:textId="77777777" w:rsidR="00082595" w:rsidRDefault="00000000">
            <w:pPr>
              <w:pStyle w:val="LumisTabela"/>
            </w:pPr>
            <w:r>
              <w:t>Pior grupo 31,8%, melhor 10,6%: 3,0 vezes</w:t>
            </w:r>
          </w:p>
        </w:tc>
        <w:tc>
          <w:tcPr>
            <w:tcW w:w="1701" w:type="dxa"/>
          </w:tcPr>
          <w:p w14:paraId="5C7AE7B8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Restringir a recomendação automática num grupo; liberar ou barrar nova versão</w:t>
            </w:r>
          </w:p>
        </w:tc>
        <w:tc>
          <w:tcPr>
            <w:tcW w:w="2154" w:type="dxa"/>
          </w:tcPr>
          <w:p w14:paraId="72186D8F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A partir de 1,5 vez o melhor grupo, a revisão humana sobe para 10%. A partir de 2 vezes, a recomendação automática é suspensa no grupo. Versão que piora algum grupo em mais de 1 ponto não sobe</w:t>
            </w:r>
          </w:p>
        </w:tc>
        <w:tc>
          <w:tcPr>
            <w:tcW w:w="1814" w:type="dxa"/>
          </w:tcPr>
          <w:p w14:paraId="2E30007C" w14:textId="77777777" w:rsidR="00082595" w:rsidRDefault="00000000">
            <w:pPr>
              <w:pStyle w:val="LumisTabela"/>
            </w:pPr>
            <w:r w:rsidRPr="00061C5C">
              <w:rPr>
                <w:lang w:val="pt-BR"/>
              </w:rPr>
              <w:t xml:space="preserve">Yuri Nakamura (Dados) apura. Head of AI Management confere. CEO decide a suspensão. </w:t>
            </w:r>
            <w:r>
              <w:t>CTO libera versão dentro da regra</w:t>
            </w:r>
          </w:p>
        </w:tc>
      </w:tr>
      <w:tr w:rsidR="00082595" w14:paraId="1AD06883" w14:textId="77777777">
        <w:trPr>
          <w:cantSplit/>
          <w:jc w:val="center"/>
        </w:trPr>
        <w:tc>
          <w:tcPr>
            <w:tcW w:w="1871" w:type="dxa"/>
            <w:shd w:val="clear" w:color="auto" w:fill="F1F6F4"/>
          </w:tcPr>
          <w:p w14:paraId="5175E4F7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b/>
                <w:lang w:val="pt-BR"/>
              </w:rPr>
              <w:t>2. Direito de uso da base de treino</w:t>
            </w:r>
            <w:r w:rsidRPr="00061C5C">
              <w:rPr>
                <w:lang w:val="pt-BR"/>
              </w:rPr>
              <w:t xml:space="preserve"> (por fonte e contrato)</w:t>
            </w:r>
          </w:p>
        </w:tc>
        <w:tc>
          <w:tcPr>
            <w:tcW w:w="1531" w:type="dxa"/>
            <w:shd w:val="clear" w:color="auto" w:fill="F1F6F4"/>
          </w:tcPr>
          <w:p w14:paraId="32DDC91A" w14:textId="77777777" w:rsidR="00082595" w:rsidRDefault="00000000">
            <w:pPr>
              <w:pStyle w:val="LumisTabela"/>
            </w:pPr>
            <w:r w:rsidRPr="00061C5C">
              <w:rPr>
                <w:lang w:val="pt-BR"/>
              </w:rPr>
              <w:t xml:space="preserve">Com autorização expressa e parecer jurídico: 0%. </w:t>
            </w:r>
            <w:r>
              <w:t>Só com autorização expressa: 64,6%</w:t>
            </w:r>
          </w:p>
        </w:tc>
        <w:tc>
          <w:tcPr>
            <w:tcW w:w="1701" w:type="dxa"/>
            <w:shd w:val="clear" w:color="auto" w:fill="F1F6F4"/>
          </w:tcPr>
          <w:p w14:paraId="0178AE1C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O que entra no próximo treino; a ordem de renegociação</w:t>
            </w:r>
          </w:p>
        </w:tc>
        <w:tc>
          <w:tcPr>
            <w:tcW w:w="2154" w:type="dxa"/>
            <w:shd w:val="clear" w:color="auto" w:fill="F1F6F4"/>
          </w:tcPr>
          <w:p w14:paraId="0DBC1C7A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Nada sem autorização expressa e parecer entra no treino. Contrato a seis meses do vencimento sem cláusula nova dispara plano de retirada</w:t>
            </w:r>
          </w:p>
        </w:tc>
        <w:tc>
          <w:tcPr>
            <w:tcW w:w="1814" w:type="dxa"/>
            <w:shd w:val="clear" w:color="auto" w:fill="F1F6F4"/>
          </w:tcPr>
          <w:p w14:paraId="049D1F8F" w14:textId="77777777" w:rsidR="00082595" w:rsidRDefault="00000000">
            <w:pPr>
              <w:pStyle w:val="LumisTabela"/>
            </w:pPr>
            <w:r w:rsidRPr="00061C5C">
              <w:rPr>
                <w:lang w:val="pt-BR"/>
              </w:rPr>
              <w:t xml:space="preserve">Yuri Nakamura mantém o inventário. Ana Beatriz Rangel (DPO) dá o parecer. </w:t>
            </w:r>
            <w:r>
              <w:t>CEO decide renegociar ou retirar</w:t>
            </w:r>
          </w:p>
        </w:tc>
      </w:tr>
      <w:tr w:rsidR="00082595" w14:paraId="16AB3598" w14:textId="77777777">
        <w:trPr>
          <w:cantSplit/>
          <w:jc w:val="center"/>
        </w:trPr>
        <w:tc>
          <w:tcPr>
            <w:tcW w:w="1871" w:type="dxa"/>
          </w:tcPr>
          <w:p w14:paraId="48462439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b/>
                <w:lang w:val="pt-BR"/>
              </w:rPr>
              <w:t>3. Reclamações por faixa de CEP, cruzadas com o falso negativo</w:t>
            </w:r>
            <w:r w:rsidRPr="00061C5C">
              <w:rPr>
                <w:lang w:val="pt-BR"/>
              </w:rPr>
              <w:t xml:space="preserve"> (CEP e idade)</w:t>
            </w:r>
          </w:p>
        </w:tc>
        <w:tc>
          <w:tcPr>
            <w:tcW w:w="1531" w:type="dxa"/>
          </w:tcPr>
          <w:p w14:paraId="45E86A7F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D/E: 64% das reclamações com 25% da base, índice 2,54</w:t>
            </w:r>
          </w:p>
        </w:tc>
        <w:tc>
          <w:tcPr>
            <w:tcW w:w="1701" w:type="dxa"/>
          </w:tcPr>
          <w:p w14:paraId="004A6CBF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Abrir revisão clínica dos casos e levar o grupo ao indicador 1</w:t>
            </w:r>
          </w:p>
        </w:tc>
        <w:tc>
          <w:tcPr>
            <w:tcW w:w="2154" w:type="dxa"/>
          </w:tcPr>
          <w:p w14:paraId="423A905C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Índice a partir de 1,5 numa janela de 90 dias</w:t>
            </w:r>
          </w:p>
        </w:tc>
        <w:tc>
          <w:tcPr>
            <w:tcW w:w="1814" w:type="dxa"/>
          </w:tcPr>
          <w:p w14:paraId="5BC1035F" w14:textId="77777777" w:rsidR="00082595" w:rsidRDefault="00000000">
            <w:pPr>
              <w:pStyle w:val="LumisTabela"/>
            </w:pPr>
            <w:r w:rsidRPr="00061C5C">
              <w:rPr>
                <w:lang w:val="pt-BR"/>
              </w:rPr>
              <w:t xml:space="preserve">Registro no time de sucesso do cliente, cargo </w:t>
            </w:r>
            <w:r w:rsidRPr="00061C5C">
              <w:rPr>
                <w:rStyle w:val="TagNoconsta"/>
                <w:lang w:val="pt-BR"/>
              </w:rPr>
              <w:t>[não consta]</w:t>
            </w:r>
            <w:r w:rsidRPr="00061C5C">
              <w:rPr>
                <w:lang w:val="pt-BR"/>
              </w:rPr>
              <w:t xml:space="preserve">. </w:t>
            </w:r>
            <w:r>
              <w:t>Yuri Nakamura cruza. Head of AI Management decide a investigação</w:t>
            </w:r>
          </w:p>
        </w:tc>
      </w:tr>
      <w:tr w:rsidR="00082595" w:rsidRPr="00061C5C" w14:paraId="7E9CFACE" w14:textId="77777777">
        <w:trPr>
          <w:cantSplit/>
          <w:jc w:val="center"/>
        </w:trPr>
        <w:tc>
          <w:tcPr>
            <w:tcW w:w="1871" w:type="dxa"/>
            <w:shd w:val="clear" w:color="auto" w:fill="F1F6F4"/>
          </w:tcPr>
          <w:p w14:paraId="4133D924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b/>
                <w:lang w:val="pt-BR"/>
              </w:rPr>
              <w:t>4. Incidentes detectados pela Lumis antes do cliente</w:t>
            </w:r>
            <w:r w:rsidRPr="00061C5C">
              <w:rPr>
                <w:lang w:val="pt-BR"/>
              </w:rPr>
              <w:t xml:space="preserve"> (por tipo e grupo afetado)</w:t>
            </w:r>
          </w:p>
        </w:tc>
        <w:tc>
          <w:tcPr>
            <w:tcW w:w="1531" w:type="dxa"/>
            <w:shd w:val="clear" w:color="auto" w:fill="F1F6F4"/>
          </w:tcPr>
          <w:p w14:paraId="7D1E1A82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2 de 4 detectados por cliente; 1 em tratamento; 1 sem correção no material</w:t>
            </w:r>
          </w:p>
        </w:tc>
        <w:tc>
          <w:tcPr>
            <w:tcW w:w="1701" w:type="dxa"/>
            <w:shd w:val="clear" w:color="auto" w:fill="F1F6F4"/>
          </w:tcPr>
          <w:p w14:paraId="06EBE4AB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Rever o monitoramento e a regra de liberação. Incidente só fecha com o material público corrigido</w:t>
            </w:r>
          </w:p>
        </w:tc>
        <w:tc>
          <w:tcPr>
            <w:tcW w:w="2154" w:type="dxa"/>
            <w:shd w:val="clear" w:color="auto" w:fill="F1F6F4"/>
          </w:tcPr>
          <w:p w14:paraId="22B015EA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Incidente detectado pelo cliente, ou aberto há mais de 30 dias, vai ao conselho</w:t>
            </w:r>
          </w:p>
        </w:tc>
        <w:tc>
          <w:tcPr>
            <w:tcW w:w="1814" w:type="dxa"/>
            <w:shd w:val="clear" w:color="auto" w:fill="F1F6F4"/>
          </w:tcPr>
          <w:p w14:paraId="584588C6" w14:textId="77777777" w:rsidR="00082595" w:rsidRPr="00061C5C" w:rsidRDefault="00000000">
            <w:pPr>
              <w:pStyle w:val="LumisTabela"/>
              <w:rPr>
                <w:lang w:val="pt-BR"/>
              </w:rPr>
            </w:pPr>
            <w:r>
              <w:t xml:space="preserve">Head of AI Management registra. </w:t>
            </w:r>
            <w:r w:rsidRPr="00061C5C">
              <w:rPr>
                <w:lang w:val="pt-BR"/>
              </w:rPr>
              <w:t>DPO confere. CEO recebe o relato</w:t>
            </w:r>
          </w:p>
        </w:tc>
      </w:tr>
      <w:tr w:rsidR="00082595" w:rsidRPr="00061C5C" w14:paraId="35C9EB5C" w14:textId="77777777">
        <w:trPr>
          <w:cantSplit/>
          <w:jc w:val="center"/>
        </w:trPr>
        <w:tc>
          <w:tcPr>
            <w:tcW w:w="1871" w:type="dxa"/>
          </w:tcPr>
          <w:p w14:paraId="674E99BC" w14:textId="77777777" w:rsidR="00082595" w:rsidRPr="00061C5C" w:rsidRDefault="00000000">
            <w:pPr>
              <w:pStyle w:val="LumisTabela"/>
              <w:keepNext/>
              <w:rPr>
                <w:lang w:val="pt-BR"/>
              </w:rPr>
            </w:pPr>
            <w:r w:rsidRPr="00061C5C">
              <w:rPr>
                <w:b/>
                <w:lang w:val="pt-BR"/>
              </w:rPr>
              <w:t>5. Afirmações públicas auditáveis</w:t>
            </w:r>
            <w:r w:rsidRPr="00061C5C">
              <w:rPr>
                <w:lang w:val="pt-BR"/>
              </w:rPr>
              <w:t xml:space="preserve"> (pior grupo sempre ao lado)</w:t>
            </w:r>
          </w:p>
        </w:tc>
        <w:tc>
          <w:tcPr>
            <w:tcW w:w="1531" w:type="dxa"/>
          </w:tcPr>
          <w:p w14:paraId="4D6CA686" w14:textId="77777777" w:rsidR="00082595" w:rsidRDefault="00000000">
            <w:pPr>
              <w:pStyle w:val="LumisTabela"/>
              <w:keepNext/>
            </w:pPr>
            <w:r>
              <w:t>0 de 5</w:t>
            </w:r>
          </w:p>
        </w:tc>
        <w:tc>
          <w:tcPr>
            <w:tcW w:w="1701" w:type="dxa"/>
          </w:tcPr>
          <w:p w14:paraId="5C3D4BBA" w14:textId="77777777" w:rsidR="00082595" w:rsidRPr="00061C5C" w:rsidRDefault="00000000">
            <w:pPr>
              <w:pStyle w:val="LumisTabela"/>
              <w:keepNext/>
              <w:rPr>
                <w:lang w:val="pt-BR"/>
              </w:rPr>
            </w:pPr>
            <w:r w:rsidRPr="00061C5C">
              <w:rPr>
                <w:lang w:val="pt-BR"/>
              </w:rPr>
              <w:t>O que pode ir para o material comercial</w:t>
            </w:r>
          </w:p>
        </w:tc>
        <w:tc>
          <w:tcPr>
            <w:tcW w:w="2154" w:type="dxa"/>
          </w:tcPr>
          <w:p w14:paraId="368F11BC" w14:textId="77777777" w:rsidR="00082595" w:rsidRPr="00061C5C" w:rsidRDefault="00000000">
            <w:pPr>
              <w:pStyle w:val="LumisTabela"/>
              <w:keepNext/>
              <w:rPr>
                <w:lang w:val="pt-BR"/>
              </w:rPr>
            </w:pPr>
            <w:r w:rsidRPr="00061C5C">
              <w:rPr>
                <w:lang w:val="pt-BR"/>
              </w:rPr>
              <w:t>Afirmação que alguém de fora não consegue refazer sai antes da próxima apresentação</w:t>
            </w:r>
          </w:p>
        </w:tc>
        <w:tc>
          <w:tcPr>
            <w:tcW w:w="1814" w:type="dxa"/>
          </w:tcPr>
          <w:p w14:paraId="29A83A1B" w14:textId="77777777" w:rsidR="00082595" w:rsidRPr="00061C5C" w:rsidRDefault="00000000">
            <w:pPr>
              <w:pStyle w:val="LumisTabela"/>
              <w:keepNext/>
              <w:rPr>
                <w:lang w:val="pt-BR"/>
              </w:rPr>
            </w:pPr>
            <w:r w:rsidRPr="00061C5C">
              <w:rPr>
                <w:lang w:val="pt-BR"/>
              </w:rPr>
              <w:t>Camila Torres (Comercial) propõe. Head of AI Management aprova. Cliente ou auditor refaz o número</w:t>
            </w:r>
          </w:p>
        </w:tc>
      </w:tr>
    </w:tbl>
    <w:p w14:paraId="1E570230" w14:textId="77777777" w:rsidR="00082595" w:rsidRPr="00061C5C" w:rsidRDefault="00000000">
      <w:pPr>
        <w:pStyle w:val="Legenda"/>
        <w:rPr>
          <w:lang w:val="pt-BR"/>
        </w:rPr>
      </w:pPr>
      <w:r w:rsidRPr="00061C5C">
        <w:rPr>
          <w:lang w:val="pt-BR"/>
        </w:rPr>
        <w:t>Tabela 4. Os cinco indicadores de gestão. As quatro perguntas aplicadas a cada um e aos descartados estão no Anexo. Fonte: Cap. 2, Quadros 7, 10, 11, 13, 14 e 17; contas e limites da equipe.</w:t>
      </w:r>
    </w:p>
    <w:p w14:paraId="0AFBB625" w14:textId="77777777" w:rsidR="00082595" w:rsidRPr="00061C5C" w:rsidRDefault="00000000">
      <w:pPr>
        <w:rPr>
          <w:lang w:val="pt-BR"/>
        </w:rPr>
      </w:pPr>
      <w:r w:rsidRPr="00061C5C">
        <w:rPr>
          <w:b/>
          <w:lang w:val="pt-BR"/>
        </w:rPr>
        <w:t>Amostra suficiente.</w:t>
      </w:r>
      <w:r w:rsidRPr="00061C5C">
        <w:rPr>
          <w:lang w:val="pt-BR"/>
        </w:rPr>
        <w:t xml:space="preserve"> O nosso compromisso de Não Amplificação de Danos pede revisão quinzenal por grupo (C2). Com a revisão em 2%, o grupo de 60 anos ou mais de CEP D/E teria uns 64 casos por quinzena que de fato precisavam de prioridade, e a margem de erro ficaria perto de 11 pontos </w:t>
      </w:r>
      <w:r w:rsidRPr="00061C5C">
        <w:rPr>
          <w:rStyle w:val="TagHiptese"/>
          <w:lang w:val="pt-BR"/>
        </w:rPr>
        <w:t>[hipótese: 10% dos casos precisam de prioridade]</w:t>
      </w:r>
      <w:r w:rsidRPr="00061C5C">
        <w:rPr>
          <w:lang w:val="pt-BR"/>
        </w:rPr>
        <w:t>. Por isso a revisão sobe para 10% nos grupos críticos, o que dá uns 320 casos por quinzena e margem perto de 5 pontos. Nos demais grupos, a leitura quinzenal usa os últimos 90 dias.</w:t>
      </w:r>
    </w:p>
    <w:p w14:paraId="75876096" w14:textId="77777777" w:rsidR="00082595" w:rsidRPr="00061C5C" w:rsidRDefault="00000000">
      <w:pPr>
        <w:rPr>
          <w:lang w:val="pt-BR"/>
        </w:rPr>
      </w:pPr>
      <w:r w:rsidRPr="00061C5C">
        <w:rPr>
          <w:b/>
          <w:lang w:val="pt-BR"/>
        </w:rPr>
        <w:lastRenderedPageBreak/>
        <w:t>Quem confere.</w:t>
      </w:r>
      <w:r w:rsidRPr="00061C5C">
        <w:rPr>
          <w:lang w:val="pt-BR"/>
        </w:rPr>
        <w:t xml:space="preserve"> A Lumis mede o erro do próprio produto. Por isso cada indicador tem conferência de fora: o cliente que manda o desfecho recalcula o próprio grupo, como o Vila Ipê já fez, e um auditor contratado refaz o cálculo a cada trimestre </w:t>
      </w:r>
      <w:r w:rsidRPr="00061C5C">
        <w:rPr>
          <w:rStyle w:val="TagHiptese"/>
          <w:lang w:val="pt-BR"/>
        </w:rPr>
        <w:t>[hipótese: a contratação é tema da Entrega 3]</w:t>
      </w:r>
      <w:r w:rsidRPr="00061C5C">
        <w:rPr>
          <w:lang w:val="pt-BR"/>
        </w:rPr>
        <w:t>. O NIST pede que todo sistema de IA tenha responsável e mecanismo definidos para ser desligado quando sai do uso pretendido⁵.</w:t>
      </w:r>
    </w:p>
    <w:p w14:paraId="65914EB4" w14:textId="77777777" w:rsidR="00082595" w:rsidRPr="00061C5C" w:rsidRDefault="00000000">
      <w:pPr>
        <w:rPr>
          <w:lang w:val="pt-BR"/>
        </w:rPr>
      </w:pPr>
      <w:r w:rsidRPr="00061C5C">
        <w:rPr>
          <w:b/>
          <w:lang w:val="pt-BR"/>
        </w:rPr>
        <w:t>O que descartamos.</w:t>
      </w:r>
      <w:r w:rsidRPr="00061C5C">
        <w:rPr>
          <w:lang w:val="pt-BR"/>
        </w:rPr>
        <w:t xml:space="preserve"> A acurácia global esconde o falso negativo. A comparação com a versão aprovada passou a ser a regra de liberação do indicador 1. A disponibilidade de ponta a ponta é decisão técnica e não chega ao conselho. "Auditorias contratuais concluídas" mede atividade, e o indicador 2 mede registros. "Pacientes únicos analisados" é volume. A discordância do revisor humano virou a fonte de medição do indicador 1.</w:t>
      </w:r>
    </w:p>
    <w:p w14:paraId="1285451B" w14:textId="77777777" w:rsidR="00082595" w:rsidRPr="00061C5C" w:rsidRDefault="00000000">
      <w:pPr>
        <w:rPr>
          <w:lang w:val="pt-BR"/>
        </w:rPr>
      </w:pPr>
      <w:r w:rsidRPr="00061C5C">
        <w:rPr>
          <w:b/>
          <w:lang w:val="pt-BR"/>
        </w:rPr>
        <w:t>A decisão de agora.</w:t>
      </w:r>
      <w:r w:rsidRPr="00061C5C">
        <w:rPr>
          <w:lang w:val="pt-BR"/>
        </w:rPr>
        <w:t xml:space="preserve"> Pelo limite do indicador 1, dois grupos já passam do ponto de suspensão: 60 anos ou mais de CEP D/E (3,0 vezes) e de CEP C (2,2 vezes). Mantemos o compromisso de Não Amplificação de Danos (C2), que manda suspender o uso até a correção quando há padrão de viés, e recomendamos restringir já a recomendação automática nesses dois grupos (D-023). O modelo segue rodando em paralelo, sem decidir, para medir a correção.</w:t>
      </w:r>
    </w:p>
    <w:p w14:paraId="1DB8DE00" w14:textId="77777777" w:rsidR="00082595" w:rsidRPr="00061C5C" w:rsidRDefault="00000000">
      <w:pPr>
        <w:pStyle w:val="Commarcadores"/>
        <w:rPr>
          <w:lang w:val="pt-BR"/>
        </w:rPr>
      </w:pPr>
      <w:r w:rsidRPr="00061C5C">
        <w:rPr>
          <w:b/>
          <w:lang w:val="pt-BR"/>
        </w:rPr>
        <w:t>Custo.</w:t>
      </w:r>
      <w:r w:rsidRPr="00061C5C">
        <w:rPr>
          <w:lang w:val="pt-BR"/>
        </w:rPr>
        <w:t xml:space="preserve"> Cerca de 154 mil decisões por mês, 24% do total, passam ao protocolo de triagem do próprio hospital. A revisão por amostra sobe de 12.800 para cerca de 24 mil casos por mês </w:t>
      </w:r>
      <w:r w:rsidRPr="00061C5C">
        <w:rPr>
          <w:rStyle w:val="TagHiptese"/>
          <w:lang w:val="pt-BR"/>
        </w:rPr>
        <w:t>[hipótese: as decisões se distribuem como a base]</w:t>
      </w:r>
      <w:r w:rsidRPr="00061C5C">
        <w:rPr>
          <w:lang w:val="pt-BR"/>
        </w:rPr>
        <w:t>.</w:t>
      </w:r>
    </w:p>
    <w:p w14:paraId="58295A86" w14:textId="77777777" w:rsidR="00082595" w:rsidRPr="00061C5C" w:rsidRDefault="00000000">
      <w:pPr>
        <w:pStyle w:val="Commarcadores"/>
        <w:rPr>
          <w:lang w:val="pt-BR"/>
        </w:rPr>
      </w:pPr>
      <w:r w:rsidRPr="00061C5C">
        <w:rPr>
          <w:b/>
          <w:lang w:val="pt-BR"/>
        </w:rPr>
        <w:t>O que falta saber.</w:t>
      </w:r>
      <w:r w:rsidRPr="00061C5C">
        <w:rPr>
          <w:lang w:val="pt-BR"/>
        </w:rPr>
        <w:t xml:space="preserve"> A carga em cada hospital e a receita afetada </w:t>
      </w:r>
      <w:r w:rsidRPr="00061C5C">
        <w:rPr>
          <w:rStyle w:val="TagNoconsta"/>
          <w:lang w:val="pt-BR"/>
        </w:rPr>
        <w:t>[não consta]</w:t>
      </w:r>
      <w:r w:rsidRPr="00061C5C">
        <w:rPr>
          <w:lang w:val="pt-BR"/>
        </w:rPr>
        <w:t>. A Entrega 3 define quem executa a restrição e com que poder.</w:t>
      </w:r>
    </w:p>
    <w:p w14:paraId="4582AD2E" w14:textId="77777777" w:rsidR="00082595" w:rsidRPr="00061C5C" w:rsidRDefault="00000000">
      <w:pPr>
        <w:pStyle w:val="Ttulo1"/>
        <w:rPr>
          <w:lang w:val="pt-BR"/>
        </w:rPr>
      </w:pPr>
      <w:r w:rsidRPr="00061C5C">
        <w:rPr>
          <w:lang w:val="pt-BR"/>
        </w:rPr>
        <w:t>6. O que isso muda na tese</w:t>
      </w:r>
    </w:p>
    <w:p w14:paraId="413AAA22" w14:textId="77777777" w:rsidR="00082595" w:rsidRPr="00061C5C" w:rsidRDefault="00000000">
      <w:pPr>
        <w:rPr>
          <w:lang w:val="pt-BR"/>
        </w:rPr>
      </w:pPr>
      <w:r w:rsidRPr="00061C5C">
        <w:rPr>
          <w:lang w:val="pt-BR"/>
        </w:rPr>
        <w:t>A base de clientes só vira vantagem difícil de copiar com direito de uso limpo e desempenho por subgrupo que alguém de fora consiga refazer, como a Entrega 1 já apontava. Por isso, levamos ao memorando três condições prévias ao aporte: regularizar a Prisma antes de 12/2026 e o Vila Ipê antes de 03/2027, incluindo o histórico anterior aos contratos; tirar do mercado os números que não se sustentam; e medir o erro por subgrupo com conferência externa. O falso negativo por subgrupo é também a métrica pública de impacto que a Entrega 5 vai propor.</w:t>
      </w:r>
    </w:p>
    <w:p w14:paraId="029DADD3" w14:textId="77777777" w:rsidR="00082595" w:rsidRPr="00061C5C" w:rsidRDefault="00000000">
      <w:pPr>
        <w:pStyle w:val="Ttulo2"/>
        <w:rPr>
          <w:lang w:val="pt-BR"/>
        </w:rPr>
      </w:pPr>
      <w:r w:rsidRPr="00061C5C">
        <w:rPr>
          <w:lang w:val="pt-BR"/>
        </w:rPr>
        <w:t>Referências</w:t>
      </w:r>
    </w:p>
    <w:p w14:paraId="76223876" w14:textId="77777777" w:rsidR="00082595" w:rsidRDefault="00000000">
      <w:pPr>
        <w:pStyle w:val="LumisNota"/>
      </w:pPr>
      <w:r w:rsidRPr="00061C5C">
        <w:rPr>
          <w:lang w:val="pt-BR"/>
        </w:rPr>
        <w:t xml:space="preserve">1. OBERMEYER, Z. et al. </w:t>
      </w:r>
      <w:r>
        <w:t>Dissecting racial bias in an algorithm used to manage the health of populations. Science, v. 366, n. 6464, p. 447-453, 2019. DOI: 10.1126/science.aax2342.</w:t>
      </w:r>
    </w:p>
    <w:p w14:paraId="19DD0BA5" w14:textId="77777777" w:rsidR="00082595" w:rsidRPr="00061C5C" w:rsidRDefault="00000000">
      <w:pPr>
        <w:pStyle w:val="LumisNota"/>
        <w:rPr>
          <w:lang w:val="pt-BR"/>
        </w:rPr>
      </w:pPr>
      <w:r>
        <w:t xml:space="preserve">2. WONG, A. et al. External Validation of a Widely Implemented Proprietary Sepsis Prediction Model in Hospitalized Patients. </w:t>
      </w:r>
      <w:r w:rsidRPr="00061C5C">
        <w:rPr>
          <w:lang w:val="pt-BR"/>
        </w:rPr>
        <w:t>JAMA Internal Medicine, v. 181, n. 8, p. 1065-1070, 2021.</w:t>
      </w:r>
    </w:p>
    <w:p w14:paraId="50147E66" w14:textId="77777777" w:rsidR="00082595" w:rsidRPr="00061C5C" w:rsidRDefault="00000000">
      <w:pPr>
        <w:pStyle w:val="LumisNota"/>
        <w:rPr>
          <w:lang w:val="pt-BR"/>
        </w:rPr>
      </w:pPr>
      <w:r w:rsidRPr="00061C5C">
        <w:rPr>
          <w:lang w:val="pt-BR"/>
        </w:rPr>
        <w:t>3. BRASIL. Lei nº 13.709, de 14 de agosto de 2018 (Lei Geral de Proteção de Dados Pessoais), arts. 5º, 6º, 11 e 52. Consulta em 06/10/2026.</w:t>
      </w:r>
    </w:p>
    <w:p w14:paraId="3D41F781" w14:textId="77777777" w:rsidR="00082595" w:rsidRDefault="00000000">
      <w:pPr>
        <w:pStyle w:val="LumisNota"/>
      </w:pPr>
      <w:r w:rsidRPr="00061C5C">
        <w:rPr>
          <w:lang w:val="pt-BR"/>
        </w:rPr>
        <w:t xml:space="preserve">4. ANPD. Guia Orientativo para Definições dos Agentes de Tratamento de Dados Pessoais e do Encarregado. </w:t>
      </w:r>
      <w:r>
        <w:t>Versão 2.0, abr. 2022.</w:t>
      </w:r>
    </w:p>
    <w:p w14:paraId="26C0F1A6" w14:textId="77777777" w:rsidR="00082595" w:rsidRPr="00061C5C" w:rsidRDefault="00000000">
      <w:pPr>
        <w:pStyle w:val="LumisNota"/>
        <w:rPr>
          <w:lang w:val="pt-BR"/>
        </w:rPr>
      </w:pPr>
      <w:r>
        <w:t xml:space="preserve">5. NIST. Artificial Intelligence Risk Management Framework (AI RMF 1.0). </w:t>
      </w:r>
      <w:r w:rsidRPr="00061C5C">
        <w:rPr>
          <w:lang w:val="pt-BR"/>
        </w:rPr>
        <w:t>NIST AI 100-1, jan. 2023 (função MANAGE 2.4).</w:t>
      </w:r>
    </w:p>
    <w:p w14:paraId="5303225A" w14:textId="77777777" w:rsidR="00082595" w:rsidRPr="00061C5C" w:rsidRDefault="00000000">
      <w:pPr>
        <w:pStyle w:val="LumisNota"/>
        <w:rPr>
          <w:lang w:val="pt-BR"/>
        </w:rPr>
      </w:pPr>
      <w:r w:rsidRPr="00061C5C">
        <w:rPr>
          <w:lang w:val="pt-BR"/>
        </w:rPr>
        <w:t>Dados da Lumis: Cap. 2, Anexo A. Contas, limites e leituras são da equipe e estão marcados no texto. As empresas reais citadas são análogos e não fazem parte do caso Lumis.</w:t>
      </w:r>
    </w:p>
    <w:p w14:paraId="3A49C79D" w14:textId="77777777" w:rsidR="00082595" w:rsidRPr="00061C5C" w:rsidRDefault="00000000">
      <w:pPr>
        <w:rPr>
          <w:lang w:val="pt-BR"/>
        </w:rPr>
      </w:pPr>
      <w:r w:rsidRPr="00061C5C">
        <w:rPr>
          <w:lang w:val="pt-BR"/>
        </w:rPr>
        <w:br w:type="page"/>
      </w:r>
    </w:p>
    <w:p w14:paraId="3B7BA19C" w14:textId="77777777" w:rsidR="00082595" w:rsidRPr="00061C5C" w:rsidRDefault="00000000">
      <w:pPr>
        <w:pStyle w:val="Ttulo1"/>
        <w:rPr>
          <w:lang w:val="pt-BR"/>
        </w:rPr>
      </w:pPr>
      <w:r w:rsidRPr="00061C5C">
        <w:rPr>
          <w:lang w:val="pt-BR"/>
        </w:rPr>
        <w:lastRenderedPageBreak/>
        <w:t>Anexo: detalhes da auditoria</w:t>
      </w:r>
    </w:p>
    <w:p w14:paraId="10F3B3C5" w14:textId="77777777" w:rsidR="00082595" w:rsidRPr="00061C5C" w:rsidRDefault="00000000">
      <w:pPr>
        <w:pStyle w:val="Ttulo2"/>
        <w:rPr>
          <w:lang w:val="pt-BR"/>
        </w:rPr>
      </w:pPr>
      <w:r w:rsidRPr="00061C5C">
        <w:rPr>
          <w:lang w:val="pt-BR"/>
        </w:rPr>
        <w:t>A1. As dez variáveis do modelo</w:t>
      </w:r>
    </w:p>
    <w:tbl>
      <w:tblPr>
        <w:tblW w:w="0" w:type="auto"/>
        <w:jc w:val="center"/>
        <w:tblBorders>
          <w:top w:val="single" w:sz="4" w:space="0" w:color="D3DEDB"/>
          <w:bottom w:val="single" w:sz="4" w:space="0" w:color="D3DEDB"/>
          <w:insideH w:val="single" w:sz="4" w:space="0" w:color="D3DEDB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850"/>
        <w:gridCol w:w="2608"/>
        <w:gridCol w:w="3005"/>
      </w:tblGrid>
      <w:tr w:rsidR="00082595" w:rsidRPr="00061C5C" w14:paraId="521865DA" w14:textId="77777777">
        <w:trPr>
          <w:cantSplit/>
          <w:tblHeader/>
          <w:jc w:val="center"/>
        </w:trPr>
        <w:tc>
          <w:tcPr>
            <w:tcW w:w="2608" w:type="dxa"/>
            <w:shd w:val="clear" w:color="auto" w:fill="0F2D3A"/>
          </w:tcPr>
          <w:p w14:paraId="704434BA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Variável</w:t>
            </w:r>
          </w:p>
        </w:tc>
        <w:tc>
          <w:tcPr>
            <w:tcW w:w="850" w:type="dxa"/>
            <w:shd w:val="clear" w:color="auto" w:fill="0F2D3A"/>
          </w:tcPr>
          <w:p w14:paraId="03A7AB33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Peso</w:t>
            </w:r>
          </w:p>
        </w:tc>
        <w:tc>
          <w:tcPr>
            <w:tcW w:w="2608" w:type="dxa"/>
            <w:shd w:val="clear" w:color="auto" w:fill="0F2D3A"/>
          </w:tcPr>
          <w:p w14:paraId="525F7F18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A empresa diz medir</w:t>
            </w:r>
          </w:p>
        </w:tc>
        <w:tc>
          <w:tcPr>
            <w:tcW w:w="3005" w:type="dxa"/>
            <w:shd w:val="clear" w:color="auto" w:fill="0F2D3A"/>
          </w:tcPr>
          <w:p w14:paraId="349BA512" w14:textId="77777777" w:rsidR="00082595" w:rsidRPr="00061C5C" w:rsidRDefault="00000000">
            <w:pPr>
              <w:pStyle w:val="LumisTabela"/>
              <w:keepNext/>
              <w:rPr>
                <w:lang w:val="pt-BR"/>
              </w:rPr>
            </w:pPr>
            <w:r w:rsidRPr="00061C5C">
              <w:rPr>
                <w:b/>
                <w:color w:val="FFFFFF"/>
                <w:lang w:val="pt-BR"/>
              </w:rPr>
              <w:t>O que tende a medir [hipótese]</w:t>
            </w:r>
          </w:p>
        </w:tc>
      </w:tr>
      <w:tr w:rsidR="00082595" w14:paraId="659B332E" w14:textId="77777777">
        <w:trPr>
          <w:cantSplit/>
          <w:jc w:val="center"/>
        </w:trPr>
        <w:tc>
          <w:tcPr>
            <w:tcW w:w="2608" w:type="dxa"/>
          </w:tcPr>
          <w:p w14:paraId="0D082C86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Nº de atendimentos em 24 meses</w:t>
            </w:r>
          </w:p>
        </w:tc>
        <w:tc>
          <w:tcPr>
            <w:tcW w:w="850" w:type="dxa"/>
          </w:tcPr>
          <w:p w14:paraId="0DA0B95F" w14:textId="77777777" w:rsidR="00082595" w:rsidRDefault="00000000">
            <w:pPr>
              <w:pStyle w:val="LumisTabela"/>
            </w:pPr>
            <w:r>
              <w:t>18,4%</w:t>
            </w:r>
          </w:p>
        </w:tc>
        <w:tc>
          <w:tcPr>
            <w:tcW w:w="2608" w:type="dxa"/>
          </w:tcPr>
          <w:p w14:paraId="69F416D3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Histórico de necessidade de cuidado</w:t>
            </w:r>
          </w:p>
        </w:tc>
        <w:tc>
          <w:tcPr>
            <w:tcW w:w="3005" w:type="dxa"/>
          </w:tcPr>
          <w:p w14:paraId="541C8806" w14:textId="77777777" w:rsidR="00082595" w:rsidRDefault="00000000">
            <w:pPr>
              <w:pStyle w:val="LumisTabela"/>
            </w:pPr>
            <w:r>
              <w:t>Quem conseguiu ser atendido</w:t>
            </w:r>
          </w:p>
        </w:tc>
      </w:tr>
      <w:tr w:rsidR="00082595" w14:paraId="7B4E9EB1" w14:textId="77777777">
        <w:trPr>
          <w:cantSplit/>
          <w:jc w:val="center"/>
        </w:trPr>
        <w:tc>
          <w:tcPr>
            <w:tcW w:w="2608" w:type="dxa"/>
            <w:shd w:val="clear" w:color="auto" w:fill="F1F6F4"/>
          </w:tcPr>
          <w:p w14:paraId="0E076639" w14:textId="77777777" w:rsidR="00082595" w:rsidRDefault="00000000">
            <w:pPr>
              <w:pStyle w:val="LumisTabela"/>
            </w:pPr>
            <w:r>
              <w:t>Custo acumulado de procedimentos</w:t>
            </w:r>
          </w:p>
        </w:tc>
        <w:tc>
          <w:tcPr>
            <w:tcW w:w="850" w:type="dxa"/>
            <w:shd w:val="clear" w:color="auto" w:fill="F1F6F4"/>
          </w:tcPr>
          <w:p w14:paraId="4CE94B82" w14:textId="77777777" w:rsidR="00082595" w:rsidRDefault="00000000">
            <w:pPr>
              <w:pStyle w:val="LumisTabela"/>
            </w:pPr>
            <w:r>
              <w:t>15,1%</w:t>
            </w:r>
          </w:p>
        </w:tc>
        <w:tc>
          <w:tcPr>
            <w:tcW w:w="2608" w:type="dxa"/>
            <w:shd w:val="clear" w:color="auto" w:fill="F1F6F4"/>
          </w:tcPr>
          <w:p w14:paraId="2D0299E9" w14:textId="77777777" w:rsidR="00082595" w:rsidRDefault="00000000">
            <w:pPr>
              <w:pStyle w:val="LumisTabela"/>
            </w:pPr>
            <w:r>
              <w:t>Gravidade do quadro clínico</w:t>
            </w:r>
          </w:p>
        </w:tc>
        <w:tc>
          <w:tcPr>
            <w:tcW w:w="3005" w:type="dxa"/>
            <w:shd w:val="clear" w:color="auto" w:fill="F1F6F4"/>
          </w:tcPr>
          <w:p w14:paraId="57D757C2" w14:textId="77777777" w:rsidR="00082595" w:rsidRDefault="00000000">
            <w:pPr>
              <w:pStyle w:val="LumisTabela"/>
            </w:pPr>
            <w:r>
              <w:t>Acesso a procedimentos pagos</w:t>
            </w:r>
          </w:p>
        </w:tc>
      </w:tr>
      <w:tr w:rsidR="00082595" w14:paraId="7DB6E248" w14:textId="77777777">
        <w:trPr>
          <w:cantSplit/>
          <w:jc w:val="center"/>
        </w:trPr>
        <w:tc>
          <w:tcPr>
            <w:tcW w:w="2608" w:type="dxa"/>
          </w:tcPr>
          <w:p w14:paraId="122AD7C0" w14:textId="77777777" w:rsidR="00082595" w:rsidRDefault="00000000">
            <w:pPr>
              <w:pStyle w:val="LumisTabela"/>
            </w:pPr>
            <w:r>
              <w:t>Idade do paciente</w:t>
            </w:r>
          </w:p>
        </w:tc>
        <w:tc>
          <w:tcPr>
            <w:tcW w:w="850" w:type="dxa"/>
          </w:tcPr>
          <w:p w14:paraId="10A3A683" w14:textId="77777777" w:rsidR="00082595" w:rsidRDefault="00000000">
            <w:pPr>
              <w:pStyle w:val="LumisTabela"/>
            </w:pPr>
            <w:r>
              <w:t>12,7%</w:t>
            </w:r>
          </w:p>
        </w:tc>
        <w:tc>
          <w:tcPr>
            <w:tcW w:w="2608" w:type="dxa"/>
          </w:tcPr>
          <w:p w14:paraId="7137A72F" w14:textId="77777777" w:rsidR="00082595" w:rsidRDefault="00000000">
            <w:pPr>
              <w:pStyle w:val="LumisTabela"/>
            </w:pPr>
            <w:r>
              <w:t>Idade</w:t>
            </w:r>
          </w:p>
        </w:tc>
        <w:tc>
          <w:tcPr>
            <w:tcW w:w="3005" w:type="dxa"/>
          </w:tcPr>
          <w:p w14:paraId="7F15ADBB" w14:textId="77777777" w:rsidR="00082595" w:rsidRDefault="00000000">
            <w:pPr>
              <w:pStyle w:val="LumisTabela"/>
            </w:pPr>
            <w:r>
              <w:t>Idade, com fundamento clínico</w:t>
            </w:r>
          </w:p>
        </w:tc>
      </w:tr>
      <w:tr w:rsidR="00082595" w:rsidRPr="00061C5C" w14:paraId="714AC7F0" w14:textId="77777777">
        <w:trPr>
          <w:cantSplit/>
          <w:jc w:val="center"/>
        </w:trPr>
        <w:tc>
          <w:tcPr>
            <w:tcW w:w="2608" w:type="dxa"/>
            <w:shd w:val="clear" w:color="auto" w:fill="F1F6F4"/>
          </w:tcPr>
          <w:p w14:paraId="6C13CE07" w14:textId="77777777" w:rsidR="00082595" w:rsidRDefault="00000000">
            <w:pPr>
              <w:pStyle w:val="LumisTabela"/>
            </w:pPr>
            <w:r>
              <w:t>Nº de comorbidades registradas</w:t>
            </w:r>
          </w:p>
        </w:tc>
        <w:tc>
          <w:tcPr>
            <w:tcW w:w="850" w:type="dxa"/>
            <w:shd w:val="clear" w:color="auto" w:fill="F1F6F4"/>
          </w:tcPr>
          <w:p w14:paraId="4ED3D5B5" w14:textId="77777777" w:rsidR="00082595" w:rsidRDefault="00000000">
            <w:pPr>
              <w:pStyle w:val="LumisTabela"/>
            </w:pPr>
            <w:r>
              <w:t>11,2%</w:t>
            </w:r>
          </w:p>
        </w:tc>
        <w:tc>
          <w:tcPr>
            <w:tcW w:w="2608" w:type="dxa"/>
            <w:shd w:val="clear" w:color="auto" w:fill="F1F6F4"/>
          </w:tcPr>
          <w:p w14:paraId="2FBA61A3" w14:textId="77777777" w:rsidR="00082595" w:rsidRDefault="00000000">
            <w:pPr>
              <w:pStyle w:val="LumisTabela"/>
            </w:pPr>
            <w:r>
              <w:t>Carga de doença</w:t>
            </w:r>
          </w:p>
        </w:tc>
        <w:tc>
          <w:tcPr>
            <w:tcW w:w="3005" w:type="dxa"/>
            <w:shd w:val="clear" w:color="auto" w:fill="F1F6F4"/>
          </w:tcPr>
          <w:p w14:paraId="1C407EBD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Doença já diagnosticada, que depende de acesso</w:t>
            </w:r>
          </w:p>
        </w:tc>
      </w:tr>
      <w:tr w:rsidR="00082595" w:rsidRPr="00061C5C" w14:paraId="0088A30E" w14:textId="77777777">
        <w:trPr>
          <w:cantSplit/>
          <w:jc w:val="center"/>
        </w:trPr>
        <w:tc>
          <w:tcPr>
            <w:tcW w:w="2608" w:type="dxa"/>
          </w:tcPr>
          <w:p w14:paraId="5CE533A1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Tempo médio entre consulta e exame</w:t>
            </w:r>
          </w:p>
        </w:tc>
        <w:tc>
          <w:tcPr>
            <w:tcW w:w="850" w:type="dxa"/>
          </w:tcPr>
          <w:p w14:paraId="5FFA81A0" w14:textId="77777777" w:rsidR="00082595" w:rsidRDefault="00000000">
            <w:pPr>
              <w:pStyle w:val="LumisTabela"/>
            </w:pPr>
            <w:r>
              <w:t>9,8%</w:t>
            </w:r>
          </w:p>
        </w:tc>
        <w:tc>
          <w:tcPr>
            <w:tcW w:w="2608" w:type="dxa"/>
          </w:tcPr>
          <w:p w14:paraId="284BC4AC" w14:textId="77777777" w:rsidR="00082595" w:rsidRDefault="00000000">
            <w:pPr>
              <w:pStyle w:val="LumisTabela"/>
            </w:pPr>
            <w:r>
              <w:t>Urgência percebida pelo médico</w:t>
            </w:r>
          </w:p>
        </w:tc>
        <w:tc>
          <w:tcPr>
            <w:tcW w:w="3005" w:type="dxa"/>
          </w:tcPr>
          <w:p w14:paraId="7DC4C363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Fila e oferta da rede</w:t>
            </w:r>
          </w:p>
        </w:tc>
      </w:tr>
      <w:tr w:rsidR="00082595" w:rsidRPr="00061C5C" w14:paraId="4A950FA9" w14:textId="77777777">
        <w:trPr>
          <w:cantSplit/>
          <w:jc w:val="center"/>
        </w:trPr>
        <w:tc>
          <w:tcPr>
            <w:tcW w:w="2608" w:type="dxa"/>
            <w:shd w:val="clear" w:color="auto" w:fill="F1F6F4"/>
          </w:tcPr>
          <w:p w14:paraId="14E40DC1" w14:textId="77777777" w:rsidR="00082595" w:rsidRDefault="00000000">
            <w:pPr>
              <w:pStyle w:val="LumisTabela"/>
            </w:pPr>
            <w:r>
              <w:t>Faixa de CEP agrupada</w:t>
            </w:r>
          </w:p>
        </w:tc>
        <w:tc>
          <w:tcPr>
            <w:tcW w:w="850" w:type="dxa"/>
            <w:shd w:val="clear" w:color="auto" w:fill="F1F6F4"/>
          </w:tcPr>
          <w:p w14:paraId="0BF06B67" w14:textId="77777777" w:rsidR="00082595" w:rsidRDefault="00000000">
            <w:pPr>
              <w:pStyle w:val="LumisTabela"/>
            </w:pPr>
            <w:r>
              <w:t>8,9%</w:t>
            </w:r>
          </w:p>
        </w:tc>
        <w:tc>
          <w:tcPr>
            <w:tcW w:w="2608" w:type="dxa"/>
            <w:shd w:val="clear" w:color="auto" w:fill="F1F6F4"/>
          </w:tcPr>
          <w:p w14:paraId="2154F592" w14:textId="77777777" w:rsidR="00082595" w:rsidRDefault="00000000">
            <w:pPr>
              <w:pStyle w:val="LumisTabela"/>
            </w:pPr>
            <w:r>
              <w:t>Região de residência</w:t>
            </w:r>
          </w:p>
        </w:tc>
        <w:tc>
          <w:tcPr>
            <w:tcW w:w="3005" w:type="dxa"/>
            <w:shd w:val="clear" w:color="auto" w:fill="F1F6F4"/>
          </w:tcPr>
          <w:p w14:paraId="535DA523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Renda e oferta de serviços</w:t>
            </w:r>
          </w:p>
        </w:tc>
      </w:tr>
      <w:tr w:rsidR="00082595" w14:paraId="78BCCE06" w14:textId="77777777">
        <w:trPr>
          <w:cantSplit/>
          <w:jc w:val="center"/>
        </w:trPr>
        <w:tc>
          <w:tcPr>
            <w:tcW w:w="2608" w:type="dxa"/>
          </w:tcPr>
          <w:p w14:paraId="5386A3C1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Tipo de plano ou cobertura</w:t>
            </w:r>
          </w:p>
        </w:tc>
        <w:tc>
          <w:tcPr>
            <w:tcW w:w="850" w:type="dxa"/>
          </w:tcPr>
          <w:p w14:paraId="6F450963" w14:textId="77777777" w:rsidR="00082595" w:rsidRDefault="00000000">
            <w:pPr>
              <w:pStyle w:val="LumisTabela"/>
            </w:pPr>
            <w:r>
              <w:t>7,4%</w:t>
            </w:r>
          </w:p>
        </w:tc>
        <w:tc>
          <w:tcPr>
            <w:tcW w:w="2608" w:type="dxa"/>
          </w:tcPr>
          <w:p w14:paraId="468618D8" w14:textId="77777777" w:rsidR="00082595" w:rsidRDefault="00000000">
            <w:pPr>
              <w:pStyle w:val="LumisTabela"/>
            </w:pPr>
            <w:r>
              <w:t>Nível de cobertura contratada</w:t>
            </w:r>
          </w:p>
        </w:tc>
        <w:tc>
          <w:tcPr>
            <w:tcW w:w="3005" w:type="dxa"/>
          </w:tcPr>
          <w:p w14:paraId="2173F64E" w14:textId="77777777" w:rsidR="00082595" w:rsidRDefault="00000000">
            <w:pPr>
              <w:pStyle w:val="LumisTabela"/>
            </w:pPr>
            <w:r>
              <w:t>Renda</w:t>
            </w:r>
          </w:p>
        </w:tc>
      </w:tr>
      <w:tr w:rsidR="00082595" w:rsidRPr="00061C5C" w14:paraId="587F7669" w14:textId="77777777">
        <w:trPr>
          <w:cantSplit/>
          <w:jc w:val="center"/>
        </w:trPr>
        <w:tc>
          <w:tcPr>
            <w:tcW w:w="2608" w:type="dxa"/>
            <w:shd w:val="clear" w:color="auto" w:fill="F1F6F4"/>
          </w:tcPr>
          <w:p w14:paraId="7E38A527" w14:textId="77777777" w:rsidR="00082595" w:rsidRDefault="00000000">
            <w:pPr>
              <w:pStyle w:val="LumisTabela"/>
            </w:pPr>
            <w:r>
              <w:t>Painel de exames laboratoriais</w:t>
            </w:r>
          </w:p>
        </w:tc>
        <w:tc>
          <w:tcPr>
            <w:tcW w:w="850" w:type="dxa"/>
            <w:shd w:val="clear" w:color="auto" w:fill="F1F6F4"/>
          </w:tcPr>
          <w:p w14:paraId="5E24B570" w14:textId="77777777" w:rsidR="00082595" w:rsidRDefault="00000000">
            <w:pPr>
              <w:pStyle w:val="LumisTabela"/>
            </w:pPr>
            <w:r>
              <w:t>6,9%</w:t>
            </w:r>
          </w:p>
        </w:tc>
        <w:tc>
          <w:tcPr>
            <w:tcW w:w="2608" w:type="dxa"/>
            <w:shd w:val="clear" w:color="auto" w:fill="F1F6F4"/>
          </w:tcPr>
          <w:p w14:paraId="415175A9" w14:textId="77777777" w:rsidR="00082595" w:rsidRDefault="00000000">
            <w:pPr>
              <w:pStyle w:val="LumisTabela"/>
            </w:pPr>
            <w:r>
              <w:t>Estado clínico atual</w:t>
            </w:r>
          </w:p>
        </w:tc>
        <w:tc>
          <w:tcPr>
            <w:tcW w:w="3005" w:type="dxa"/>
            <w:shd w:val="clear" w:color="auto" w:fill="F1F6F4"/>
          </w:tcPr>
          <w:p w14:paraId="6D1BA46A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Estado clínico, quando o exame foi pedido</w:t>
            </w:r>
          </w:p>
        </w:tc>
      </w:tr>
      <w:tr w:rsidR="00082595" w:rsidRPr="00061C5C" w14:paraId="31464F3E" w14:textId="77777777">
        <w:trPr>
          <w:cantSplit/>
          <w:jc w:val="center"/>
        </w:trPr>
        <w:tc>
          <w:tcPr>
            <w:tcW w:w="2608" w:type="dxa"/>
          </w:tcPr>
          <w:p w14:paraId="2CEE7662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Nº de faltas em consultas</w:t>
            </w:r>
          </w:p>
        </w:tc>
        <w:tc>
          <w:tcPr>
            <w:tcW w:w="850" w:type="dxa"/>
          </w:tcPr>
          <w:p w14:paraId="53405814" w14:textId="77777777" w:rsidR="00082595" w:rsidRDefault="00000000">
            <w:pPr>
              <w:pStyle w:val="LumisTabela"/>
            </w:pPr>
            <w:r>
              <w:t>5,3%</w:t>
            </w:r>
          </w:p>
        </w:tc>
        <w:tc>
          <w:tcPr>
            <w:tcW w:w="2608" w:type="dxa"/>
          </w:tcPr>
          <w:p w14:paraId="667FE63B" w14:textId="77777777" w:rsidR="00082595" w:rsidRDefault="00000000">
            <w:pPr>
              <w:pStyle w:val="LumisTabela"/>
            </w:pPr>
            <w:r>
              <w:t>Adesão ao tratamento</w:t>
            </w:r>
          </w:p>
        </w:tc>
        <w:tc>
          <w:tcPr>
            <w:tcW w:w="3005" w:type="dxa"/>
          </w:tcPr>
          <w:p w14:paraId="53B06602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Transporte, trabalho e tempo de espera</w:t>
            </w:r>
          </w:p>
        </w:tc>
      </w:tr>
      <w:tr w:rsidR="00082595" w:rsidRPr="00061C5C" w14:paraId="31FE8FD4" w14:textId="77777777">
        <w:trPr>
          <w:cantSplit/>
          <w:jc w:val="center"/>
        </w:trPr>
        <w:tc>
          <w:tcPr>
            <w:tcW w:w="2608" w:type="dxa"/>
            <w:shd w:val="clear" w:color="auto" w:fill="F1F6F4"/>
          </w:tcPr>
          <w:p w14:paraId="715AC24E" w14:textId="77777777" w:rsidR="00082595" w:rsidRDefault="00000000">
            <w:pPr>
              <w:pStyle w:val="LumisTabela"/>
              <w:keepNext/>
            </w:pPr>
            <w:r>
              <w:t>Especialidade de origem</w:t>
            </w:r>
          </w:p>
        </w:tc>
        <w:tc>
          <w:tcPr>
            <w:tcW w:w="850" w:type="dxa"/>
            <w:shd w:val="clear" w:color="auto" w:fill="F1F6F4"/>
          </w:tcPr>
          <w:p w14:paraId="41DD20CC" w14:textId="77777777" w:rsidR="00082595" w:rsidRDefault="00000000">
            <w:pPr>
              <w:pStyle w:val="LumisTabela"/>
              <w:keepNext/>
            </w:pPr>
            <w:r>
              <w:t>4,3%</w:t>
            </w:r>
          </w:p>
        </w:tc>
        <w:tc>
          <w:tcPr>
            <w:tcW w:w="2608" w:type="dxa"/>
            <w:shd w:val="clear" w:color="auto" w:fill="F1F6F4"/>
          </w:tcPr>
          <w:p w14:paraId="5B4012B1" w14:textId="77777777" w:rsidR="00082595" w:rsidRPr="00061C5C" w:rsidRDefault="00000000">
            <w:pPr>
              <w:pStyle w:val="LumisTabela"/>
              <w:keepNext/>
              <w:rPr>
                <w:lang w:val="pt-BR"/>
              </w:rPr>
            </w:pPr>
            <w:r w:rsidRPr="00061C5C">
              <w:rPr>
                <w:lang w:val="pt-BR"/>
              </w:rPr>
              <w:t>Via de entrada no sistema</w:t>
            </w:r>
          </w:p>
        </w:tc>
        <w:tc>
          <w:tcPr>
            <w:tcW w:w="3005" w:type="dxa"/>
            <w:shd w:val="clear" w:color="auto" w:fill="F1F6F4"/>
          </w:tcPr>
          <w:p w14:paraId="4419EF4F" w14:textId="77777777" w:rsidR="00082595" w:rsidRPr="00061C5C" w:rsidRDefault="00000000">
            <w:pPr>
              <w:pStyle w:val="LumisTabela"/>
              <w:keepNext/>
              <w:rPr>
                <w:lang w:val="pt-BR"/>
              </w:rPr>
            </w:pPr>
            <w:r w:rsidRPr="00061C5C">
              <w:rPr>
                <w:lang w:val="pt-BR"/>
              </w:rPr>
              <w:t>Via de entrada, que depende de acesso</w:t>
            </w:r>
          </w:p>
        </w:tc>
      </w:tr>
    </w:tbl>
    <w:p w14:paraId="0DE08199" w14:textId="77777777" w:rsidR="00082595" w:rsidRPr="00061C5C" w:rsidRDefault="00000000">
      <w:pPr>
        <w:pStyle w:val="Legenda"/>
        <w:rPr>
          <w:lang w:val="pt-BR"/>
        </w:rPr>
      </w:pPr>
      <w:r w:rsidRPr="00061C5C">
        <w:rPr>
          <w:lang w:val="pt-BR"/>
        </w:rPr>
        <w:t>Tabela A1. Fonte: Cap. 2, Quadro 8; última coluna: leitura da equipe.</w:t>
      </w:r>
    </w:p>
    <w:p w14:paraId="78D88C4A" w14:textId="77777777" w:rsidR="00082595" w:rsidRPr="00061C5C" w:rsidRDefault="00000000">
      <w:pPr>
        <w:rPr>
          <w:lang w:val="pt-BR"/>
        </w:rPr>
      </w:pPr>
      <w:r w:rsidRPr="00061C5C">
        <w:rPr>
          <w:lang w:val="pt-BR"/>
        </w:rPr>
        <w:t xml:space="preserve">Os dez pesos somam 100,0%, embora o quadro fale em "dez maiores pesos". A definição técnica de peso, o sinal de cada variável e o rótulo do treino </w:t>
      </w:r>
      <w:r w:rsidRPr="00061C5C">
        <w:rPr>
          <w:rStyle w:val="TagNoconsta"/>
          <w:lang w:val="pt-BR"/>
        </w:rPr>
        <w:t>[não consta]</w:t>
      </w:r>
      <w:r w:rsidRPr="00061C5C">
        <w:rPr>
          <w:lang w:val="pt-BR"/>
        </w:rPr>
        <w:t xml:space="preserve">. O peso das variáveis de acesso muda com o critério: 49,8% (atendimentos, custo, CEP e plano), 64,9% (somando tempo até o exame e faltas) ou 69,2% (somando também a especialidade) </w:t>
      </w:r>
      <w:r w:rsidRPr="00061C5C">
        <w:rPr>
          <w:rStyle w:val="TagHiptese"/>
          <w:lang w:val="pt-BR"/>
        </w:rPr>
        <w:t>[hipótese]</w:t>
      </w:r>
      <w:r w:rsidRPr="00061C5C">
        <w:rPr>
          <w:lang w:val="pt-BR"/>
        </w:rPr>
        <w:t>. Testes sugeridos para a Fase 3: trocar o rótulo do treino, retirar o bloco de variáveis de acesso e trocar só o CEP e o plano de um mesmo paciente para ver se a prioridade muda.</w:t>
      </w:r>
    </w:p>
    <w:p w14:paraId="268AFE8D" w14:textId="77777777" w:rsidR="00082595" w:rsidRPr="00061C5C" w:rsidRDefault="00000000">
      <w:pPr>
        <w:pStyle w:val="Ttulo2"/>
        <w:rPr>
          <w:lang w:val="pt-BR"/>
        </w:rPr>
      </w:pPr>
      <w:r w:rsidRPr="00061C5C">
        <w:rPr>
          <w:lang w:val="pt-BR"/>
        </w:rPr>
        <w:t>A2. As quatro perguntas aplicadas às afirmações do mercado</w:t>
      </w:r>
    </w:p>
    <w:tbl>
      <w:tblPr>
        <w:tblW w:w="0" w:type="auto"/>
        <w:jc w:val="center"/>
        <w:tblBorders>
          <w:top w:val="single" w:sz="4" w:space="0" w:color="D3DEDB"/>
          <w:bottom w:val="single" w:sz="4" w:space="0" w:color="D3DEDB"/>
          <w:insideH w:val="single" w:sz="4" w:space="0" w:color="D3DEDB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1928"/>
        <w:gridCol w:w="1814"/>
        <w:gridCol w:w="1701"/>
        <w:gridCol w:w="2041"/>
      </w:tblGrid>
      <w:tr w:rsidR="00082595" w14:paraId="36BB88A4" w14:textId="77777777">
        <w:trPr>
          <w:cantSplit/>
          <w:tblHeader/>
          <w:jc w:val="center"/>
        </w:trPr>
        <w:tc>
          <w:tcPr>
            <w:tcW w:w="1587" w:type="dxa"/>
            <w:shd w:val="clear" w:color="auto" w:fill="0F2D3A"/>
          </w:tcPr>
          <w:p w14:paraId="3D5430E1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Afirmação</w:t>
            </w:r>
          </w:p>
        </w:tc>
        <w:tc>
          <w:tcPr>
            <w:tcW w:w="1928" w:type="dxa"/>
            <w:shd w:val="clear" w:color="auto" w:fill="0F2D3A"/>
          </w:tcPr>
          <w:p w14:paraId="61E3F06B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Medida em quê?</w:t>
            </w:r>
          </w:p>
        </w:tc>
        <w:tc>
          <w:tcPr>
            <w:tcW w:w="1814" w:type="dxa"/>
            <w:shd w:val="clear" w:color="auto" w:fill="0F2D3A"/>
          </w:tcPr>
          <w:p w14:paraId="008B1A0F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Medida por quem?</w:t>
            </w:r>
          </w:p>
        </w:tc>
        <w:tc>
          <w:tcPr>
            <w:tcW w:w="1701" w:type="dxa"/>
            <w:shd w:val="clear" w:color="auto" w:fill="0F2D3A"/>
          </w:tcPr>
          <w:p w14:paraId="7373551D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Muda alguma decisão?</w:t>
            </w:r>
          </w:p>
        </w:tc>
        <w:tc>
          <w:tcPr>
            <w:tcW w:w="2041" w:type="dxa"/>
            <w:shd w:val="clear" w:color="auto" w:fill="0F2D3A"/>
          </w:tcPr>
          <w:p w14:paraId="2A95250F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Esconde qual distribuição?</w:t>
            </w:r>
          </w:p>
        </w:tc>
      </w:tr>
      <w:tr w:rsidR="00082595" w:rsidRPr="00061C5C" w14:paraId="21292614" w14:textId="77777777">
        <w:trPr>
          <w:cantSplit/>
          <w:jc w:val="center"/>
        </w:trPr>
        <w:tc>
          <w:tcPr>
            <w:tcW w:w="1587" w:type="dxa"/>
          </w:tcPr>
          <w:p w14:paraId="5375CD66" w14:textId="77777777" w:rsidR="00082595" w:rsidRDefault="00000000">
            <w:pPr>
              <w:pStyle w:val="LumisTabela"/>
            </w:pPr>
            <w:r>
              <w:t>Acurácia de 94%</w:t>
            </w:r>
          </w:p>
        </w:tc>
        <w:tc>
          <w:tcPr>
            <w:tcW w:w="1928" w:type="dxa"/>
          </w:tcPr>
          <w:p w14:paraId="6955A961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48 mil registros de 2023, dois hospitais da mesma região</w:t>
            </w:r>
          </w:p>
        </w:tc>
        <w:tc>
          <w:tcPr>
            <w:tcW w:w="1814" w:type="dxa"/>
          </w:tcPr>
          <w:p w14:paraId="164FDA96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 xml:space="preserve">Apuração interna </w:t>
            </w:r>
            <w:r w:rsidRPr="00061C5C">
              <w:rPr>
                <w:rStyle w:val="TagHiptese"/>
                <w:lang w:val="pt-BR"/>
              </w:rPr>
              <w:t>[hipótese]</w:t>
            </w:r>
            <w:r w:rsidRPr="00061C5C">
              <w:rPr>
                <w:lang w:val="pt-BR"/>
              </w:rPr>
              <w:t xml:space="preserve">; quem apurou </w:t>
            </w:r>
            <w:r w:rsidRPr="00061C5C">
              <w:rPr>
                <w:rStyle w:val="TagNoconsta"/>
                <w:lang w:val="pt-BR"/>
              </w:rPr>
              <w:t>[não consta]</w:t>
            </w:r>
          </w:p>
        </w:tc>
        <w:tc>
          <w:tcPr>
            <w:tcW w:w="1701" w:type="dxa"/>
          </w:tcPr>
          <w:p w14:paraId="108178FF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Não. Virou discurso comercial (Goodhart)</w:t>
            </w:r>
          </w:p>
        </w:tc>
        <w:tc>
          <w:tcPr>
            <w:tcW w:w="2041" w:type="dxa"/>
          </w:tcPr>
          <w:p w14:paraId="520B9392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O falso negativo e os subgrupos: 17,7% em campo e 31,8% no pior grupo</w:t>
            </w:r>
          </w:p>
        </w:tc>
      </w:tr>
      <w:tr w:rsidR="00082595" w:rsidRPr="00061C5C" w14:paraId="26CD3005" w14:textId="77777777">
        <w:trPr>
          <w:cantSplit/>
          <w:jc w:val="center"/>
        </w:trPr>
        <w:tc>
          <w:tcPr>
            <w:tcW w:w="1587" w:type="dxa"/>
            <w:shd w:val="clear" w:color="auto" w:fill="F1F6F4"/>
          </w:tcPr>
          <w:p w14:paraId="42A67F2B" w14:textId="77777777" w:rsidR="00082595" w:rsidRDefault="00000000">
            <w:pPr>
              <w:pStyle w:val="LumisTabela"/>
            </w:pPr>
            <w:r>
              <w:t>Redução de 30% na triagem</w:t>
            </w:r>
          </w:p>
        </w:tc>
        <w:tc>
          <w:tcPr>
            <w:tcW w:w="1928" w:type="dxa"/>
            <w:shd w:val="clear" w:color="auto" w:fill="F1F6F4"/>
          </w:tcPr>
          <w:p w14:paraId="08696D6A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Seis semanas, um hospital, sem grupo de controle</w:t>
            </w:r>
          </w:p>
        </w:tc>
        <w:tc>
          <w:tcPr>
            <w:tcW w:w="1814" w:type="dxa"/>
            <w:shd w:val="clear" w:color="auto" w:fill="F1F6F4"/>
          </w:tcPr>
          <w:p w14:paraId="4F973859" w14:textId="77777777" w:rsidR="00082595" w:rsidRDefault="00000000">
            <w:pPr>
              <w:pStyle w:val="LumisTabela"/>
            </w:pPr>
            <w:r>
              <w:rPr>
                <w:rStyle w:val="TagNoconsta"/>
              </w:rPr>
              <w:t>[não consta]</w:t>
            </w:r>
          </w:p>
        </w:tc>
        <w:tc>
          <w:tcPr>
            <w:tcW w:w="1701" w:type="dxa"/>
            <w:shd w:val="clear" w:color="auto" w:fill="F1F6F4"/>
          </w:tcPr>
          <w:p w14:paraId="77599B0D" w14:textId="77777777" w:rsidR="00082595" w:rsidRDefault="00000000">
            <w:pPr>
              <w:pStyle w:val="LumisTabela"/>
            </w:pPr>
            <w:r>
              <w:t>Não, sem comparação</w:t>
            </w:r>
          </w:p>
        </w:tc>
        <w:tc>
          <w:tcPr>
            <w:tcW w:w="2041" w:type="dxa"/>
            <w:shd w:val="clear" w:color="auto" w:fill="F1F6F4"/>
          </w:tcPr>
          <w:p w14:paraId="439E3111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Não há abertura por grupo nem por hospital</w:t>
            </w:r>
          </w:p>
        </w:tc>
      </w:tr>
      <w:tr w:rsidR="00082595" w:rsidRPr="00061C5C" w14:paraId="25263D76" w14:textId="77777777">
        <w:trPr>
          <w:cantSplit/>
          <w:jc w:val="center"/>
        </w:trPr>
        <w:tc>
          <w:tcPr>
            <w:tcW w:w="1587" w:type="dxa"/>
          </w:tcPr>
          <w:p w14:paraId="28B7F74D" w14:textId="77777777" w:rsidR="00082595" w:rsidRDefault="00000000">
            <w:pPr>
              <w:pStyle w:val="LumisTabela"/>
            </w:pPr>
            <w:r>
              <w:t>5 milhões de vidas</w:t>
            </w:r>
          </w:p>
        </w:tc>
        <w:tc>
          <w:tcPr>
            <w:tcW w:w="1928" w:type="dxa"/>
          </w:tcPr>
          <w:p w14:paraId="34970364" w14:textId="77777777" w:rsidR="00082595" w:rsidRDefault="00000000">
            <w:pPr>
              <w:pStyle w:val="LumisTabela"/>
            </w:pPr>
            <w:r>
              <w:t>Registros processados, com reprocessamento</w:t>
            </w:r>
          </w:p>
        </w:tc>
        <w:tc>
          <w:tcPr>
            <w:tcW w:w="1814" w:type="dxa"/>
          </w:tcPr>
          <w:p w14:paraId="2069D292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Duplicidade achada pela auditoria interna em 01/2026</w:t>
            </w:r>
          </w:p>
        </w:tc>
        <w:tc>
          <w:tcPr>
            <w:tcW w:w="1701" w:type="dxa"/>
          </w:tcPr>
          <w:p w14:paraId="16BFEA35" w14:textId="77777777" w:rsidR="00082595" w:rsidRDefault="00000000">
            <w:pPr>
              <w:pStyle w:val="LumisTabela"/>
            </w:pPr>
            <w:r>
              <w:t>Não. É volume</w:t>
            </w:r>
          </w:p>
        </w:tc>
        <w:tc>
          <w:tcPr>
            <w:tcW w:w="2041" w:type="dxa"/>
          </w:tcPr>
          <w:p w14:paraId="5B88AB73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 xml:space="preserve">Quantas pessoas únicas há </w:t>
            </w:r>
            <w:r w:rsidRPr="00061C5C">
              <w:rPr>
                <w:rStyle w:val="TagNoconsta"/>
                <w:lang w:val="pt-BR"/>
              </w:rPr>
              <w:t>[não consta]</w:t>
            </w:r>
          </w:p>
        </w:tc>
      </w:tr>
      <w:tr w:rsidR="00082595" w:rsidRPr="00061C5C" w14:paraId="50F51DE7" w14:textId="77777777">
        <w:trPr>
          <w:cantSplit/>
          <w:jc w:val="center"/>
        </w:trPr>
        <w:tc>
          <w:tcPr>
            <w:tcW w:w="1587" w:type="dxa"/>
            <w:shd w:val="clear" w:color="auto" w:fill="F1F6F4"/>
          </w:tcPr>
          <w:p w14:paraId="471093CF" w14:textId="77777777" w:rsidR="00082595" w:rsidRDefault="00000000">
            <w:pPr>
              <w:pStyle w:val="LumisTabela"/>
            </w:pPr>
            <w:r>
              <w:t>NPS 72</w:t>
            </w:r>
          </w:p>
        </w:tc>
        <w:tc>
          <w:tcPr>
            <w:tcW w:w="1928" w:type="dxa"/>
            <w:shd w:val="clear" w:color="auto" w:fill="F1F6F4"/>
          </w:tcPr>
          <w:p w14:paraId="62035206" w14:textId="77777777" w:rsidR="00082595" w:rsidRDefault="00000000">
            <w:pPr>
              <w:pStyle w:val="LumisTabela"/>
            </w:pPr>
            <w:r>
              <w:t>9 respondentes</w:t>
            </w:r>
          </w:p>
        </w:tc>
        <w:tc>
          <w:tcPr>
            <w:tcW w:w="1814" w:type="dxa"/>
            <w:shd w:val="clear" w:color="auto" w:fill="F1F6F4"/>
          </w:tcPr>
          <w:p w14:paraId="346EAA9D" w14:textId="77777777" w:rsidR="00082595" w:rsidRDefault="00000000">
            <w:pPr>
              <w:pStyle w:val="LumisTabela"/>
            </w:pPr>
            <w:r>
              <w:t>Escolhidos pelo time comercial</w:t>
            </w:r>
          </w:p>
        </w:tc>
        <w:tc>
          <w:tcPr>
            <w:tcW w:w="1701" w:type="dxa"/>
            <w:shd w:val="clear" w:color="auto" w:fill="F1F6F4"/>
          </w:tcPr>
          <w:p w14:paraId="14941B3C" w14:textId="77777777" w:rsidR="00082595" w:rsidRDefault="00000000">
            <w:pPr>
              <w:pStyle w:val="LumisTabela"/>
            </w:pPr>
            <w:r>
              <w:t>Não</w:t>
            </w:r>
          </w:p>
        </w:tc>
        <w:tc>
          <w:tcPr>
            <w:tcW w:w="2041" w:type="dxa"/>
            <w:shd w:val="clear" w:color="auto" w:fill="F1F6F4"/>
          </w:tcPr>
          <w:p w14:paraId="10E58A3E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As 38 contas e as 74 reclamações, 47 delas de CEP D/E</w:t>
            </w:r>
          </w:p>
        </w:tc>
      </w:tr>
      <w:tr w:rsidR="00082595" w:rsidRPr="00061C5C" w14:paraId="678103CA" w14:textId="77777777">
        <w:trPr>
          <w:cantSplit/>
          <w:jc w:val="center"/>
        </w:trPr>
        <w:tc>
          <w:tcPr>
            <w:tcW w:w="1587" w:type="dxa"/>
          </w:tcPr>
          <w:p w14:paraId="6688F54A" w14:textId="77777777" w:rsidR="00082595" w:rsidRDefault="00000000">
            <w:pPr>
              <w:pStyle w:val="LumisTabela"/>
              <w:keepNext/>
            </w:pPr>
            <w:r>
              <w:lastRenderedPageBreak/>
              <w:t>Disponibilidade de 99,9%</w:t>
            </w:r>
          </w:p>
        </w:tc>
        <w:tc>
          <w:tcPr>
            <w:tcW w:w="1928" w:type="dxa"/>
          </w:tcPr>
          <w:p w14:paraId="2F3717F0" w14:textId="77777777" w:rsidR="00082595" w:rsidRPr="00061C5C" w:rsidRDefault="00000000">
            <w:pPr>
              <w:pStyle w:val="LumisTabela"/>
              <w:keepNext/>
              <w:rPr>
                <w:lang w:val="pt-BR"/>
              </w:rPr>
            </w:pPr>
            <w:r w:rsidRPr="00061C5C">
              <w:rPr>
                <w:lang w:val="pt-BR"/>
              </w:rPr>
              <w:t>Só a interface de programação</w:t>
            </w:r>
          </w:p>
        </w:tc>
        <w:tc>
          <w:tcPr>
            <w:tcW w:w="1814" w:type="dxa"/>
          </w:tcPr>
          <w:p w14:paraId="6F9E15EC" w14:textId="77777777" w:rsidR="00082595" w:rsidRDefault="00000000">
            <w:pPr>
              <w:pStyle w:val="LumisTabela"/>
              <w:keepNext/>
            </w:pPr>
            <w:r>
              <w:rPr>
                <w:rStyle w:val="TagNoconsta"/>
              </w:rPr>
              <w:t>[não consta]</w:t>
            </w:r>
          </w:p>
        </w:tc>
        <w:tc>
          <w:tcPr>
            <w:tcW w:w="1701" w:type="dxa"/>
          </w:tcPr>
          <w:p w14:paraId="1EBBE05E" w14:textId="77777777" w:rsidR="00082595" w:rsidRDefault="00000000">
            <w:pPr>
              <w:pStyle w:val="LumisTabela"/>
              <w:keepNext/>
            </w:pPr>
            <w:r>
              <w:t>Pouco. É operacional</w:t>
            </w:r>
          </w:p>
        </w:tc>
        <w:tc>
          <w:tcPr>
            <w:tcW w:w="2041" w:type="dxa"/>
          </w:tcPr>
          <w:p w14:paraId="289B43B3" w14:textId="77777777" w:rsidR="00082595" w:rsidRPr="00061C5C" w:rsidRDefault="00000000">
            <w:pPr>
              <w:pStyle w:val="LumisTabela"/>
              <w:keepNext/>
              <w:rPr>
                <w:lang w:val="pt-BR"/>
              </w:rPr>
            </w:pPr>
            <w:r w:rsidRPr="00061C5C">
              <w:rPr>
                <w:lang w:val="pt-BR"/>
              </w:rPr>
              <w:t>O serviço de ponta a ponta e a qualidade da resposta</w:t>
            </w:r>
          </w:p>
        </w:tc>
      </w:tr>
    </w:tbl>
    <w:p w14:paraId="5B7B4D73" w14:textId="77777777" w:rsidR="00082595" w:rsidRPr="00061C5C" w:rsidRDefault="00000000">
      <w:pPr>
        <w:pStyle w:val="Legenda"/>
        <w:rPr>
          <w:lang w:val="pt-BR"/>
        </w:rPr>
      </w:pPr>
      <w:r w:rsidRPr="00061C5C">
        <w:rPr>
          <w:lang w:val="pt-BR"/>
        </w:rPr>
        <w:t>Tabela A2. Fonte: Cap. 2, Quadros 9, 11, 14 e 17; as quatro perguntas: Cap. 2, 2.3.</w:t>
      </w:r>
    </w:p>
    <w:p w14:paraId="2457124A" w14:textId="77777777" w:rsidR="00082595" w:rsidRPr="00061C5C" w:rsidRDefault="00000000">
      <w:pPr>
        <w:rPr>
          <w:lang w:val="pt-BR"/>
        </w:rPr>
      </w:pPr>
      <w:r w:rsidRPr="00061C5C">
        <w:rPr>
          <w:lang w:val="pt-BR"/>
        </w:rPr>
        <w:t xml:space="preserve">Com 9 respostas, cada uma move o NPS em 11,1 pontos, e 72 não é um resultado possível: os vizinhos são 66,7 e 77,8. Como o 72 foi calculado </w:t>
      </w:r>
      <w:r w:rsidRPr="00061C5C">
        <w:rPr>
          <w:rStyle w:val="TagNoconsta"/>
          <w:lang w:val="pt-BR"/>
        </w:rPr>
        <w:t>[não consta]</w:t>
      </w:r>
      <w:r w:rsidRPr="00061C5C">
        <w:rPr>
          <w:lang w:val="pt-BR"/>
        </w:rPr>
        <w:t xml:space="preserve">. Os 99,92% admitem cerca de 7 horas fora do ar por ano. Em 03/2025, o modelo descartou exames de um laboratório por 22 dias com a interface no ar, e quem detectou foi o cliente </w:t>
      </w:r>
      <w:r w:rsidRPr="00061C5C">
        <w:rPr>
          <w:rStyle w:val="TagFonte"/>
          <w:lang w:val="pt-BR"/>
        </w:rPr>
        <w:t>[fonte: Cap. 2, Quadro 14]</w:t>
      </w:r>
      <w:r w:rsidRPr="00061C5C">
        <w:rPr>
          <w:lang w:val="pt-BR"/>
        </w:rPr>
        <w:t>.</w:t>
      </w:r>
    </w:p>
    <w:p w14:paraId="3B656EBC" w14:textId="77777777" w:rsidR="00082595" w:rsidRPr="00061C5C" w:rsidRDefault="00000000">
      <w:pPr>
        <w:pStyle w:val="Ttulo2"/>
        <w:rPr>
          <w:lang w:val="pt-BR"/>
        </w:rPr>
      </w:pPr>
      <w:r w:rsidRPr="00061C5C">
        <w:rPr>
          <w:lang w:val="pt-BR"/>
        </w:rPr>
        <w:t>A3. As quatro perguntas aplicadas aos indicadores propostos</w:t>
      </w:r>
    </w:p>
    <w:tbl>
      <w:tblPr>
        <w:tblW w:w="0" w:type="auto"/>
        <w:jc w:val="center"/>
        <w:tblBorders>
          <w:top w:val="single" w:sz="4" w:space="0" w:color="D3DEDB"/>
          <w:bottom w:val="single" w:sz="4" w:space="0" w:color="D3DEDB"/>
          <w:insideH w:val="single" w:sz="4" w:space="0" w:color="D3DEDB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1928"/>
        <w:gridCol w:w="1928"/>
        <w:gridCol w:w="1587"/>
        <w:gridCol w:w="2041"/>
      </w:tblGrid>
      <w:tr w:rsidR="00082595" w14:paraId="2D973B9A" w14:textId="77777777">
        <w:trPr>
          <w:cantSplit/>
          <w:tblHeader/>
          <w:jc w:val="center"/>
        </w:trPr>
        <w:tc>
          <w:tcPr>
            <w:tcW w:w="1587" w:type="dxa"/>
            <w:shd w:val="clear" w:color="auto" w:fill="0F2D3A"/>
          </w:tcPr>
          <w:p w14:paraId="3D55F192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w="1928" w:type="dxa"/>
            <w:shd w:val="clear" w:color="auto" w:fill="0F2D3A"/>
          </w:tcPr>
          <w:p w14:paraId="25214EA0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Medida em quê?</w:t>
            </w:r>
          </w:p>
        </w:tc>
        <w:tc>
          <w:tcPr>
            <w:tcW w:w="1928" w:type="dxa"/>
            <w:shd w:val="clear" w:color="auto" w:fill="0F2D3A"/>
          </w:tcPr>
          <w:p w14:paraId="09D208C6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Medida por quem?</w:t>
            </w:r>
          </w:p>
        </w:tc>
        <w:tc>
          <w:tcPr>
            <w:tcW w:w="1587" w:type="dxa"/>
            <w:shd w:val="clear" w:color="auto" w:fill="0F2D3A"/>
          </w:tcPr>
          <w:p w14:paraId="59A753B1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Muda alguma decisão?</w:t>
            </w:r>
          </w:p>
        </w:tc>
        <w:tc>
          <w:tcPr>
            <w:tcW w:w="2041" w:type="dxa"/>
            <w:shd w:val="clear" w:color="auto" w:fill="0F2D3A"/>
          </w:tcPr>
          <w:p w14:paraId="03429D3F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Esconde qual distribuição?</w:t>
            </w:r>
          </w:p>
        </w:tc>
      </w:tr>
      <w:tr w:rsidR="00082595" w:rsidRPr="00061C5C" w14:paraId="6E0BE9F4" w14:textId="77777777">
        <w:trPr>
          <w:cantSplit/>
          <w:jc w:val="center"/>
        </w:trPr>
        <w:tc>
          <w:tcPr>
            <w:tcW w:w="1587" w:type="dxa"/>
          </w:tcPr>
          <w:p w14:paraId="1DD641E4" w14:textId="77777777" w:rsidR="00082595" w:rsidRDefault="00000000">
            <w:pPr>
              <w:pStyle w:val="LumisTabela"/>
            </w:pPr>
            <w:r>
              <w:t>1. Falso negativo por subgrupo</w:t>
            </w:r>
          </w:p>
        </w:tc>
        <w:tc>
          <w:tcPr>
            <w:tcW w:w="1928" w:type="dxa"/>
          </w:tcPr>
          <w:p w14:paraId="3FAA821F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Revisão humana (10% nos grupos críticos) e desfecho informado pelo cliente</w:t>
            </w:r>
          </w:p>
        </w:tc>
        <w:tc>
          <w:tcPr>
            <w:tcW w:w="1928" w:type="dxa"/>
          </w:tcPr>
          <w:p w14:paraId="0B4EC53E" w14:textId="77777777" w:rsidR="00082595" w:rsidRDefault="00000000">
            <w:pPr>
              <w:pStyle w:val="LumisTabela"/>
            </w:pPr>
            <w:r w:rsidRPr="00061C5C">
              <w:rPr>
                <w:lang w:val="pt-BR"/>
              </w:rPr>
              <w:t xml:space="preserve">Pela Lumis, que tem interesse no resultado. </w:t>
            </w:r>
            <w:r>
              <w:t>Cliente e auditor refazem</w:t>
            </w:r>
          </w:p>
        </w:tc>
        <w:tc>
          <w:tcPr>
            <w:tcW w:w="1587" w:type="dxa"/>
          </w:tcPr>
          <w:p w14:paraId="67F1972A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Sim: restrição de grupo e liberação de versão</w:t>
            </w:r>
          </w:p>
        </w:tc>
        <w:tc>
          <w:tcPr>
            <w:tcW w:w="2041" w:type="dxa"/>
          </w:tcPr>
          <w:p w14:paraId="3A411693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Diferenças por cliente e especialidade; grupos que o Quadro 10 não abre, como sexo</w:t>
            </w:r>
          </w:p>
        </w:tc>
      </w:tr>
      <w:tr w:rsidR="00082595" w:rsidRPr="00061C5C" w14:paraId="3ACC79C3" w14:textId="77777777">
        <w:trPr>
          <w:cantSplit/>
          <w:jc w:val="center"/>
        </w:trPr>
        <w:tc>
          <w:tcPr>
            <w:tcW w:w="1587" w:type="dxa"/>
            <w:shd w:val="clear" w:color="auto" w:fill="F1F6F4"/>
          </w:tcPr>
          <w:p w14:paraId="5A1B2CB3" w14:textId="77777777" w:rsidR="00082595" w:rsidRDefault="00000000">
            <w:pPr>
              <w:pStyle w:val="LumisTabela"/>
            </w:pPr>
            <w:r>
              <w:t>2. Direito de uso</w:t>
            </w:r>
          </w:p>
        </w:tc>
        <w:tc>
          <w:tcPr>
            <w:tcW w:w="1928" w:type="dxa"/>
            <w:shd w:val="clear" w:color="auto" w:fill="F1F6F4"/>
          </w:tcPr>
          <w:p w14:paraId="5F8EC0FE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Inventário de contratos contra a base de treino</w:t>
            </w:r>
          </w:p>
        </w:tc>
        <w:tc>
          <w:tcPr>
            <w:tcW w:w="1928" w:type="dxa"/>
            <w:shd w:val="clear" w:color="auto" w:fill="F1F6F4"/>
          </w:tcPr>
          <w:p w14:paraId="028EB4AE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Pela DPO, que também responde pelo jurídico. Cliente e parecer externo conferem</w:t>
            </w:r>
          </w:p>
        </w:tc>
        <w:tc>
          <w:tcPr>
            <w:tcW w:w="1587" w:type="dxa"/>
            <w:shd w:val="clear" w:color="auto" w:fill="F1F6F4"/>
          </w:tcPr>
          <w:p w14:paraId="37B639F9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Sim: entrada no treino e renegociação</w:t>
            </w:r>
          </w:p>
        </w:tc>
        <w:tc>
          <w:tcPr>
            <w:tcW w:w="2041" w:type="dxa"/>
            <w:shd w:val="clear" w:color="auto" w:fill="F1F6F4"/>
          </w:tcPr>
          <w:p w14:paraId="64DAD93A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A concentração (Sanare é 57,6% dos dados de clientes) e o período anterior ao contrato</w:t>
            </w:r>
          </w:p>
        </w:tc>
      </w:tr>
      <w:tr w:rsidR="00082595" w:rsidRPr="00061C5C" w14:paraId="56B9AB49" w14:textId="77777777">
        <w:trPr>
          <w:cantSplit/>
          <w:jc w:val="center"/>
        </w:trPr>
        <w:tc>
          <w:tcPr>
            <w:tcW w:w="1587" w:type="dxa"/>
          </w:tcPr>
          <w:p w14:paraId="5167F2B3" w14:textId="77777777" w:rsidR="00082595" w:rsidRDefault="00000000">
            <w:pPr>
              <w:pStyle w:val="LumisTabela"/>
            </w:pPr>
            <w:r>
              <w:t>3. Reclamações por CEP</w:t>
            </w:r>
          </w:p>
        </w:tc>
        <w:tc>
          <w:tcPr>
            <w:tcW w:w="1928" w:type="dxa"/>
          </w:tcPr>
          <w:p w14:paraId="1BD69419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Registro formal de reclamações, janela de 90 dias</w:t>
            </w:r>
          </w:p>
        </w:tc>
        <w:tc>
          <w:tcPr>
            <w:tcW w:w="1928" w:type="dxa"/>
          </w:tcPr>
          <w:p w14:paraId="11FC391C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Por time ligado ao Comercial. O registro do cliente confere</w:t>
            </w:r>
          </w:p>
        </w:tc>
        <w:tc>
          <w:tcPr>
            <w:tcW w:w="1587" w:type="dxa"/>
          </w:tcPr>
          <w:p w14:paraId="1427993A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Sim: revisão clínica e pauta do indicador 1</w:t>
            </w:r>
          </w:p>
        </w:tc>
        <w:tc>
          <w:tcPr>
            <w:tcW w:w="2041" w:type="dxa"/>
          </w:tcPr>
          <w:p w14:paraId="4E2E066F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 xml:space="preserve">Quem não reclama. Quem tem menos acesso tende a reclamar menos </w:t>
            </w:r>
            <w:r w:rsidRPr="00061C5C">
              <w:rPr>
                <w:rStyle w:val="TagHiptese"/>
                <w:lang w:val="pt-BR"/>
              </w:rPr>
              <w:t>[hipótese]</w:t>
            </w:r>
          </w:p>
        </w:tc>
      </w:tr>
      <w:tr w:rsidR="00082595" w:rsidRPr="00061C5C" w14:paraId="1445C869" w14:textId="77777777">
        <w:trPr>
          <w:cantSplit/>
          <w:jc w:val="center"/>
        </w:trPr>
        <w:tc>
          <w:tcPr>
            <w:tcW w:w="1587" w:type="dxa"/>
            <w:shd w:val="clear" w:color="auto" w:fill="F1F6F4"/>
          </w:tcPr>
          <w:p w14:paraId="2BECFCFE" w14:textId="77777777" w:rsidR="00082595" w:rsidRDefault="00000000">
            <w:pPr>
              <w:pStyle w:val="LumisTabela"/>
            </w:pPr>
            <w:r>
              <w:t>4. Incidentes</w:t>
            </w:r>
          </w:p>
        </w:tc>
        <w:tc>
          <w:tcPr>
            <w:tcW w:w="1928" w:type="dxa"/>
            <w:shd w:val="clear" w:color="auto" w:fill="F1F6F4"/>
          </w:tcPr>
          <w:p w14:paraId="3DB25E36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Registro de incidentes contra as notificações dos clientes</w:t>
            </w:r>
          </w:p>
        </w:tc>
        <w:tc>
          <w:tcPr>
            <w:tcW w:w="1928" w:type="dxa"/>
            <w:shd w:val="clear" w:color="auto" w:fill="F1F6F4"/>
          </w:tcPr>
          <w:p w14:paraId="7ED51175" w14:textId="77777777" w:rsidR="00082595" w:rsidRDefault="00000000">
            <w:pPr>
              <w:pStyle w:val="LumisTabela"/>
            </w:pPr>
            <w:r w:rsidRPr="00061C5C">
              <w:rPr>
                <w:lang w:val="pt-BR"/>
              </w:rPr>
              <w:t xml:space="preserve">Pelo Head of AI Management, que conduz os incidentes. </w:t>
            </w:r>
            <w:r>
              <w:t>A DPO confere</w:t>
            </w:r>
          </w:p>
        </w:tc>
        <w:tc>
          <w:tcPr>
            <w:tcW w:w="1587" w:type="dxa"/>
            <w:shd w:val="clear" w:color="auto" w:fill="F1F6F4"/>
          </w:tcPr>
          <w:p w14:paraId="4F0BBF85" w14:textId="77777777" w:rsidR="00082595" w:rsidRDefault="00000000">
            <w:pPr>
              <w:pStyle w:val="LumisTabela"/>
            </w:pPr>
            <w:r>
              <w:t>Sim: monitoramento e liberação</w:t>
            </w:r>
          </w:p>
        </w:tc>
        <w:tc>
          <w:tcPr>
            <w:tcW w:w="2041" w:type="dxa"/>
            <w:shd w:val="clear" w:color="auto" w:fill="F1F6F4"/>
          </w:tcPr>
          <w:p w14:paraId="10BF41A3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A gravidade e o grupo afetado; o incidente que ninguém viu</w:t>
            </w:r>
          </w:p>
        </w:tc>
      </w:tr>
      <w:tr w:rsidR="00082595" w:rsidRPr="00061C5C" w14:paraId="2A4EB49F" w14:textId="77777777">
        <w:trPr>
          <w:cantSplit/>
          <w:jc w:val="center"/>
        </w:trPr>
        <w:tc>
          <w:tcPr>
            <w:tcW w:w="1587" w:type="dxa"/>
          </w:tcPr>
          <w:p w14:paraId="54260E7A" w14:textId="77777777" w:rsidR="00082595" w:rsidRDefault="00000000">
            <w:pPr>
              <w:pStyle w:val="LumisTabela"/>
              <w:keepNext/>
            </w:pPr>
            <w:r>
              <w:t>5. Afirmações auditáveis</w:t>
            </w:r>
          </w:p>
        </w:tc>
        <w:tc>
          <w:tcPr>
            <w:tcW w:w="1928" w:type="dxa"/>
          </w:tcPr>
          <w:p w14:paraId="53065036" w14:textId="77777777" w:rsidR="00082595" w:rsidRPr="00061C5C" w:rsidRDefault="00000000">
            <w:pPr>
              <w:pStyle w:val="LumisTabela"/>
              <w:keepNext/>
              <w:rPr>
                <w:lang w:val="pt-BR"/>
              </w:rPr>
            </w:pPr>
            <w:r w:rsidRPr="00061C5C">
              <w:rPr>
                <w:lang w:val="pt-BR"/>
              </w:rPr>
              <w:t>Material público contra um checklist de relato de modelos clínicos</w:t>
            </w:r>
          </w:p>
        </w:tc>
        <w:tc>
          <w:tcPr>
            <w:tcW w:w="1928" w:type="dxa"/>
          </w:tcPr>
          <w:p w14:paraId="3440050E" w14:textId="77777777" w:rsidR="00082595" w:rsidRPr="00061C5C" w:rsidRDefault="00000000">
            <w:pPr>
              <w:pStyle w:val="LumisTabela"/>
              <w:keepNext/>
              <w:rPr>
                <w:lang w:val="pt-BR"/>
              </w:rPr>
            </w:pPr>
            <w:r w:rsidRPr="00061C5C">
              <w:rPr>
                <w:lang w:val="pt-BR"/>
              </w:rPr>
              <w:t>Por quem não vende. Cliente ou auditor refaz o número</w:t>
            </w:r>
          </w:p>
        </w:tc>
        <w:tc>
          <w:tcPr>
            <w:tcW w:w="1587" w:type="dxa"/>
          </w:tcPr>
          <w:p w14:paraId="170EB0F9" w14:textId="77777777" w:rsidR="00082595" w:rsidRDefault="00000000">
            <w:pPr>
              <w:pStyle w:val="LumisTabela"/>
              <w:keepNext/>
            </w:pPr>
            <w:r>
              <w:t>Sim: publicar ou retirar</w:t>
            </w:r>
          </w:p>
        </w:tc>
        <w:tc>
          <w:tcPr>
            <w:tcW w:w="2041" w:type="dxa"/>
          </w:tcPr>
          <w:p w14:paraId="29A7ED7E" w14:textId="77777777" w:rsidR="00082595" w:rsidRPr="00061C5C" w:rsidRDefault="00000000">
            <w:pPr>
              <w:pStyle w:val="LumisTabela"/>
              <w:keepNext/>
              <w:rPr>
                <w:lang w:val="pt-BR"/>
              </w:rPr>
            </w:pPr>
            <w:r w:rsidRPr="00061C5C">
              <w:rPr>
                <w:lang w:val="pt-BR"/>
              </w:rPr>
              <w:t>Quem escolhe o recorte escolhe o grupo que aparece; os usos em seguros e bancos</w:t>
            </w:r>
          </w:p>
        </w:tc>
      </w:tr>
    </w:tbl>
    <w:p w14:paraId="2873F3EE" w14:textId="77777777" w:rsidR="00082595" w:rsidRPr="00061C5C" w:rsidRDefault="00000000">
      <w:pPr>
        <w:pStyle w:val="Legenda"/>
        <w:rPr>
          <w:lang w:val="pt-BR"/>
        </w:rPr>
      </w:pPr>
      <w:r w:rsidRPr="00061C5C">
        <w:rPr>
          <w:lang w:val="pt-BR"/>
        </w:rPr>
        <w:t>Tabela A3. Fonte: análise da equipe sobre o Cap. 2, Quadros 7, 10, 13, 14 e 17.</w:t>
      </w:r>
    </w:p>
    <w:p w14:paraId="0361C5D6" w14:textId="77777777" w:rsidR="00082595" w:rsidRPr="00061C5C" w:rsidRDefault="00000000">
      <w:pPr>
        <w:pStyle w:val="Ttulo2"/>
        <w:rPr>
          <w:lang w:val="pt-BR"/>
        </w:rPr>
      </w:pPr>
      <w:r w:rsidRPr="00061C5C">
        <w:rPr>
          <w:lang w:val="pt-BR"/>
        </w:rPr>
        <w:t>A4. As quatro perguntas aplicadas aos indicadores descartados</w:t>
      </w:r>
    </w:p>
    <w:tbl>
      <w:tblPr>
        <w:tblW w:w="0" w:type="auto"/>
        <w:jc w:val="center"/>
        <w:tblBorders>
          <w:top w:val="single" w:sz="4" w:space="0" w:color="D3DEDB"/>
          <w:bottom w:val="single" w:sz="4" w:space="0" w:color="D3DEDB"/>
          <w:insideH w:val="single" w:sz="4" w:space="0" w:color="D3DEDB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587"/>
        <w:gridCol w:w="1701"/>
        <w:gridCol w:w="2041"/>
        <w:gridCol w:w="1814"/>
      </w:tblGrid>
      <w:tr w:rsidR="00082595" w14:paraId="45EB1161" w14:textId="77777777">
        <w:trPr>
          <w:cantSplit/>
          <w:tblHeader/>
          <w:jc w:val="center"/>
        </w:trPr>
        <w:tc>
          <w:tcPr>
            <w:tcW w:w="1928" w:type="dxa"/>
            <w:shd w:val="clear" w:color="auto" w:fill="0F2D3A"/>
          </w:tcPr>
          <w:p w14:paraId="58EF4416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Candidato</w:t>
            </w:r>
          </w:p>
        </w:tc>
        <w:tc>
          <w:tcPr>
            <w:tcW w:w="1587" w:type="dxa"/>
            <w:shd w:val="clear" w:color="auto" w:fill="0F2D3A"/>
          </w:tcPr>
          <w:p w14:paraId="6E13D34F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Medida em quê?</w:t>
            </w:r>
          </w:p>
        </w:tc>
        <w:tc>
          <w:tcPr>
            <w:tcW w:w="1701" w:type="dxa"/>
            <w:shd w:val="clear" w:color="auto" w:fill="0F2D3A"/>
          </w:tcPr>
          <w:p w14:paraId="099E7D4E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Medida por quem?</w:t>
            </w:r>
          </w:p>
        </w:tc>
        <w:tc>
          <w:tcPr>
            <w:tcW w:w="2041" w:type="dxa"/>
            <w:shd w:val="clear" w:color="auto" w:fill="0F2D3A"/>
          </w:tcPr>
          <w:p w14:paraId="2039D9B4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Muda alguma decisão?</w:t>
            </w:r>
          </w:p>
        </w:tc>
        <w:tc>
          <w:tcPr>
            <w:tcW w:w="1814" w:type="dxa"/>
            <w:shd w:val="clear" w:color="auto" w:fill="0F2D3A"/>
          </w:tcPr>
          <w:p w14:paraId="666182FD" w14:textId="77777777" w:rsidR="0008259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Esconde qual distribuição?</w:t>
            </w:r>
          </w:p>
        </w:tc>
      </w:tr>
      <w:tr w:rsidR="00082595" w:rsidRPr="00061C5C" w14:paraId="39EE7877" w14:textId="77777777">
        <w:trPr>
          <w:cantSplit/>
          <w:jc w:val="center"/>
        </w:trPr>
        <w:tc>
          <w:tcPr>
            <w:tcW w:w="1928" w:type="dxa"/>
          </w:tcPr>
          <w:p w14:paraId="66069E89" w14:textId="77777777" w:rsidR="00082595" w:rsidRDefault="00000000">
            <w:pPr>
              <w:pStyle w:val="LumisTabela"/>
            </w:pPr>
            <w:r>
              <w:t>Acurácia global em campo (87,6%)</w:t>
            </w:r>
          </w:p>
        </w:tc>
        <w:tc>
          <w:tcPr>
            <w:tcW w:w="1587" w:type="dxa"/>
          </w:tcPr>
          <w:p w14:paraId="26FCE7FB" w14:textId="77777777" w:rsidR="00082595" w:rsidRDefault="00000000">
            <w:pPr>
              <w:pStyle w:val="LumisTabela"/>
            </w:pPr>
            <w:r>
              <w:t>Base completa</w:t>
            </w:r>
          </w:p>
        </w:tc>
        <w:tc>
          <w:tcPr>
            <w:tcW w:w="1701" w:type="dxa"/>
          </w:tcPr>
          <w:p w14:paraId="4F5C4579" w14:textId="77777777" w:rsidR="00082595" w:rsidRDefault="00000000">
            <w:pPr>
              <w:pStyle w:val="LumisTabela"/>
            </w:pPr>
            <w:r>
              <w:rPr>
                <w:rStyle w:val="TagNoconsta"/>
              </w:rPr>
              <w:t>[não consta]</w:t>
            </w:r>
          </w:p>
        </w:tc>
        <w:tc>
          <w:tcPr>
            <w:tcW w:w="2041" w:type="dxa"/>
          </w:tcPr>
          <w:p w14:paraId="21E22320" w14:textId="77777777" w:rsidR="00082595" w:rsidRDefault="00000000">
            <w:pPr>
              <w:pStyle w:val="LumisTabela"/>
            </w:pPr>
            <w:r>
              <w:t>Pouco. Descartado</w:t>
            </w:r>
          </w:p>
        </w:tc>
        <w:tc>
          <w:tcPr>
            <w:tcW w:w="1814" w:type="dxa"/>
          </w:tcPr>
          <w:p w14:paraId="7B6A593D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O falso negativo e os subgrupos</w:t>
            </w:r>
          </w:p>
        </w:tc>
      </w:tr>
      <w:tr w:rsidR="00082595" w:rsidRPr="00061C5C" w14:paraId="4376B361" w14:textId="77777777">
        <w:trPr>
          <w:cantSplit/>
          <w:jc w:val="center"/>
        </w:trPr>
        <w:tc>
          <w:tcPr>
            <w:tcW w:w="1928" w:type="dxa"/>
            <w:shd w:val="clear" w:color="auto" w:fill="F1F6F4"/>
          </w:tcPr>
          <w:p w14:paraId="0C903816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Comparação com a versão aprovada (indicador 2 da v1)</w:t>
            </w:r>
          </w:p>
        </w:tc>
        <w:tc>
          <w:tcPr>
            <w:tcW w:w="1587" w:type="dxa"/>
            <w:shd w:val="clear" w:color="auto" w:fill="F1F6F4"/>
          </w:tcPr>
          <w:p w14:paraId="13C46914" w14:textId="77777777" w:rsidR="00082595" w:rsidRDefault="00000000">
            <w:pPr>
              <w:pStyle w:val="LumisTabela"/>
            </w:pPr>
            <w:r>
              <w:t>Troca de versão</w:t>
            </w:r>
          </w:p>
        </w:tc>
        <w:tc>
          <w:tcPr>
            <w:tcW w:w="1701" w:type="dxa"/>
            <w:shd w:val="clear" w:color="auto" w:fill="F1F6F4"/>
          </w:tcPr>
          <w:p w14:paraId="70FFE9DF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Pelo CTO, que também libera a versão</w:t>
            </w:r>
          </w:p>
        </w:tc>
        <w:tc>
          <w:tcPr>
            <w:tcW w:w="2041" w:type="dxa"/>
            <w:shd w:val="clear" w:color="auto" w:fill="F1F6F4"/>
          </w:tcPr>
          <w:p w14:paraId="24BC0667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Sim, mas repete o indicador 1. Vira a regra de liberação dele</w:t>
            </w:r>
          </w:p>
        </w:tc>
        <w:tc>
          <w:tcPr>
            <w:tcW w:w="1814" w:type="dxa"/>
            <w:shd w:val="clear" w:color="auto" w:fill="F1F6F4"/>
          </w:tcPr>
          <w:p w14:paraId="5C4E5098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O mesmo que o indicador 1</w:t>
            </w:r>
          </w:p>
        </w:tc>
      </w:tr>
      <w:tr w:rsidR="00082595" w:rsidRPr="00061C5C" w14:paraId="0A9A873E" w14:textId="77777777">
        <w:trPr>
          <w:cantSplit/>
          <w:jc w:val="center"/>
        </w:trPr>
        <w:tc>
          <w:tcPr>
            <w:tcW w:w="1928" w:type="dxa"/>
          </w:tcPr>
          <w:p w14:paraId="3BCC7A1D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Disponibilidade de ponta a ponta (indicador 4 da v1)</w:t>
            </w:r>
          </w:p>
        </w:tc>
        <w:tc>
          <w:tcPr>
            <w:tcW w:w="1587" w:type="dxa"/>
          </w:tcPr>
          <w:p w14:paraId="2E757743" w14:textId="77777777" w:rsidR="00082595" w:rsidRDefault="00000000">
            <w:pPr>
              <w:pStyle w:val="LumisTabela"/>
            </w:pPr>
            <w:r>
              <w:t>Cadeia técnica completa</w:t>
            </w:r>
          </w:p>
        </w:tc>
        <w:tc>
          <w:tcPr>
            <w:tcW w:w="1701" w:type="dxa"/>
          </w:tcPr>
          <w:p w14:paraId="6B6D1F2D" w14:textId="77777777" w:rsidR="00082595" w:rsidRDefault="00000000">
            <w:pPr>
              <w:pStyle w:val="LumisTabela"/>
            </w:pPr>
            <w:r>
              <w:t xml:space="preserve">Pelo CTO </w:t>
            </w:r>
            <w:r>
              <w:rPr>
                <w:rStyle w:val="TagHiptese"/>
              </w:rPr>
              <w:t>[hipótese]</w:t>
            </w:r>
          </w:p>
        </w:tc>
        <w:tc>
          <w:tcPr>
            <w:tcW w:w="2041" w:type="dxa"/>
          </w:tcPr>
          <w:p w14:paraId="5451F962" w14:textId="77777777" w:rsidR="00082595" w:rsidRDefault="00000000">
            <w:pPr>
              <w:pStyle w:val="LumisTabela"/>
            </w:pPr>
            <w:r w:rsidRPr="00061C5C">
              <w:rPr>
                <w:lang w:val="pt-BR"/>
              </w:rPr>
              <w:t xml:space="preserve">Decisão operacional, que não chega ao conselho. </w:t>
            </w:r>
            <w:r>
              <w:t>Segue como meta técnica</w:t>
            </w:r>
          </w:p>
        </w:tc>
        <w:tc>
          <w:tcPr>
            <w:tcW w:w="1814" w:type="dxa"/>
          </w:tcPr>
          <w:p w14:paraId="67D8FE24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Não tem abertura útil para equidade</w:t>
            </w:r>
          </w:p>
        </w:tc>
      </w:tr>
      <w:tr w:rsidR="00082595" w:rsidRPr="00061C5C" w14:paraId="7A8337FB" w14:textId="77777777">
        <w:trPr>
          <w:cantSplit/>
          <w:jc w:val="center"/>
        </w:trPr>
        <w:tc>
          <w:tcPr>
            <w:tcW w:w="1928" w:type="dxa"/>
            <w:shd w:val="clear" w:color="auto" w:fill="F1F6F4"/>
          </w:tcPr>
          <w:p w14:paraId="65431908" w14:textId="77777777" w:rsidR="00082595" w:rsidRDefault="00000000">
            <w:pPr>
              <w:pStyle w:val="LumisTabela"/>
            </w:pPr>
            <w:r>
              <w:lastRenderedPageBreak/>
              <w:t>Auditorias contratuais concluídas</w:t>
            </w:r>
          </w:p>
        </w:tc>
        <w:tc>
          <w:tcPr>
            <w:tcW w:w="1587" w:type="dxa"/>
            <w:shd w:val="clear" w:color="auto" w:fill="F1F6F4"/>
          </w:tcPr>
          <w:p w14:paraId="5A243AFF" w14:textId="77777777" w:rsidR="00082595" w:rsidRDefault="00000000">
            <w:pPr>
              <w:pStyle w:val="LumisTabela"/>
            </w:pPr>
            <w:r>
              <w:t>Número de auditorias</w:t>
            </w:r>
          </w:p>
        </w:tc>
        <w:tc>
          <w:tcPr>
            <w:tcW w:w="1701" w:type="dxa"/>
            <w:shd w:val="clear" w:color="auto" w:fill="F1F6F4"/>
          </w:tcPr>
          <w:p w14:paraId="3AF8227A" w14:textId="77777777" w:rsidR="00082595" w:rsidRDefault="00000000">
            <w:pPr>
              <w:pStyle w:val="LumisTabela"/>
            </w:pPr>
            <w:r>
              <w:t xml:space="preserve">Pela DPO </w:t>
            </w:r>
            <w:r>
              <w:rPr>
                <w:rStyle w:val="TagHiptese"/>
              </w:rPr>
              <w:t>[hipótese]</w:t>
            </w:r>
          </w:p>
        </w:tc>
        <w:tc>
          <w:tcPr>
            <w:tcW w:w="2041" w:type="dxa"/>
            <w:shd w:val="clear" w:color="auto" w:fill="F1F6F4"/>
          </w:tcPr>
          <w:p w14:paraId="5C4F73FE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Não. Mede atividade. O indicador 2 mede registros</w:t>
            </w:r>
          </w:p>
        </w:tc>
        <w:tc>
          <w:tcPr>
            <w:tcW w:w="1814" w:type="dxa"/>
            <w:shd w:val="clear" w:color="auto" w:fill="F1F6F4"/>
          </w:tcPr>
          <w:p w14:paraId="6F21B0A9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>O volume de registros afetados</w:t>
            </w:r>
          </w:p>
        </w:tc>
      </w:tr>
      <w:tr w:rsidR="00082595" w14:paraId="551E719D" w14:textId="77777777">
        <w:trPr>
          <w:cantSplit/>
          <w:jc w:val="center"/>
        </w:trPr>
        <w:tc>
          <w:tcPr>
            <w:tcW w:w="1928" w:type="dxa"/>
          </w:tcPr>
          <w:p w14:paraId="17078A4D" w14:textId="77777777" w:rsidR="00082595" w:rsidRDefault="00000000">
            <w:pPr>
              <w:pStyle w:val="LumisTabela"/>
            </w:pPr>
            <w:r>
              <w:t>Pacientes únicos analisados</w:t>
            </w:r>
          </w:p>
        </w:tc>
        <w:tc>
          <w:tcPr>
            <w:tcW w:w="1587" w:type="dxa"/>
          </w:tcPr>
          <w:p w14:paraId="17517807" w14:textId="77777777" w:rsidR="00082595" w:rsidRDefault="00000000">
            <w:pPr>
              <w:pStyle w:val="LumisTabela"/>
            </w:pPr>
            <w:r>
              <w:t>Base sem duplicidade</w:t>
            </w:r>
          </w:p>
        </w:tc>
        <w:tc>
          <w:tcPr>
            <w:tcW w:w="1701" w:type="dxa"/>
          </w:tcPr>
          <w:p w14:paraId="2B766608" w14:textId="77777777" w:rsidR="00082595" w:rsidRPr="00061C5C" w:rsidRDefault="00000000">
            <w:pPr>
              <w:pStyle w:val="LumisTabela"/>
              <w:rPr>
                <w:lang w:val="pt-BR"/>
              </w:rPr>
            </w:pPr>
            <w:r w:rsidRPr="00061C5C">
              <w:rPr>
                <w:lang w:val="pt-BR"/>
              </w:rPr>
              <w:t xml:space="preserve">Pela área de Dados </w:t>
            </w:r>
            <w:r w:rsidRPr="00061C5C">
              <w:rPr>
                <w:rStyle w:val="TagHiptese"/>
                <w:lang w:val="pt-BR"/>
              </w:rPr>
              <w:t>[hipótese]</w:t>
            </w:r>
          </w:p>
        </w:tc>
        <w:tc>
          <w:tcPr>
            <w:tcW w:w="2041" w:type="dxa"/>
          </w:tcPr>
          <w:p w14:paraId="7835114D" w14:textId="77777777" w:rsidR="00082595" w:rsidRDefault="00000000">
            <w:pPr>
              <w:pStyle w:val="LumisTabela"/>
            </w:pPr>
            <w:r>
              <w:t>Não. É volume</w:t>
            </w:r>
          </w:p>
        </w:tc>
        <w:tc>
          <w:tcPr>
            <w:tcW w:w="1814" w:type="dxa"/>
          </w:tcPr>
          <w:p w14:paraId="26E5B35B" w14:textId="77777777" w:rsidR="00082595" w:rsidRDefault="00000000">
            <w:pPr>
              <w:pStyle w:val="LumisTabela"/>
            </w:pPr>
            <w:r>
              <w:t>Quem foi mal atendido</w:t>
            </w:r>
          </w:p>
        </w:tc>
      </w:tr>
      <w:tr w:rsidR="00082595" w:rsidRPr="00061C5C" w14:paraId="45AFA405" w14:textId="77777777">
        <w:trPr>
          <w:cantSplit/>
          <w:jc w:val="center"/>
        </w:trPr>
        <w:tc>
          <w:tcPr>
            <w:tcW w:w="1928" w:type="dxa"/>
            <w:shd w:val="clear" w:color="auto" w:fill="F1F6F4"/>
          </w:tcPr>
          <w:p w14:paraId="0BF97FC9" w14:textId="77777777" w:rsidR="00082595" w:rsidRDefault="00000000">
            <w:pPr>
              <w:pStyle w:val="LumisTabela"/>
              <w:keepNext/>
            </w:pPr>
            <w:r>
              <w:t>Discordância do revisor humano</w:t>
            </w:r>
          </w:p>
        </w:tc>
        <w:tc>
          <w:tcPr>
            <w:tcW w:w="1587" w:type="dxa"/>
            <w:shd w:val="clear" w:color="auto" w:fill="F1F6F4"/>
          </w:tcPr>
          <w:p w14:paraId="7DA7FD22" w14:textId="77777777" w:rsidR="00082595" w:rsidRDefault="00000000">
            <w:pPr>
              <w:pStyle w:val="LumisTabela"/>
              <w:keepNext/>
            </w:pPr>
            <w:r>
              <w:t>Amostra de revisão</w:t>
            </w:r>
          </w:p>
        </w:tc>
        <w:tc>
          <w:tcPr>
            <w:tcW w:w="1701" w:type="dxa"/>
            <w:shd w:val="clear" w:color="auto" w:fill="F1F6F4"/>
          </w:tcPr>
          <w:p w14:paraId="30A70D9E" w14:textId="77777777" w:rsidR="00082595" w:rsidRPr="00061C5C" w:rsidRDefault="00000000">
            <w:pPr>
              <w:pStyle w:val="LumisTabela"/>
              <w:keepNext/>
              <w:rPr>
                <w:lang w:val="pt-BR"/>
              </w:rPr>
            </w:pPr>
            <w:r w:rsidRPr="00061C5C">
              <w:rPr>
                <w:lang w:val="pt-BR"/>
              </w:rPr>
              <w:t xml:space="preserve">Quem executa a revisão </w:t>
            </w:r>
            <w:r w:rsidRPr="00061C5C">
              <w:rPr>
                <w:rStyle w:val="TagNoconsta"/>
                <w:lang w:val="pt-BR"/>
              </w:rPr>
              <w:t>[não consta]</w:t>
            </w:r>
          </w:p>
        </w:tc>
        <w:tc>
          <w:tcPr>
            <w:tcW w:w="2041" w:type="dxa"/>
            <w:shd w:val="clear" w:color="auto" w:fill="F1F6F4"/>
          </w:tcPr>
          <w:p w14:paraId="13C24170" w14:textId="77777777" w:rsidR="00082595" w:rsidRPr="00061C5C" w:rsidRDefault="00000000">
            <w:pPr>
              <w:pStyle w:val="LumisTabela"/>
              <w:keepNext/>
              <w:rPr>
                <w:lang w:val="pt-BR"/>
              </w:rPr>
            </w:pPr>
            <w:r w:rsidRPr="00061C5C">
              <w:rPr>
                <w:lang w:val="pt-BR"/>
              </w:rPr>
              <w:t>Alimenta o indicador 1 e vira a fonte dele</w:t>
            </w:r>
          </w:p>
        </w:tc>
        <w:tc>
          <w:tcPr>
            <w:tcW w:w="1814" w:type="dxa"/>
            <w:shd w:val="clear" w:color="auto" w:fill="F1F6F4"/>
          </w:tcPr>
          <w:p w14:paraId="1E5533C4" w14:textId="77777777" w:rsidR="00082595" w:rsidRPr="00061C5C" w:rsidRDefault="00000000">
            <w:pPr>
              <w:pStyle w:val="LumisTabela"/>
              <w:keepNext/>
              <w:rPr>
                <w:lang w:val="pt-BR"/>
              </w:rPr>
            </w:pPr>
            <w:r w:rsidRPr="00061C5C">
              <w:rPr>
                <w:lang w:val="pt-BR"/>
              </w:rPr>
              <w:t>Depende do tamanho da amostra por grupo</w:t>
            </w:r>
          </w:p>
        </w:tc>
      </w:tr>
    </w:tbl>
    <w:p w14:paraId="7E342808" w14:textId="77777777" w:rsidR="00082595" w:rsidRPr="00061C5C" w:rsidRDefault="00000000">
      <w:pPr>
        <w:pStyle w:val="Legenda"/>
        <w:rPr>
          <w:lang w:val="pt-BR"/>
        </w:rPr>
      </w:pPr>
      <w:r w:rsidRPr="00061C5C">
        <w:rPr>
          <w:lang w:val="pt-BR"/>
        </w:rPr>
        <w:t>Tabela A4. Fonte: análise da equipe sobre o Cap. 2, Quadros 9, 11 e 13 e a v1 do colega.</w:t>
      </w:r>
    </w:p>
    <w:p w14:paraId="31F0C167" w14:textId="77777777" w:rsidR="00082595" w:rsidRDefault="00000000">
      <w:pPr>
        <w:pStyle w:val="Ttulo2"/>
      </w:pPr>
      <w:r>
        <w:t>A5. Contas de conferência</w:t>
      </w:r>
    </w:p>
    <w:p w14:paraId="7C38680D" w14:textId="77777777" w:rsidR="00082595" w:rsidRDefault="00000000">
      <w:pPr>
        <w:pStyle w:val="Commarcadores"/>
      </w:pPr>
      <w:r w:rsidRPr="00061C5C">
        <w:rPr>
          <w:lang w:val="pt-BR"/>
        </w:rPr>
        <w:t xml:space="preserve">Base: 5,9 mi de clientes + 14,0 mi do DATASUS + 2,1 mi sintéticos = 22,0 mi. </w:t>
      </w:r>
      <w:r>
        <w:t xml:space="preserve">Clientes: 1,2 + 3,4 + 0,89 + 0,41 = 5,9 mi </w:t>
      </w:r>
      <w:r>
        <w:rPr>
          <w:rStyle w:val="TagFonte"/>
        </w:rPr>
        <w:t>[fonte: conta da equipe sobre o Quadro 7]</w:t>
      </w:r>
      <w:r>
        <w:t>.</w:t>
      </w:r>
    </w:p>
    <w:p w14:paraId="1AFCC08C" w14:textId="77777777" w:rsidR="00082595" w:rsidRPr="00061C5C" w:rsidRDefault="00000000">
      <w:pPr>
        <w:pStyle w:val="Commarcadores"/>
        <w:rPr>
          <w:lang w:val="pt-BR"/>
        </w:rPr>
      </w:pPr>
      <w:r w:rsidRPr="00061C5C">
        <w:rPr>
          <w:lang w:val="pt-BR"/>
        </w:rPr>
        <w:t>Autorização frágil: (1,2 + 0,89) ÷ 5,9 = 35,4%. Autorização expressa: (3,4 + 0,41) ÷ 5,9 = 64,6%. Sanare: 3,4 ÷ 5,9 = 57,6%.</w:t>
      </w:r>
    </w:p>
    <w:p w14:paraId="6D737E38" w14:textId="77777777" w:rsidR="00082595" w:rsidRPr="00061C5C" w:rsidRDefault="00000000">
      <w:pPr>
        <w:pStyle w:val="Commarcadores"/>
        <w:rPr>
          <w:lang w:val="pt-BR"/>
        </w:rPr>
      </w:pPr>
      <w:r w:rsidRPr="00061C5C">
        <w:rPr>
          <w:lang w:val="pt-BR"/>
        </w:rPr>
        <w:t>O falso negativo médio, ponderado pela participação de cada grupo no Quadro 10, dá 17,65%, coerente com os 17,7% do Quadro 9. A validação de 2023 equivale a 2,5% da amostra de campo de um semestre.</w:t>
      </w:r>
    </w:p>
    <w:p w14:paraId="02BE0F80" w14:textId="77777777" w:rsidR="00082595" w:rsidRPr="00061C5C" w:rsidRDefault="00000000">
      <w:pPr>
        <w:pStyle w:val="Commarcadores"/>
        <w:rPr>
          <w:lang w:val="pt-BR"/>
        </w:rPr>
      </w:pPr>
      <w:r w:rsidRPr="00061C5C">
        <w:rPr>
          <w:lang w:val="pt-BR"/>
        </w:rPr>
        <w:t xml:space="preserve">Reclamações: participação nas reclamações dividida pela participação na base. D/E (47 ÷ 74) ÷ 25% = 2,54; C (19 ÷ 74) ÷ 41% = 0,63; A/B (8 ÷ 74) ÷ 34% = 0,32 </w:t>
      </w:r>
      <w:r w:rsidRPr="00061C5C">
        <w:rPr>
          <w:rStyle w:val="TagFonte"/>
          <w:lang w:val="pt-BR"/>
        </w:rPr>
        <w:t>[fonte: conta da equipe sobre o Quadro 17]</w:t>
      </w:r>
      <w:r w:rsidRPr="00061C5C">
        <w:rPr>
          <w:lang w:val="pt-BR"/>
        </w:rPr>
        <w:t>.</w:t>
      </w:r>
    </w:p>
    <w:p w14:paraId="50655D5E" w14:textId="77777777" w:rsidR="00082595" w:rsidRPr="00061C5C" w:rsidRDefault="00000000">
      <w:pPr>
        <w:pStyle w:val="Commarcadores"/>
        <w:rPr>
          <w:lang w:val="pt-BR"/>
        </w:rPr>
      </w:pPr>
      <w:r w:rsidRPr="00061C5C">
        <w:rPr>
          <w:lang w:val="pt-BR"/>
        </w:rPr>
        <w:t xml:space="preserve">Restrição recomendada: 24% de 640 mil = cerca de 154 mil decisões por mês. Revisão: 10% de 179 mil (grupos no nível 1) + 2% de 307 mil (demais) = cerca de 24 mil por mês </w:t>
      </w:r>
      <w:r w:rsidRPr="00061C5C">
        <w:rPr>
          <w:rStyle w:val="TagHiptese"/>
          <w:lang w:val="pt-BR"/>
        </w:rPr>
        <w:t>[hipótese: decisões distribuídas como a base]</w:t>
      </w:r>
      <w:r w:rsidRPr="00061C5C">
        <w:rPr>
          <w:lang w:val="pt-BR"/>
        </w:rPr>
        <w:t>.</w:t>
      </w:r>
    </w:p>
    <w:p w14:paraId="5BBBBE02" w14:textId="77777777" w:rsidR="00082595" w:rsidRPr="00061C5C" w:rsidRDefault="00000000">
      <w:pPr>
        <w:pStyle w:val="Commarcadores"/>
        <w:rPr>
          <w:lang w:val="pt-BR"/>
        </w:rPr>
      </w:pPr>
      <w:r w:rsidRPr="00061C5C">
        <w:rPr>
          <w:lang w:val="pt-BR"/>
        </w:rPr>
        <w:t xml:space="preserve">Amostra do indicador 1, com 10% dos casos precisando de prioridade </w:t>
      </w:r>
      <w:r w:rsidRPr="00061C5C">
        <w:rPr>
          <w:rStyle w:val="TagHiptese"/>
          <w:lang w:val="pt-BR"/>
        </w:rPr>
        <w:t>[hipótese]</w:t>
      </w:r>
      <w:r w:rsidRPr="00061C5C">
        <w:rPr>
          <w:lang w:val="pt-BR"/>
        </w:rPr>
        <w:t>: grupo 60+ D/E = 64 mil decisões por mês; com 2% de revisão, 1.280 revisões e 128 casos a priorizar por mês (64 por quinzena); com 10%, 640 por mês (320 por quinzena).</w:t>
      </w:r>
    </w:p>
    <w:p w14:paraId="4C7541EB" w14:textId="77777777" w:rsidR="00082595" w:rsidRPr="00061C5C" w:rsidRDefault="00000000">
      <w:pPr>
        <w:pStyle w:val="Ttulo2"/>
        <w:rPr>
          <w:lang w:val="pt-BR"/>
        </w:rPr>
      </w:pPr>
      <w:r w:rsidRPr="00061C5C">
        <w:rPr>
          <w:lang w:val="pt-BR"/>
        </w:rPr>
        <w:t>A6. Divergências e o que não consta</w:t>
      </w:r>
    </w:p>
    <w:p w14:paraId="496EC37D" w14:textId="77777777" w:rsidR="00082595" w:rsidRDefault="00000000">
      <w:pPr>
        <w:pStyle w:val="Commarcadores"/>
      </w:pPr>
      <w:r w:rsidRPr="00061C5C">
        <w:rPr>
          <w:b/>
          <w:lang w:val="pt-BR"/>
        </w:rPr>
        <w:t>Divergência no Cap. 2:</w:t>
      </w:r>
      <w:r w:rsidRPr="00061C5C">
        <w:rPr>
          <w:lang w:val="pt-BR"/>
        </w:rPr>
        <w:t xml:space="preserve"> "três" contratos com cláusula não relida (seção 1.2) contra "dois" (Quadro 5). </w:t>
      </w:r>
      <w:r>
        <w:t>Seguimos o Quadro 7.</w:t>
      </w:r>
    </w:p>
    <w:p w14:paraId="394E7A90" w14:textId="77777777" w:rsidR="00082595" w:rsidRPr="00061C5C" w:rsidRDefault="00000000">
      <w:pPr>
        <w:pStyle w:val="Commarcadores"/>
        <w:rPr>
          <w:lang w:val="pt-BR"/>
        </w:rPr>
      </w:pPr>
      <w:r w:rsidRPr="00061C5C">
        <w:rPr>
          <w:b/>
          <w:lang w:val="pt-BR"/>
        </w:rPr>
        <w:t>Divergência no Cap. 2:</w:t>
      </w:r>
      <w:r w:rsidRPr="00061C5C">
        <w:rPr>
          <w:lang w:val="pt-BR"/>
        </w:rPr>
        <w:t xml:space="preserve"> dados e contrato anteriores à fundação da empresa em 2022 (Quadros 3 e 7).</w:t>
      </w:r>
    </w:p>
    <w:p w14:paraId="12C0AC39" w14:textId="77777777" w:rsidR="00082595" w:rsidRPr="00061C5C" w:rsidRDefault="00000000">
      <w:pPr>
        <w:pStyle w:val="Commarcadores"/>
        <w:rPr>
          <w:lang w:val="pt-BR"/>
        </w:rPr>
      </w:pPr>
      <w:r w:rsidRPr="00061C5C">
        <w:rPr>
          <w:b/>
          <w:lang w:val="pt-BR"/>
        </w:rPr>
        <w:t>Divergência no Cap. 2:</w:t>
      </w:r>
      <w:r w:rsidRPr="00061C5C">
        <w:rPr>
          <w:lang w:val="pt-BR"/>
        </w:rPr>
        <w:t xml:space="preserve"> a acurácia ponderada pelo Quadro 10 dá 87,2%, e o Quadro 9 mostra 87,6%. O campo tem cerca de 323 mil registros por mês, e o Quadro 12 fala em 640 mil decisões por mês.</w:t>
      </w:r>
    </w:p>
    <w:p w14:paraId="049BCC3F" w14:textId="77777777" w:rsidR="00082595" w:rsidRPr="00061C5C" w:rsidRDefault="00000000">
      <w:pPr>
        <w:pStyle w:val="Commarcadores"/>
        <w:rPr>
          <w:lang w:val="pt-BR"/>
        </w:rPr>
      </w:pPr>
      <w:r w:rsidRPr="00061C5C">
        <w:rPr>
          <w:b/>
          <w:lang w:val="pt-BR"/>
        </w:rPr>
        <w:t>Não consta no caso:</w:t>
      </w:r>
      <w:r w:rsidRPr="00061C5C">
        <w:rPr>
          <w:lang w:val="pt-BR"/>
        </w:rPr>
        <w:t xml:space="preserve"> se as outras 34 contas fornecem dados para treino; quem consta como responsável pelos dados em cada contrato; se a Prisma é operadora de plano de saúde; se o fim do contrato obriga a retirar os dados do treino e quanto custa retreinar.</w:t>
      </w:r>
    </w:p>
    <w:p w14:paraId="67F72F94" w14:textId="77777777" w:rsidR="00082595" w:rsidRPr="00061C5C" w:rsidRDefault="00000000">
      <w:pPr>
        <w:pStyle w:val="Commarcadores"/>
        <w:rPr>
          <w:lang w:val="pt-BR"/>
        </w:rPr>
      </w:pPr>
      <w:r w:rsidRPr="00061C5C">
        <w:rPr>
          <w:b/>
          <w:lang w:val="pt-BR"/>
        </w:rPr>
        <w:t>Não consta no caso:</w:t>
      </w:r>
      <w:r w:rsidRPr="00061C5C">
        <w:rPr>
          <w:lang w:val="pt-BR"/>
        </w:rPr>
        <w:t xml:space="preserve"> quem apurou a validação de 2023 e a linha de campo; a proporção de casos que precisam de prioridade; o número de pessoas únicas; quem executa a revisão de 2%; quem reclamou; o desempenho por subgrupo em seguradoras e bancos; a carga de cada hospital e a receita afetada pela restrição.</w:t>
      </w:r>
    </w:p>
    <w:sectPr w:rsidR="00082595" w:rsidRPr="00061C5C" w:rsidSect="00034616">
      <w:headerReference w:type="default" r:id="rId9"/>
      <w:footerReference w:type="default" r:id="rId10"/>
      <w:pgSz w:w="11906" w:h="16838"/>
      <w:pgMar w:top="1417" w:right="1417" w:bottom="124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2D5BD" w14:textId="77777777" w:rsidR="0097515F" w:rsidRDefault="0097515F">
      <w:pPr>
        <w:spacing w:after="0" w:line="240" w:lineRule="auto"/>
      </w:pPr>
      <w:r>
        <w:separator/>
      </w:r>
    </w:p>
  </w:endnote>
  <w:endnote w:type="continuationSeparator" w:id="0">
    <w:p w14:paraId="239B6D13" w14:textId="77777777" w:rsidR="0097515F" w:rsidRDefault="00975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53270" w14:textId="77777777" w:rsidR="00BF58EC" w:rsidRPr="000B48B4" w:rsidRDefault="00000000">
    <w:pPr>
      <w:pStyle w:val="Rodap"/>
      <w:jc w:val="right"/>
      <w:rPr>
        <w:lang w:val="pt-BR"/>
      </w:rPr>
    </w:pPr>
    <w:r w:rsidRPr="000B48B4">
      <w:rPr>
        <w:color w:val="6B7C85"/>
        <w:sz w:val="17"/>
        <w:lang w:val="pt-BR"/>
      </w:rPr>
      <w:t xml:space="preserve">Lumis Intelligence · Gestão em IA (FIAP) · página </w:t>
    </w:r>
    <w:r>
      <w:rPr>
        <w:color w:val="6B7C85"/>
        <w:sz w:val="17"/>
      </w:rPr>
      <w:fldChar w:fldCharType="begin"/>
    </w:r>
    <w:r w:rsidRPr="000B48B4">
      <w:rPr>
        <w:color w:val="6B7C85"/>
        <w:sz w:val="17"/>
        <w:lang w:val="pt-BR"/>
      </w:rPr>
      <w:instrText>PAGE</w:instrText>
    </w:r>
    <w:r>
      <w:rPr>
        <w:color w:val="6B7C85"/>
        <w:sz w:val="17"/>
      </w:rPr>
      <w:fldChar w:fldCharType="separate"/>
    </w:r>
    <w:r w:rsidR="000B48B4" w:rsidRPr="000B48B4">
      <w:rPr>
        <w:noProof/>
        <w:color w:val="6B7C85"/>
        <w:sz w:val="17"/>
        <w:lang w:val="pt-BR"/>
      </w:rPr>
      <w:t>2</w:t>
    </w:r>
    <w:r>
      <w:rPr>
        <w:color w:val="6B7C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7C68A" w14:textId="77777777" w:rsidR="0097515F" w:rsidRDefault="0097515F">
      <w:pPr>
        <w:spacing w:after="0" w:line="240" w:lineRule="auto"/>
      </w:pPr>
      <w:r>
        <w:separator/>
      </w:r>
    </w:p>
  </w:footnote>
  <w:footnote w:type="continuationSeparator" w:id="0">
    <w:p w14:paraId="5410418A" w14:textId="77777777" w:rsidR="0097515F" w:rsidRDefault="009751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56FEE" w14:textId="77777777" w:rsidR="00BF58EC" w:rsidRDefault="00000000">
    <w:pPr>
      <w:pStyle w:val="Cabealho"/>
      <w:pBdr>
        <w:bottom w:val="single" w:sz="4" w:space="4" w:color="0F2D3A"/>
      </w:pBdr>
      <w:tabs>
        <w:tab w:val="right" w:pos="9071"/>
      </w:tabs>
    </w:pPr>
    <w:r>
      <w:rPr>
        <w:noProof/>
      </w:rPr>
      <w:drawing>
        <wp:inline distT="0" distB="0" distL="0" distR="0" wp14:anchorId="7FEFCB95" wp14:editId="2D620087">
          <wp:extent cx="1152000" cy="248123"/>
          <wp:effectExtent l="0" t="0" r="0" b="0"/>
          <wp:docPr id="10589814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umis-insight_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2481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B7C85"/>
        <w:sz w:val="17"/>
      </w:rPr>
      <w:tab/>
      <w:t>F2-E2 · Auditoria do Ativo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685996">
    <w:abstractNumId w:val="8"/>
  </w:num>
  <w:num w:numId="2" w16cid:durableId="1505046805">
    <w:abstractNumId w:val="6"/>
  </w:num>
  <w:num w:numId="3" w16cid:durableId="1496456512">
    <w:abstractNumId w:val="5"/>
  </w:num>
  <w:num w:numId="4" w16cid:durableId="1897742686">
    <w:abstractNumId w:val="4"/>
  </w:num>
  <w:num w:numId="5" w16cid:durableId="1141658611">
    <w:abstractNumId w:val="7"/>
  </w:num>
  <w:num w:numId="6" w16cid:durableId="1654798637">
    <w:abstractNumId w:val="3"/>
  </w:num>
  <w:num w:numId="7" w16cid:durableId="670180548">
    <w:abstractNumId w:val="2"/>
  </w:num>
  <w:num w:numId="8" w16cid:durableId="390352732">
    <w:abstractNumId w:val="1"/>
  </w:num>
  <w:num w:numId="9" w16cid:durableId="1449423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C5C"/>
    <w:rsid w:val="00082595"/>
    <w:rsid w:val="000B48B4"/>
    <w:rsid w:val="0015074B"/>
    <w:rsid w:val="0029639D"/>
    <w:rsid w:val="00326F90"/>
    <w:rsid w:val="006A3A0F"/>
    <w:rsid w:val="0097515F"/>
    <w:rsid w:val="009E3794"/>
    <w:rsid w:val="00AA1D8D"/>
    <w:rsid w:val="00B47730"/>
    <w:rsid w:val="00BF58EC"/>
    <w:rsid w:val="00CB0664"/>
    <w:rsid w:val="00CE65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1B0146"/>
  <w14:defaultImageDpi w14:val="300"/>
  <w15:docId w15:val="{230BA697-2509-4DA5-87ED-DF7BF7974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 w:cs="Calibri"/>
      <w:color w:val="18252C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pBdr>
        <w:bottom w:val="single" w:sz="8" w:space="4" w:color="3DBE93"/>
      </w:pBdr>
      <w:spacing w:before="360" w:line="264" w:lineRule="auto"/>
      <w:outlineLvl w:val="0"/>
    </w:pPr>
    <w:rPr>
      <w:rFonts w:ascii="Georgia" w:eastAsia="Georgia" w:hAnsi="Georgia" w:cs="Georgia"/>
      <w:bCs/>
      <w:color w:val="0F2D3A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80" w:line="264" w:lineRule="auto"/>
      <w:outlineLvl w:val="1"/>
    </w:pPr>
    <w:rPr>
      <w:rFonts w:ascii="Georgia" w:eastAsia="Georgia" w:hAnsi="Georgia" w:cs="Georgia"/>
      <w:bCs/>
      <w:color w:val="0F2D3A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40" w:line="264" w:lineRule="auto"/>
      <w:outlineLvl w:val="2"/>
    </w:pPr>
    <w:rPr>
      <w:b/>
      <w:bCs/>
      <w:color w:val="0F2D3A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line="240" w:lineRule="auto"/>
      <w:contextualSpacing/>
    </w:pPr>
    <w:rPr>
      <w:rFonts w:ascii="Georgia" w:eastAsia="Georgia" w:hAnsi="Georgia" w:cs="Georgia"/>
      <w:color w:val="0F2D3A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spacing w:after="360"/>
    </w:pPr>
    <w:rPr>
      <w:iCs/>
      <w:color w:val="6B7C85"/>
      <w:sz w:val="2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before="80" w:after="200" w:line="240" w:lineRule="auto"/>
    </w:pPr>
    <w:rPr>
      <w:bCs/>
      <w:i/>
      <w:color w:val="6B7C85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umisDestaque">
    <w:name w:val="Lumis Destaque"/>
    <w:basedOn w:val="Normal"/>
    <w:qFormat/>
    <w:pPr>
      <w:pBdr>
        <w:left w:val="single" w:sz="24" w:space="10" w:color="3DBE93"/>
      </w:pBdr>
      <w:shd w:val="clear" w:color="auto" w:fill="EEF7F3"/>
      <w:spacing w:before="120" w:after="200" w:line="300" w:lineRule="auto"/>
      <w:ind w:left="227"/>
    </w:pPr>
    <w:rPr>
      <w:rFonts w:ascii="Georgia" w:eastAsia="Georgia" w:hAnsi="Georgia" w:cs="Georgia"/>
      <w:i/>
      <w:color w:val="0F2D3A"/>
      <w:sz w:val="24"/>
    </w:rPr>
  </w:style>
  <w:style w:type="paragraph" w:customStyle="1" w:styleId="LumisRtulo">
    <w:name w:val="Lumis Rótulo"/>
    <w:basedOn w:val="Normal"/>
    <w:qFormat/>
    <w:pPr>
      <w:spacing w:after="40" w:line="240" w:lineRule="auto"/>
    </w:pPr>
    <w:rPr>
      <w:b/>
      <w:caps/>
      <w:color w:val="1E8C6B"/>
      <w:spacing w:val="30"/>
      <w:sz w:val="18"/>
    </w:rPr>
  </w:style>
  <w:style w:type="paragraph" w:customStyle="1" w:styleId="LumisTabela">
    <w:name w:val="Lumis Tabela"/>
    <w:basedOn w:val="Normal"/>
    <w:qFormat/>
    <w:pPr>
      <w:spacing w:before="40" w:after="40" w:line="240" w:lineRule="auto"/>
    </w:pPr>
    <w:rPr>
      <w:sz w:val="19"/>
    </w:rPr>
  </w:style>
  <w:style w:type="paragraph" w:customStyle="1" w:styleId="LumisNota">
    <w:name w:val="Lumis Nota"/>
    <w:basedOn w:val="Normal"/>
    <w:qFormat/>
    <w:pPr>
      <w:spacing w:after="80" w:line="264" w:lineRule="auto"/>
    </w:pPr>
    <w:rPr>
      <w:color w:val="6B7C85"/>
      <w:sz w:val="18"/>
    </w:rPr>
  </w:style>
  <w:style w:type="character" w:customStyle="1" w:styleId="TagFonte">
    <w:name w:val="Tag Fonte"/>
    <w:qFormat/>
    <w:rPr>
      <w:rFonts w:ascii="Calibri" w:eastAsia="Calibri" w:hAnsi="Calibri" w:cs="Calibri"/>
      <w:b/>
      <w:i w:val="0"/>
      <w:color w:val="1E8C6B"/>
      <w:sz w:val="18"/>
    </w:rPr>
  </w:style>
  <w:style w:type="character" w:customStyle="1" w:styleId="TagHiptese">
    <w:name w:val="Tag Hipótese"/>
    <w:qFormat/>
    <w:rPr>
      <w:rFonts w:ascii="Calibri" w:eastAsia="Calibri" w:hAnsi="Calibri" w:cs="Calibri"/>
      <w:b/>
      <w:i w:val="0"/>
      <w:color w:val="B7791F"/>
      <w:sz w:val="18"/>
    </w:rPr>
  </w:style>
  <w:style w:type="character" w:customStyle="1" w:styleId="TagNoconsta">
    <w:name w:val="Tag Não consta"/>
    <w:qFormat/>
    <w:rPr>
      <w:rFonts w:ascii="Calibri" w:eastAsia="Calibri" w:hAnsi="Calibri" w:cs="Calibri"/>
      <w:b/>
      <w:i w:val="0"/>
      <w:color w:val="6B7C85"/>
      <w:sz w:val="18"/>
    </w:rPr>
  </w:style>
  <w:style w:type="character" w:customStyle="1" w:styleId="TagRisco">
    <w:name w:val="Tag Risco"/>
    <w:qFormat/>
    <w:rPr>
      <w:rFonts w:ascii="Calibri" w:eastAsia="Calibri" w:hAnsi="Calibri" w:cs="Calibri"/>
      <w:b/>
      <w:i w:val="0"/>
      <w:color w:val="B4442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18e634b-b199-4895-acc5-74b71ba09e0e}" enabled="1" method="Privileged" siteId="{f794bc2f-feca-4593-a071-8f95587a749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3964</Words>
  <Characters>21409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Simon</cp:lastModifiedBy>
  <cp:revision>4</cp:revision>
  <dcterms:created xsi:type="dcterms:W3CDTF">2013-12-23T23:15:00Z</dcterms:created>
  <dcterms:modified xsi:type="dcterms:W3CDTF">2026-10-07T14:26:00Z</dcterms:modified>
  <cp:category/>
</cp:coreProperties>
</file>