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7572" w14:textId="77777777" w:rsidR="00FF24E5" w:rsidRPr="003E2268" w:rsidRDefault="00000000">
      <w:pPr>
        <w:pStyle w:val="Ttulo"/>
        <w:rPr>
          <w:lang w:val="pt-BR"/>
        </w:rPr>
      </w:pPr>
      <w:r w:rsidRPr="003E2268">
        <w:rPr>
          <w:lang w:val="pt-BR"/>
        </w:rPr>
        <w:t>Memorando ao conselho</w:t>
      </w:r>
    </w:p>
    <w:p w14:paraId="0680732E" w14:textId="77777777" w:rsidR="00FF24E5" w:rsidRPr="003E2268" w:rsidRDefault="00000000">
      <w:pPr>
        <w:pStyle w:val="Subttulo"/>
        <w:rPr>
          <w:lang w:val="pt-BR"/>
        </w:rPr>
      </w:pPr>
      <w:r w:rsidRPr="003E2268">
        <w:rPr>
          <w:lang w:val="pt-BR"/>
        </w:rPr>
        <w:t>Proposta do Vetor Capital: direção, riscos e condições prévias</w:t>
      </w:r>
    </w:p>
    <w:p w14:paraId="08CF5A3F" w14:textId="77777777" w:rsidR="00FF24E5" w:rsidRPr="003E2268" w:rsidRDefault="00000000">
      <w:pPr>
        <w:pStyle w:val="LumisTabela"/>
        <w:rPr>
          <w:lang w:val="pt-BR"/>
        </w:rPr>
      </w:pPr>
      <w:r w:rsidRPr="003E2268">
        <w:rPr>
          <w:b/>
          <w:lang w:val="pt-BR"/>
        </w:rPr>
        <w:t>Para:</w:t>
      </w:r>
      <w:r w:rsidRPr="003E2268">
        <w:rPr>
          <w:lang w:val="pt-BR"/>
        </w:rPr>
        <w:t xml:space="preserve"> Conselho da Lumis </w:t>
      </w:r>
      <w:proofErr w:type="spellStart"/>
      <w:r w:rsidRPr="003E2268">
        <w:rPr>
          <w:lang w:val="pt-BR"/>
        </w:rPr>
        <w:t>Intelligence</w:t>
      </w:r>
      <w:proofErr w:type="spellEnd"/>
    </w:p>
    <w:p w14:paraId="15C5CEA6" w14:textId="77777777" w:rsidR="00FF24E5" w:rsidRPr="003E2268" w:rsidRDefault="00000000">
      <w:pPr>
        <w:pStyle w:val="LumisTabela"/>
        <w:rPr>
          <w:lang w:val="pt-BR"/>
        </w:rPr>
      </w:pPr>
      <w:r w:rsidRPr="003E2268">
        <w:rPr>
          <w:b/>
          <w:lang w:val="pt-BR"/>
        </w:rPr>
        <w:t>De:</w:t>
      </w:r>
      <w:r w:rsidRPr="003E2268">
        <w:rPr>
          <w:lang w:val="pt-BR"/>
        </w:rPr>
        <w:t xml:space="preserve"> Head </w:t>
      </w:r>
      <w:proofErr w:type="spellStart"/>
      <w:r w:rsidRPr="003E2268">
        <w:rPr>
          <w:lang w:val="pt-BR"/>
        </w:rPr>
        <w:t>of</w:t>
      </w:r>
      <w:proofErr w:type="spellEnd"/>
      <w:r w:rsidRPr="003E2268">
        <w:rPr>
          <w:lang w:val="pt-BR"/>
        </w:rPr>
        <w:t xml:space="preserve"> AI Management, pela equipe: Bruno Müller, Diego Franca Evangelista, Felipe </w:t>
      </w:r>
      <w:proofErr w:type="spellStart"/>
      <w:r w:rsidRPr="003E2268">
        <w:rPr>
          <w:lang w:val="pt-BR"/>
        </w:rPr>
        <w:t>Alef</w:t>
      </w:r>
      <w:proofErr w:type="spellEnd"/>
      <w:r w:rsidRPr="003E2268">
        <w:rPr>
          <w:lang w:val="pt-BR"/>
        </w:rPr>
        <w:t>, Gustavo Halfen Simon e Maria Fernanda Barros</w:t>
      </w:r>
    </w:p>
    <w:p w14:paraId="60956CC7" w14:textId="77777777" w:rsidR="00FF24E5" w:rsidRPr="003E2268" w:rsidRDefault="00000000">
      <w:pPr>
        <w:pStyle w:val="LumisTabela"/>
        <w:rPr>
          <w:lang w:val="pt-BR"/>
        </w:rPr>
      </w:pPr>
      <w:r w:rsidRPr="003E2268">
        <w:rPr>
          <w:b/>
          <w:lang w:val="pt-BR"/>
        </w:rPr>
        <w:t>Data:</w:t>
      </w:r>
      <w:r w:rsidRPr="003E2268">
        <w:rPr>
          <w:lang w:val="pt-BR"/>
        </w:rPr>
        <w:t xml:space="preserve"> 08/10/2026</w:t>
      </w:r>
    </w:p>
    <w:p w14:paraId="5F7AEA27" w14:textId="77777777" w:rsidR="00FF24E5" w:rsidRPr="003E2268" w:rsidRDefault="00000000">
      <w:pPr>
        <w:pStyle w:val="LumisRtulo"/>
        <w:rPr>
          <w:lang w:val="pt-BR"/>
        </w:rPr>
      </w:pPr>
      <w:r w:rsidRPr="003E2268">
        <w:rPr>
          <w:lang w:val="pt-BR"/>
        </w:rPr>
        <w:t>Recomendação</w:t>
      </w:r>
    </w:p>
    <w:p w14:paraId="0975CE89" w14:textId="77777777" w:rsidR="00FF24E5" w:rsidRPr="003E2268" w:rsidRDefault="00000000" w:rsidP="00E30EBE">
      <w:pPr>
        <w:pStyle w:val="LumisDestaque"/>
        <w:jc w:val="both"/>
        <w:rPr>
          <w:lang w:val="pt-BR"/>
        </w:rPr>
      </w:pPr>
      <w:r w:rsidRPr="003E2268">
        <w:rPr>
          <w:lang w:val="pt-BR"/>
        </w:rPr>
        <w:t>Recomendamos aceitar o aporte do Vetor Capital com liberação por etapas, ligada a condições verificáveis: primeiro tornar o ativo defensável, crescer onde a Lumis já tem cliente e contratar em ondas; novos países e plataforma, só depois. Se o Vetor exigir países ou plataforma em produção antes das condições, recomendamos não aceitar o aporte nesses termos.</w:t>
      </w:r>
    </w:p>
    <w:p w14:paraId="0781149F" w14:textId="77777777" w:rsidR="00FF24E5" w:rsidRPr="003E2268" w:rsidRDefault="00000000" w:rsidP="00E30EBE">
      <w:pPr>
        <w:jc w:val="both"/>
        <w:rPr>
          <w:lang w:val="pt-BR"/>
        </w:rPr>
      </w:pPr>
      <w:r w:rsidRPr="003E2268">
        <w:rPr>
          <w:lang w:val="pt-BR"/>
        </w:rPr>
        <w:t xml:space="preserve">A proposta, R$ 120 milhões por 22%, avalia a Lumis em R$ 425,5 milhões antes do aporte, cerca de 10,3 vezes a receita recorrente anual, e vale por 60 dias. Recusá-la tem custo: no fim do 2º trimestre de 2026, a Lumis tinha caixa para 11,6 meses. </w:t>
      </w:r>
      <w:r w:rsidRPr="003E2268">
        <w:rPr>
          <w:b/>
          <w:lang w:val="pt-BR"/>
        </w:rPr>
        <w:t>Pedimos ao conselho</w:t>
      </w:r>
      <w:r w:rsidRPr="003E2268">
        <w:rPr>
          <w:lang w:val="pt-BR"/>
        </w:rPr>
        <w:t xml:space="preserve"> que aprove esta direção e a cláusula de saída para negociar com o Vetor, e que endosse a restrição imediata e as três recusas.</w:t>
      </w:r>
    </w:p>
    <w:p w14:paraId="7E00C9BC" w14:textId="77777777" w:rsidR="00FF24E5" w:rsidRPr="003E2268" w:rsidRDefault="00000000">
      <w:pPr>
        <w:pStyle w:val="Ttulo2"/>
        <w:rPr>
          <w:lang w:val="pt-BR"/>
        </w:rPr>
      </w:pPr>
      <w:r w:rsidRPr="003E2268">
        <w:rPr>
          <w:lang w:val="pt-BR"/>
        </w:rPr>
        <w:t>Por que essa direção</w:t>
      </w:r>
    </w:p>
    <w:p w14:paraId="7F48376A" w14:textId="77777777" w:rsidR="00FF24E5" w:rsidRPr="003E2268" w:rsidRDefault="00000000" w:rsidP="00E30EBE">
      <w:pPr>
        <w:jc w:val="both"/>
        <w:rPr>
          <w:lang w:val="pt-BR"/>
        </w:rPr>
      </w:pPr>
      <w:r w:rsidRPr="003E2268">
        <w:rPr>
          <w:lang w:val="pt-BR"/>
        </w:rPr>
        <w:t>Hoje o ativo da Lumis não passa numa auditoria independente. Dos dados de clientes, 35,4% têm autorização fraca ou nenhuma para treino, e o modelo deixa sem prioridade 31,8% dos idosos de CEP D/E que precisavam dela. Expandir agora levaria esses dois problemas a mais clientes e a outros países.</w:t>
      </w:r>
    </w:p>
    <w:p w14:paraId="1082E31C" w14:textId="77777777" w:rsidR="00FF24E5" w:rsidRPr="003E2268" w:rsidRDefault="00000000" w:rsidP="00E30EBE">
      <w:pPr>
        <w:jc w:val="both"/>
        <w:rPr>
          <w:lang w:val="pt-BR"/>
        </w:rPr>
      </w:pPr>
      <w:r w:rsidRPr="003E2268">
        <w:rPr>
          <w:lang w:val="pt-BR"/>
        </w:rPr>
        <w:t xml:space="preserve">O ativo que a Lumis precisa construir é o dado de desfecho com direito de uso limpo e a prova auditável de desempenho por grupo. O crescimento deve vir de hospitais e seguradoras médios no Brasil, que não têm time próprio de IA e por isso tendem a depender mais de fornecedores externos </w:t>
      </w:r>
      <w:r w:rsidRPr="003E2268">
        <w:rPr>
          <w:rStyle w:val="TagHiptese"/>
          <w:lang w:val="pt-BR"/>
        </w:rPr>
        <w:t>[hipótese]</w:t>
      </w:r>
      <w:r w:rsidRPr="003E2268">
        <w:rPr>
          <w:lang w:val="pt-BR"/>
        </w:rPr>
        <w:t>. A concorrente mais forte, a Aster Health, vende a IA como módulo do sistema que os hospitais já usam. Por isso ela não chega a seguradoras e bancos, que não usam esse sistema. Essas duas frentes somam 14 das 38 contas da Lumis, mais de um terço da carteira, e ali a Lumis não disputa espaço com a Aster.</w:t>
      </w:r>
    </w:p>
    <w:p w14:paraId="084F578E" w14:textId="77777777" w:rsidR="00FF24E5" w:rsidRPr="003E2268" w:rsidRDefault="00000000" w:rsidP="00E30EBE">
      <w:pPr>
        <w:jc w:val="both"/>
        <w:rPr>
          <w:lang w:val="pt-BR"/>
        </w:rPr>
      </w:pPr>
      <w:r w:rsidRPr="003E2268">
        <w:rPr>
          <w:lang w:val="pt-BR"/>
        </w:rPr>
        <w:t>Os bancos entram como exceção ao foco, com um limite. Para os cinco bancos que já são clientes, a Lumis pode desenvolver o novo módulo de risco de crédito, mas só em fase de teste. Nessa fase, o sistema analisa os pedidos em paralelo à equipe do banco e não decide nada. Ele só passa a ser usado de fato depois de provar que não prejudica nenhum grupo. Países e plataforma ficam para depois: o México é reavaliado ao fim de seis meses, e a plataforma tem só um teste de 1,0 mês-pessoa.</w:t>
      </w:r>
    </w:p>
    <w:p w14:paraId="66DEA6C5" w14:textId="77777777" w:rsidR="00FF24E5" w:rsidRDefault="00000000">
      <w:pPr>
        <w:pStyle w:val="Ttulo2"/>
      </w:pPr>
      <w:proofErr w:type="spellStart"/>
      <w:r>
        <w:t>Riscos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assumimos</w:t>
      </w:r>
      <w:proofErr w:type="spellEnd"/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5556"/>
        <w:gridCol w:w="1361"/>
        <w:gridCol w:w="2154"/>
      </w:tblGrid>
      <w:tr w:rsidR="00FF24E5" w14:paraId="3A88DD0C" w14:textId="77777777">
        <w:trPr>
          <w:cantSplit/>
          <w:tblHeader/>
          <w:jc w:val="center"/>
        </w:trPr>
        <w:tc>
          <w:tcPr>
            <w:tcW w:w="5556" w:type="dxa"/>
            <w:shd w:val="clear" w:color="auto" w:fill="0F2D3A"/>
          </w:tcPr>
          <w:p w14:paraId="06B0B8A6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Risco</w:t>
            </w:r>
          </w:p>
        </w:tc>
        <w:tc>
          <w:tcPr>
            <w:tcW w:w="1361" w:type="dxa"/>
            <w:shd w:val="clear" w:color="auto" w:fill="0F2D3A"/>
          </w:tcPr>
          <w:p w14:paraId="44A86D0E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Responde</w:t>
            </w:r>
          </w:p>
        </w:tc>
        <w:tc>
          <w:tcPr>
            <w:tcW w:w="2154" w:type="dxa"/>
            <w:shd w:val="clear" w:color="auto" w:fill="0F2D3A"/>
          </w:tcPr>
          <w:p w14:paraId="0C6C8722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Resposta</w:t>
            </w:r>
          </w:p>
        </w:tc>
      </w:tr>
      <w:tr w:rsidR="00FF24E5" w:rsidRPr="003E2268" w14:paraId="4320D17A" w14:textId="77777777">
        <w:trPr>
          <w:cantSplit/>
          <w:jc w:val="center"/>
        </w:trPr>
        <w:tc>
          <w:tcPr>
            <w:tcW w:w="5556" w:type="dxa"/>
            <w:shd w:val="clear" w:color="auto" w:fill="F1F6F4"/>
          </w:tcPr>
          <w:p w14:paraId="2F94E9F4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b/>
                <w:lang w:val="pt-BR"/>
              </w:rPr>
              <w:t>Perder espaço nos hospitais.</w:t>
            </w:r>
            <w:r w:rsidRPr="003E2268">
              <w:rPr>
                <w:lang w:val="pt-BR"/>
              </w:rPr>
              <w:t xml:space="preserve"> No semestre, 78% da capacidade técnica vai para corrigir o produto, e a Aster pode fechar com hospitais que a Lumis queria.</w:t>
            </w:r>
          </w:p>
        </w:tc>
        <w:tc>
          <w:tcPr>
            <w:tcW w:w="1361" w:type="dxa"/>
            <w:shd w:val="clear" w:color="auto" w:fill="F1F6F4"/>
          </w:tcPr>
          <w:p w14:paraId="7EE01240" w14:textId="77777777" w:rsidR="00FF24E5" w:rsidRDefault="00000000">
            <w:pPr>
              <w:pStyle w:val="LumisTabela"/>
            </w:pPr>
            <w:r>
              <w:t>CEO</w:t>
            </w:r>
          </w:p>
        </w:tc>
        <w:tc>
          <w:tcPr>
            <w:tcW w:w="2154" w:type="dxa"/>
            <w:shd w:val="clear" w:color="auto" w:fill="F1F6F4"/>
          </w:tcPr>
          <w:p w14:paraId="75290E91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Crescer em bancos e seguradoras; rever em seis meses</w:t>
            </w:r>
          </w:p>
        </w:tc>
      </w:tr>
      <w:tr w:rsidR="00FF24E5" w14:paraId="7F1C689E" w14:textId="77777777">
        <w:trPr>
          <w:cantSplit/>
          <w:jc w:val="center"/>
        </w:trPr>
        <w:tc>
          <w:tcPr>
            <w:tcW w:w="5556" w:type="dxa"/>
          </w:tcPr>
          <w:p w14:paraId="5D111873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b/>
                <w:lang w:val="pt-BR"/>
              </w:rPr>
              <w:lastRenderedPageBreak/>
              <w:t>Renunciar a receitas possíveis.</w:t>
            </w:r>
            <w:r w:rsidRPr="003E2268">
              <w:rPr>
                <w:lang w:val="pt-BR"/>
              </w:rPr>
              <w:t xml:space="preserve"> As três recusas (veterinário, agente de triagem e México) deixam de lado até R$ 11,3 mi em 12 meses, 57,4% da receita que o backlog promete.</w:t>
            </w:r>
          </w:p>
        </w:tc>
        <w:tc>
          <w:tcPr>
            <w:tcW w:w="1361" w:type="dxa"/>
          </w:tcPr>
          <w:p w14:paraId="73E3D987" w14:textId="77777777" w:rsidR="00FF24E5" w:rsidRDefault="00000000">
            <w:pPr>
              <w:pStyle w:val="LumisTabela"/>
            </w:pPr>
            <w:r>
              <w:t>CEO</w:t>
            </w:r>
          </w:p>
        </w:tc>
        <w:tc>
          <w:tcPr>
            <w:tcW w:w="2154" w:type="dxa"/>
          </w:tcPr>
          <w:p w14:paraId="071D0383" w14:textId="77777777" w:rsidR="00FF24E5" w:rsidRDefault="00000000">
            <w:pPr>
              <w:pStyle w:val="LumisTabela"/>
            </w:pPr>
            <w:r>
              <w:t>Rever em seis meses</w:t>
            </w:r>
          </w:p>
        </w:tc>
      </w:tr>
      <w:tr w:rsidR="00FF24E5" w:rsidRPr="003E2268" w14:paraId="47BF8C79" w14:textId="77777777">
        <w:trPr>
          <w:cantSplit/>
          <w:jc w:val="center"/>
        </w:trPr>
        <w:tc>
          <w:tcPr>
            <w:tcW w:w="5556" w:type="dxa"/>
            <w:shd w:val="clear" w:color="auto" w:fill="F1F6F4"/>
          </w:tcPr>
          <w:p w14:paraId="7FE65FCB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b/>
                <w:lang w:val="pt-BR"/>
              </w:rPr>
              <w:t>Sobrecarregar os hospitais.</w:t>
            </w:r>
            <w:r w:rsidRPr="003E2268">
              <w:rPr>
                <w:lang w:val="pt-BR"/>
              </w:rPr>
              <w:t xml:space="preserve"> Com a restrição para idosos de CEP C e D/E, cerca de 154 mil priorizações por mês (estimativa) voltam para a triagem feita pelas equipes dos hospitais.</w:t>
            </w:r>
          </w:p>
        </w:tc>
        <w:tc>
          <w:tcPr>
            <w:tcW w:w="1361" w:type="dxa"/>
            <w:shd w:val="clear" w:color="auto" w:fill="F1F6F4"/>
          </w:tcPr>
          <w:p w14:paraId="43F5EC40" w14:textId="77777777" w:rsidR="00FF24E5" w:rsidRDefault="00000000">
            <w:pPr>
              <w:pStyle w:val="LumisTabela"/>
            </w:pPr>
            <w:r>
              <w:t>Head of AI Management e CTO</w:t>
            </w:r>
          </w:p>
        </w:tc>
        <w:tc>
          <w:tcPr>
            <w:tcW w:w="2154" w:type="dxa"/>
            <w:shd w:val="clear" w:color="auto" w:fill="F1F6F4"/>
          </w:tcPr>
          <w:p w14:paraId="4C7536AE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Modelo em paralelo mede a correção; religar exige os dois</w:t>
            </w:r>
          </w:p>
        </w:tc>
      </w:tr>
      <w:tr w:rsidR="00FF24E5" w:rsidRPr="003E2268" w14:paraId="62B70B52" w14:textId="77777777">
        <w:trPr>
          <w:cantSplit/>
          <w:jc w:val="center"/>
        </w:trPr>
        <w:tc>
          <w:tcPr>
            <w:tcW w:w="5556" w:type="dxa"/>
          </w:tcPr>
          <w:p w14:paraId="1A7CE0F1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b/>
                <w:lang w:val="pt-BR"/>
              </w:rPr>
              <w:t>Perder dados de treino.</w:t>
            </w:r>
            <w:r w:rsidRPr="003E2268">
              <w:rPr>
                <w:lang w:val="pt-BR"/>
              </w:rPr>
              <w:t xml:space="preserve"> Se a renegociação com a Prisma e o Vila Ipê falhar, a Lumis retira 35,4% dos dados de clientes e retreina o modelo; a multa da LGPD vai até 2% do faturamento, limitada a R$ 50 mi.</w:t>
            </w:r>
          </w:p>
        </w:tc>
        <w:tc>
          <w:tcPr>
            <w:tcW w:w="1361" w:type="dxa"/>
          </w:tcPr>
          <w:p w14:paraId="43CE2F01" w14:textId="77777777" w:rsidR="00FF24E5" w:rsidRDefault="00000000">
            <w:pPr>
              <w:pStyle w:val="LumisTabela"/>
            </w:pPr>
            <w:r>
              <w:t>DPO</w:t>
            </w:r>
          </w:p>
        </w:tc>
        <w:tc>
          <w:tcPr>
            <w:tcW w:w="2154" w:type="dxa"/>
          </w:tcPr>
          <w:p w14:paraId="57EE0EB5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Rastrear a origem e retirar só o dado sem autorização</w:t>
            </w:r>
          </w:p>
        </w:tc>
      </w:tr>
      <w:tr w:rsidR="00FF24E5" w:rsidRPr="003E2268" w14:paraId="643E3DC2" w14:textId="77777777">
        <w:trPr>
          <w:cantSplit/>
          <w:jc w:val="center"/>
        </w:trPr>
        <w:tc>
          <w:tcPr>
            <w:tcW w:w="5556" w:type="dxa"/>
            <w:shd w:val="clear" w:color="auto" w:fill="F1F6F4"/>
          </w:tcPr>
          <w:p w14:paraId="233A3344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b/>
                <w:lang w:val="pt-BR"/>
              </w:rPr>
              <w:t>Crescer o time mais devagar.</w:t>
            </w:r>
            <w:r w:rsidRPr="003E2268">
              <w:rPr>
                <w:lang w:val="pt-BR"/>
              </w:rPr>
              <w:t xml:space="preserve"> Contratar em ondas é mais lento do que o Vetor propõe, e o Responsável por Dados participa de quase todas as decisões do funil, com 27% de rotatividade no time.</w:t>
            </w:r>
          </w:p>
        </w:tc>
        <w:tc>
          <w:tcPr>
            <w:tcW w:w="1361" w:type="dxa"/>
            <w:shd w:val="clear" w:color="auto" w:fill="F1F6F4"/>
          </w:tcPr>
          <w:p w14:paraId="0ACD6F74" w14:textId="77777777" w:rsidR="00FF24E5" w:rsidRDefault="00000000">
            <w:pPr>
              <w:pStyle w:val="LumisTabela"/>
              <w:keepNext/>
            </w:pPr>
            <w:r>
              <w:t>CEO e CTO</w:t>
            </w:r>
          </w:p>
        </w:tc>
        <w:tc>
          <w:tcPr>
            <w:tcW w:w="2154" w:type="dxa"/>
            <w:shd w:val="clear" w:color="auto" w:fill="F1F6F4"/>
          </w:tcPr>
          <w:p w14:paraId="06396E04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lang w:val="pt-BR"/>
              </w:rPr>
              <w:t>Rever em 01/2027; nomear substituto para o Responsável por Dados</w:t>
            </w:r>
          </w:p>
        </w:tc>
      </w:tr>
    </w:tbl>
    <w:p w14:paraId="42D41F0E" w14:textId="77777777" w:rsidR="00FF24E5" w:rsidRPr="003E2268" w:rsidRDefault="00000000">
      <w:pPr>
        <w:pStyle w:val="Legenda"/>
        <w:rPr>
          <w:lang w:val="pt-BR"/>
        </w:rPr>
      </w:pPr>
      <w:r w:rsidRPr="003E2268">
        <w:rPr>
          <w:lang w:val="pt-BR"/>
        </w:rPr>
        <w:t>Tabela 1. Riscos assumidos, com o cargo que responde por cada um.</w:t>
      </w:r>
    </w:p>
    <w:p w14:paraId="5EB84549" w14:textId="77777777" w:rsidR="00FF24E5" w:rsidRDefault="00000000">
      <w:pPr>
        <w:pStyle w:val="Ttulo2"/>
      </w:pPr>
      <w:proofErr w:type="spellStart"/>
      <w:r>
        <w:t>Condições</w:t>
      </w:r>
      <w:proofErr w:type="spellEnd"/>
      <w:r>
        <w:t xml:space="preserve"> </w:t>
      </w:r>
      <w:proofErr w:type="spellStart"/>
      <w:r>
        <w:t>prévias</w:t>
      </w:r>
      <w:proofErr w:type="spellEnd"/>
    </w:p>
    <w:tbl>
      <w:tblPr>
        <w:tblW w:w="0" w:type="auto"/>
        <w:jc w:val="center"/>
        <w:tblBorders>
          <w:top w:val="single" w:sz="4" w:space="0" w:color="D3DEDB"/>
          <w:bottom w:val="single" w:sz="4" w:space="0" w:color="D3DEDB"/>
          <w:insideH w:val="single" w:sz="4" w:space="0" w:color="D3DEDB"/>
        </w:tblBorders>
        <w:tblLayout w:type="fixed"/>
        <w:tblLook w:val="04A0" w:firstRow="1" w:lastRow="0" w:firstColumn="1" w:lastColumn="0" w:noHBand="0" w:noVBand="1"/>
      </w:tblPr>
      <w:tblGrid>
        <w:gridCol w:w="5272"/>
        <w:gridCol w:w="2438"/>
        <w:gridCol w:w="1361"/>
      </w:tblGrid>
      <w:tr w:rsidR="00FF24E5" w14:paraId="4D5726D4" w14:textId="77777777">
        <w:trPr>
          <w:cantSplit/>
          <w:tblHeader/>
          <w:jc w:val="center"/>
        </w:trPr>
        <w:tc>
          <w:tcPr>
            <w:tcW w:w="5272" w:type="dxa"/>
            <w:shd w:val="clear" w:color="auto" w:fill="0F2D3A"/>
          </w:tcPr>
          <w:p w14:paraId="5E46DC42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Condição</w:t>
            </w:r>
          </w:p>
        </w:tc>
        <w:tc>
          <w:tcPr>
            <w:tcW w:w="2438" w:type="dxa"/>
            <w:shd w:val="clear" w:color="auto" w:fill="0F2D3A"/>
          </w:tcPr>
          <w:p w14:paraId="5F7CA88A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Responsável</w:t>
            </w:r>
          </w:p>
        </w:tc>
        <w:tc>
          <w:tcPr>
            <w:tcW w:w="1361" w:type="dxa"/>
            <w:shd w:val="clear" w:color="auto" w:fill="0F2D3A"/>
          </w:tcPr>
          <w:p w14:paraId="4C5AAACC" w14:textId="77777777" w:rsidR="00FF24E5" w:rsidRDefault="00000000">
            <w:pPr>
              <w:pStyle w:val="LumisTabela"/>
              <w:keepNext/>
            </w:pPr>
            <w:r>
              <w:rPr>
                <w:b/>
                <w:color w:val="FFFFFF"/>
              </w:rPr>
              <w:t>Prazo</w:t>
            </w:r>
          </w:p>
        </w:tc>
      </w:tr>
      <w:tr w:rsidR="00FF24E5" w:rsidRPr="003E2268" w14:paraId="075FBC0F" w14:textId="77777777">
        <w:trPr>
          <w:cantSplit/>
          <w:jc w:val="center"/>
        </w:trPr>
        <w:tc>
          <w:tcPr>
            <w:tcW w:w="9071" w:type="dxa"/>
            <w:gridSpan w:val="3"/>
            <w:shd w:val="clear" w:color="auto" w:fill="EEF7F3"/>
          </w:tcPr>
          <w:p w14:paraId="2379813D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b/>
                <w:color w:val="1E8C6B"/>
                <w:lang w:val="pt-BR"/>
              </w:rPr>
              <w:t>Antes de fechar com o Vetor</w:t>
            </w:r>
          </w:p>
        </w:tc>
      </w:tr>
      <w:tr w:rsidR="00FF24E5" w14:paraId="6537A64D" w14:textId="77777777">
        <w:trPr>
          <w:cantSplit/>
          <w:jc w:val="center"/>
        </w:trPr>
        <w:tc>
          <w:tcPr>
            <w:tcW w:w="5272" w:type="dxa"/>
          </w:tcPr>
          <w:p w14:paraId="7EBE3614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1. Restringir a recomendação automática para idosos de CEP C e D/E, com o modelo em paralelo</w:t>
            </w:r>
          </w:p>
        </w:tc>
        <w:tc>
          <w:tcPr>
            <w:tcW w:w="2438" w:type="dxa"/>
          </w:tcPr>
          <w:p w14:paraId="622DAB07" w14:textId="77777777" w:rsidR="00FF24E5" w:rsidRDefault="00000000">
            <w:pPr>
              <w:pStyle w:val="LumisTabela"/>
            </w:pPr>
            <w:r>
              <w:t>Head of AI Management e CTO</w:t>
            </w:r>
          </w:p>
        </w:tc>
        <w:tc>
          <w:tcPr>
            <w:tcW w:w="1361" w:type="dxa"/>
          </w:tcPr>
          <w:p w14:paraId="0D071EDC" w14:textId="77777777" w:rsidR="00FF24E5" w:rsidRDefault="00000000">
            <w:pPr>
              <w:pStyle w:val="LumisTabela"/>
            </w:pPr>
            <w:r>
              <w:t>Já</w:t>
            </w:r>
          </w:p>
        </w:tc>
      </w:tr>
      <w:tr w:rsidR="00FF24E5" w14:paraId="473CC4FF" w14:textId="77777777">
        <w:trPr>
          <w:cantSplit/>
          <w:jc w:val="center"/>
        </w:trPr>
        <w:tc>
          <w:tcPr>
            <w:tcW w:w="5272" w:type="dxa"/>
            <w:shd w:val="clear" w:color="auto" w:fill="F1F6F4"/>
          </w:tcPr>
          <w:p w14:paraId="22F3C3A6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2. Retirar ou tornar auditáveis as cinco afirmações do painel comercial, com o resultado de campo por grupo</w:t>
            </w:r>
          </w:p>
        </w:tc>
        <w:tc>
          <w:tcPr>
            <w:tcW w:w="2438" w:type="dxa"/>
            <w:shd w:val="clear" w:color="auto" w:fill="F1F6F4"/>
          </w:tcPr>
          <w:p w14:paraId="7CA56B74" w14:textId="77777777" w:rsidR="00FF24E5" w:rsidRDefault="00000000">
            <w:pPr>
              <w:pStyle w:val="LumisTabela"/>
            </w:pPr>
            <w:r>
              <w:t>Head of AI Management; Responsável Comercial</w:t>
            </w:r>
          </w:p>
        </w:tc>
        <w:tc>
          <w:tcPr>
            <w:tcW w:w="1361" w:type="dxa"/>
            <w:shd w:val="clear" w:color="auto" w:fill="F1F6F4"/>
          </w:tcPr>
          <w:p w14:paraId="71182B29" w14:textId="77777777" w:rsidR="00FF24E5" w:rsidRDefault="00000000">
            <w:pPr>
              <w:pStyle w:val="LumisTabela"/>
            </w:pPr>
            <w:r>
              <w:t>30 dias</w:t>
            </w:r>
          </w:p>
        </w:tc>
      </w:tr>
      <w:tr w:rsidR="00FF24E5" w:rsidRPr="003E2268" w14:paraId="764CEA3D" w14:textId="77777777">
        <w:trPr>
          <w:cantSplit/>
          <w:jc w:val="center"/>
        </w:trPr>
        <w:tc>
          <w:tcPr>
            <w:tcW w:w="5272" w:type="dxa"/>
          </w:tcPr>
          <w:p w14:paraId="015E4348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3. Aprovar a linha de responsabilidade e testar a suspensão do sistema por cliente e por grupo, com teto de 48 horas</w:t>
            </w:r>
          </w:p>
        </w:tc>
        <w:tc>
          <w:tcPr>
            <w:tcW w:w="2438" w:type="dxa"/>
          </w:tcPr>
          <w:p w14:paraId="1847D010" w14:textId="77777777" w:rsidR="00FF24E5" w:rsidRDefault="00000000">
            <w:pPr>
              <w:pStyle w:val="LumisTabela"/>
            </w:pPr>
            <w:r>
              <w:t xml:space="preserve">CEO </w:t>
            </w:r>
            <w:proofErr w:type="spellStart"/>
            <w:r>
              <w:t>aprova</w:t>
            </w:r>
            <w:proofErr w:type="spellEnd"/>
            <w:r>
              <w:t>; Head of AI Management e CTO testam</w:t>
            </w:r>
          </w:p>
        </w:tc>
        <w:tc>
          <w:tcPr>
            <w:tcW w:w="1361" w:type="dxa"/>
          </w:tcPr>
          <w:p w14:paraId="1605C46B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30 dias e a cada trimestre</w:t>
            </w:r>
          </w:p>
        </w:tc>
      </w:tr>
      <w:tr w:rsidR="00FF24E5" w14:paraId="42B04491" w14:textId="77777777">
        <w:trPr>
          <w:cantSplit/>
          <w:jc w:val="center"/>
        </w:trPr>
        <w:tc>
          <w:tcPr>
            <w:tcW w:w="5272" w:type="dxa"/>
            <w:shd w:val="clear" w:color="auto" w:fill="F1F6F4"/>
          </w:tcPr>
          <w:p w14:paraId="7FC3128A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4. Instalar a mesa de campo quinzenal, que cruza o erro por grupo com as reclamações</w:t>
            </w:r>
          </w:p>
        </w:tc>
        <w:tc>
          <w:tcPr>
            <w:tcW w:w="2438" w:type="dxa"/>
            <w:shd w:val="clear" w:color="auto" w:fill="F1F6F4"/>
          </w:tcPr>
          <w:p w14:paraId="79AB41C6" w14:textId="77777777" w:rsidR="00FF24E5" w:rsidRDefault="00000000">
            <w:pPr>
              <w:pStyle w:val="LumisTabela"/>
            </w:pP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</w:p>
        </w:tc>
        <w:tc>
          <w:tcPr>
            <w:tcW w:w="1361" w:type="dxa"/>
            <w:shd w:val="clear" w:color="auto" w:fill="F1F6F4"/>
          </w:tcPr>
          <w:p w14:paraId="3A073CB2" w14:textId="77777777" w:rsidR="00FF24E5" w:rsidRDefault="00000000">
            <w:pPr>
              <w:pStyle w:val="LumisTabela"/>
            </w:pPr>
            <w:r>
              <w:t>15 dias</w:t>
            </w:r>
          </w:p>
        </w:tc>
      </w:tr>
      <w:tr w:rsidR="00FF24E5" w14:paraId="5B3FF640" w14:textId="77777777">
        <w:trPr>
          <w:cantSplit/>
          <w:jc w:val="center"/>
        </w:trPr>
        <w:tc>
          <w:tcPr>
            <w:tcW w:w="5272" w:type="dxa"/>
          </w:tcPr>
          <w:p w14:paraId="7F434896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5. Parecer sobre os seis instrumentos de dados; registro sem base legal sai do treino</w:t>
            </w:r>
          </w:p>
        </w:tc>
        <w:tc>
          <w:tcPr>
            <w:tcW w:w="2438" w:type="dxa"/>
          </w:tcPr>
          <w:p w14:paraId="5344A17F" w14:textId="77777777" w:rsidR="00FF24E5" w:rsidRDefault="00000000">
            <w:pPr>
              <w:pStyle w:val="LumisTabela"/>
            </w:pPr>
            <w:r>
              <w:t>DPO</w:t>
            </w:r>
          </w:p>
        </w:tc>
        <w:tc>
          <w:tcPr>
            <w:tcW w:w="1361" w:type="dxa"/>
          </w:tcPr>
          <w:p w14:paraId="0AF45A7C" w14:textId="77777777" w:rsidR="00FF24E5" w:rsidRDefault="00000000">
            <w:pPr>
              <w:pStyle w:val="LumisTabela"/>
            </w:pPr>
            <w:r>
              <w:t>Próximo treino</w:t>
            </w:r>
          </w:p>
        </w:tc>
      </w:tr>
      <w:tr w:rsidR="00FF24E5" w:rsidRPr="003E2268" w14:paraId="31519A51" w14:textId="77777777">
        <w:trPr>
          <w:cantSplit/>
          <w:jc w:val="center"/>
        </w:trPr>
        <w:tc>
          <w:tcPr>
            <w:tcW w:w="9071" w:type="dxa"/>
            <w:gridSpan w:val="3"/>
            <w:shd w:val="clear" w:color="auto" w:fill="EEF7F3"/>
          </w:tcPr>
          <w:p w14:paraId="3FD6DFB9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b/>
                <w:color w:val="1E8C6B"/>
                <w:lang w:val="pt-BR"/>
              </w:rPr>
              <w:t>Antes do vencimento dos contratos</w:t>
            </w:r>
          </w:p>
        </w:tc>
      </w:tr>
      <w:tr w:rsidR="00FF24E5" w14:paraId="189E9688" w14:textId="77777777">
        <w:trPr>
          <w:cantSplit/>
          <w:jc w:val="center"/>
        </w:trPr>
        <w:tc>
          <w:tcPr>
            <w:tcW w:w="5272" w:type="dxa"/>
          </w:tcPr>
          <w:p w14:paraId="2299F4A9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6. Aditivos de direito de uso com a Seguradora Prisma e o Hospital Vila Ipê, incluindo o histórico</w:t>
            </w:r>
          </w:p>
        </w:tc>
        <w:tc>
          <w:tcPr>
            <w:tcW w:w="2438" w:type="dxa"/>
          </w:tcPr>
          <w:p w14:paraId="074BCC11" w14:textId="77777777" w:rsidR="00FF24E5" w:rsidRDefault="00000000">
            <w:pPr>
              <w:pStyle w:val="LumisTabela"/>
            </w:pPr>
            <w:r>
              <w:t>DPO</w:t>
            </w:r>
          </w:p>
        </w:tc>
        <w:tc>
          <w:tcPr>
            <w:tcW w:w="1361" w:type="dxa"/>
          </w:tcPr>
          <w:p w14:paraId="01E06565" w14:textId="77777777" w:rsidR="00FF24E5" w:rsidRDefault="00000000">
            <w:pPr>
              <w:pStyle w:val="LumisTabela"/>
            </w:pPr>
            <w:r>
              <w:t>12/2026 e 03/2027</w:t>
            </w:r>
          </w:p>
        </w:tc>
      </w:tr>
      <w:tr w:rsidR="00FF24E5" w:rsidRPr="003E2268" w14:paraId="328F4F3A" w14:textId="77777777">
        <w:trPr>
          <w:cantSplit/>
          <w:jc w:val="center"/>
        </w:trPr>
        <w:tc>
          <w:tcPr>
            <w:tcW w:w="9071" w:type="dxa"/>
            <w:gridSpan w:val="3"/>
            <w:shd w:val="clear" w:color="auto" w:fill="EEF7F3"/>
          </w:tcPr>
          <w:p w14:paraId="170193C9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b/>
                <w:color w:val="1E8C6B"/>
                <w:lang w:val="pt-BR"/>
              </w:rPr>
              <w:t>Antes de cada frente nova (país, plataforma ou crédito em uso real)</w:t>
            </w:r>
          </w:p>
        </w:tc>
      </w:tr>
      <w:tr w:rsidR="00FF24E5" w14:paraId="60F85163" w14:textId="77777777">
        <w:trPr>
          <w:cantSplit/>
          <w:jc w:val="center"/>
        </w:trPr>
        <w:tc>
          <w:tcPr>
            <w:tcW w:w="5272" w:type="dxa"/>
          </w:tcPr>
          <w:p w14:paraId="3EDF294E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7. Política de privacidade para dados de saúde aprovada</w:t>
            </w:r>
          </w:p>
        </w:tc>
        <w:tc>
          <w:tcPr>
            <w:tcW w:w="2438" w:type="dxa"/>
          </w:tcPr>
          <w:p w14:paraId="124068E2" w14:textId="77777777" w:rsidR="00FF24E5" w:rsidRDefault="00000000">
            <w:pPr>
              <w:pStyle w:val="LumisTabela"/>
            </w:pPr>
            <w:r>
              <w:t>DPO</w:t>
            </w:r>
          </w:p>
        </w:tc>
        <w:tc>
          <w:tcPr>
            <w:tcW w:w="1361" w:type="dxa"/>
          </w:tcPr>
          <w:p w14:paraId="4C046DE2" w14:textId="77777777" w:rsidR="00FF24E5" w:rsidRDefault="00000000">
            <w:pPr>
              <w:pStyle w:val="LumisTabela"/>
            </w:pPr>
            <w:r>
              <w:t>Na entrada</w:t>
            </w:r>
          </w:p>
        </w:tc>
      </w:tr>
      <w:tr w:rsidR="00FF24E5" w14:paraId="0A0466D2" w14:textId="77777777">
        <w:trPr>
          <w:cantSplit/>
          <w:jc w:val="center"/>
        </w:trPr>
        <w:tc>
          <w:tcPr>
            <w:tcW w:w="5272" w:type="dxa"/>
            <w:shd w:val="clear" w:color="auto" w:fill="F1F6F4"/>
          </w:tcPr>
          <w:p w14:paraId="31573E73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8. Erro por grupo no Brasil até 2 vezes o do melhor grupo, já publicado na métrica pública</w:t>
            </w:r>
          </w:p>
        </w:tc>
        <w:tc>
          <w:tcPr>
            <w:tcW w:w="2438" w:type="dxa"/>
            <w:shd w:val="clear" w:color="auto" w:fill="F1F6F4"/>
          </w:tcPr>
          <w:p w14:paraId="7B038270" w14:textId="77777777" w:rsidR="00FF24E5" w:rsidRDefault="00000000">
            <w:pPr>
              <w:pStyle w:val="LumisTabela"/>
            </w:pPr>
            <w:r>
              <w:t>Head of AI Management</w:t>
            </w:r>
          </w:p>
        </w:tc>
        <w:tc>
          <w:tcPr>
            <w:tcW w:w="1361" w:type="dxa"/>
            <w:shd w:val="clear" w:color="auto" w:fill="F1F6F4"/>
          </w:tcPr>
          <w:p w14:paraId="50AFF986" w14:textId="77777777" w:rsidR="00FF24E5" w:rsidRDefault="00000000">
            <w:pPr>
              <w:pStyle w:val="LumisTabela"/>
            </w:pPr>
            <w:r>
              <w:t>Na entrada</w:t>
            </w:r>
          </w:p>
        </w:tc>
      </w:tr>
      <w:tr w:rsidR="00FF24E5" w14:paraId="60B91584" w14:textId="77777777">
        <w:trPr>
          <w:cantSplit/>
          <w:jc w:val="center"/>
        </w:trPr>
        <w:tc>
          <w:tcPr>
            <w:tcW w:w="5272" w:type="dxa"/>
          </w:tcPr>
          <w:p w14:paraId="65E9314C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9. Validação local por grupo, com amostra suficiente, e lei de dados do país conferida</w:t>
            </w:r>
          </w:p>
        </w:tc>
        <w:tc>
          <w:tcPr>
            <w:tcW w:w="2438" w:type="dxa"/>
          </w:tcPr>
          <w:p w14:paraId="3E15147D" w14:textId="77777777" w:rsidR="00FF24E5" w:rsidRDefault="00000000">
            <w:pPr>
              <w:pStyle w:val="LumisTabela"/>
            </w:pP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Dados; DPO</w:t>
            </w:r>
          </w:p>
        </w:tc>
        <w:tc>
          <w:tcPr>
            <w:tcW w:w="1361" w:type="dxa"/>
          </w:tcPr>
          <w:p w14:paraId="49BFDE1F" w14:textId="77777777" w:rsidR="00FF24E5" w:rsidRDefault="00000000">
            <w:pPr>
              <w:pStyle w:val="LumisTabela"/>
            </w:pPr>
            <w:r>
              <w:t>Na entrada</w:t>
            </w:r>
          </w:p>
        </w:tc>
      </w:tr>
      <w:tr w:rsidR="00FF24E5" w14:paraId="52FA122C" w14:textId="77777777">
        <w:trPr>
          <w:cantSplit/>
          <w:jc w:val="center"/>
        </w:trPr>
        <w:tc>
          <w:tcPr>
            <w:tcW w:w="5272" w:type="dxa"/>
            <w:shd w:val="clear" w:color="auto" w:fill="F1F6F4"/>
          </w:tcPr>
          <w:p w14:paraId="377B4305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10. Relatório de impacto à proteção de dados da plataforma e de cada país</w:t>
            </w:r>
          </w:p>
        </w:tc>
        <w:tc>
          <w:tcPr>
            <w:tcW w:w="2438" w:type="dxa"/>
            <w:shd w:val="clear" w:color="auto" w:fill="F1F6F4"/>
          </w:tcPr>
          <w:p w14:paraId="0EC6D709" w14:textId="77777777" w:rsidR="00FF24E5" w:rsidRDefault="00000000">
            <w:pPr>
              <w:pStyle w:val="LumisTabela"/>
            </w:pPr>
            <w:r>
              <w:t>DPO</w:t>
            </w:r>
          </w:p>
        </w:tc>
        <w:tc>
          <w:tcPr>
            <w:tcW w:w="1361" w:type="dxa"/>
            <w:shd w:val="clear" w:color="auto" w:fill="F1F6F4"/>
          </w:tcPr>
          <w:p w14:paraId="7D341AEE" w14:textId="77777777" w:rsidR="00FF24E5" w:rsidRDefault="00000000">
            <w:pPr>
              <w:pStyle w:val="LumisTabela"/>
            </w:pPr>
            <w:r>
              <w:t>Na entrada</w:t>
            </w:r>
          </w:p>
        </w:tc>
      </w:tr>
      <w:tr w:rsidR="00FF24E5" w14:paraId="3DA4A408" w14:textId="77777777">
        <w:trPr>
          <w:cantSplit/>
          <w:jc w:val="center"/>
        </w:trPr>
        <w:tc>
          <w:tcPr>
            <w:tcW w:w="5272" w:type="dxa"/>
          </w:tcPr>
          <w:p w14:paraId="5E98099C" w14:textId="77777777" w:rsidR="00FF24E5" w:rsidRPr="003E2268" w:rsidRDefault="00000000">
            <w:pPr>
              <w:pStyle w:val="LumisTabela"/>
              <w:rPr>
                <w:lang w:val="pt-BR"/>
              </w:rPr>
            </w:pPr>
            <w:r w:rsidRPr="003E2268">
              <w:rPr>
                <w:lang w:val="pt-BR"/>
              </w:rPr>
              <w:t>11. No crédito, dado de saúde fora do modelo e aprovação por faixa de CEP de pelo menos 80% da melhor</w:t>
            </w:r>
          </w:p>
        </w:tc>
        <w:tc>
          <w:tcPr>
            <w:tcW w:w="2438" w:type="dxa"/>
          </w:tcPr>
          <w:p w14:paraId="09B58788" w14:textId="77777777" w:rsidR="00FF24E5" w:rsidRDefault="00000000">
            <w:pPr>
              <w:pStyle w:val="LumisTabela"/>
            </w:pPr>
            <w:r>
              <w:t xml:space="preserve">DPO; </w:t>
            </w:r>
            <w:proofErr w:type="spellStart"/>
            <w:r>
              <w:t>Responsável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Dados</w:t>
            </w:r>
          </w:p>
        </w:tc>
        <w:tc>
          <w:tcPr>
            <w:tcW w:w="1361" w:type="dxa"/>
          </w:tcPr>
          <w:p w14:paraId="141D286D" w14:textId="77777777" w:rsidR="00FF24E5" w:rsidRDefault="00000000">
            <w:pPr>
              <w:pStyle w:val="LumisTabela"/>
            </w:pPr>
            <w:r>
              <w:t>Na entrada</w:t>
            </w:r>
          </w:p>
        </w:tc>
      </w:tr>
      <w:tr w:rsidR="00FF24E5" w14:paraId="2AE7FC4F" w14:textId="77777777">
        <w:trPr>
          <w:cantSplit/>
          <w:jc w:val="center"/>
        </w:trPr>
        <w:tc>
          <w:tcPr>
            <w:tcW w:w="5272" w:type="dxa"/>
            <w:shd w:val="clear" w:color="auto" w:fill="F1F6F4"/>
          </w:tcPr>
          <w:p w14:paraId="703596DA" w14:textId="77777777" w:rsidR="00FF24E5" w:rsidRPr="003E2268" w:rsidRDefault="00000000">
            <w:pPr>
              <w:pStyle w:val="LumisTabela"/>
              <w:keepNext/>
              <w:rPr>
                <w:lang w:val="pt-BR"/>
              </w:rPr>
            </w:pPr>
            <w:r w:rsidRPr="003E2268">
              <w:rPr>
                <w:lang w:val="pt-BR"/>
              </w:rPr>
              <w:t xml:space="preserve">12. Teste em paralelo, sem decidir, até quatro leituras quinzenais com o pior grupo até 1,5 vez o melhor; especialista do setor nomeado; suspensão testada. A entrada é decisão da CEO, com parecer do Head </w:t>
            </w:r>
            <w:proofErr w:type="spellStart"/>
            <w:r w:rsidRPr="003E2268">
              <w:rPr>
                <w:lang w:val="pt-BR"/>
              </w:rPr>
              <w:t>of</w:t>
            </w:r>
            <w:proofErr w:type="spellEnd"/>
            <w:r w:rsidRPr="003E2268">
              <w:rPr>
                <w:lang w:val="pt-BR"/>
              </w:rPr>
              <w:t xml:space="preserve"> AI Management e da DPO</w:t>
            </w:r>
          </w:p>
        </w:tc>
        <w:tc>
          <w:tcPr>
            <w:tcW w:w="2438" w:type="dxa"/>
            <w:shd w:val="clear" w:color="auto" w:fill="F1F6F4"/>
          </w:tcPr>
          <w:p w14:paraId="52E92221" w14:textId="77777777" w:rsidR="00FF24E5" w:rsidRDefault="00000000">
            <w:pPr>
              <w:pStyle w:val="LumisTabela"/>
              <w:keepNext/>
            </w:pPr>
            <w:r>
              <w:t>CEO</w:t>
            </w:r>
          </w:p>
        </w:tc>
        <w:tc>
          <w:tcPr>
            <w:tcW w:w="1361" w:type="dxa"/>
            <w:shd w:val="clear" w:color="auto" w:fill="F1F6F4"/>
          </w:tcPr>
          <w:p w14:paraId="54CF2C6C" w14:textId="77777777" w:rsidR="00FF24E5" w:rsidRDefault="00000000">
            <w:pPr>
              <w:pStyle w:val="LumisTabela"/>
              <w:keepNext/>
            </w:pPr>
            <w:r>
              <w:t>Na entrada</w:t>
            </w:r>
          </w:p>
        </w:tc>
      </w:tr>
    </w:tbl>
    <w:p w14:paraId="20C72AB5" w14:textId="77777777" w:rsidR="00FF24E5" w:rsidRPr="003E2268" w:rsidRDefault="00000000">
      <w:pPr>
        <w:pStyle w:val="Legenda"/>
        <w:rPr>
          <w:lang w:val="pt-BR"/>
        </w:rPr>
      </w:pPr>
      <w:r w:rsidRPr="003E2268">
        <w:rPr>
          <w:lang w:val="pt-BR"/>
        </w:rPr>
        <w:t>Tabela 2. Condições prévias propostas pela equipe.</w:t>
      </w:r>
    </w:p>
    <w:p w14:paraId="13BE2A96" w14:textId="77777777" w:rsidR="00FF24E5" w:rsidRPr="003E2268" w:rsidRDefault="00000000">
      <w:pPr>
        <w:pStyle w:val="LumisNota"/>
        <w:rPr>
          <w:lang w:val="pt-BR"/>
        </w:rPr>
      </w:pPr>
      <w:r w:rsidRPr="003E2268">
        <w:rPr>
          <w:lang w:val="pt-BR"/>
        </w:rPr>
        <w:t>Números: Cap. 2, Anexo A. Metas, limites, prazos e cargos são propostas da equipe; detalhe e fontes no dossiê da Fase 2.</w:t>
      </w:r>
    </w:p>
    <w:sectPr w:rsidR="00FF24E5" w:rsidRPr="003E226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D3C4" w14:textId="77777777" w:rsidR="00E60BA2" w:rsidRDefault="00E60BA2">
      <w:pPr>
        <w:spacing w:after="0" w:line="240" w:lineRule="auto"/>
      </w:pPr>
      <w:r>
        <w:separator/>
      </w:r>
    </w:p>
  </w:endnote>
  <w:endnote w:type="continuationSeparator" w:id="0">
    <w:p w14:paraId="5DDBC308" w14:textId="77777777" w:rsidR="00E60BA2" w:rsidRDefault="00E60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5A6DE" w14:textId="77777777" w:rsidR="00E30EBE" w:rsidRDefault="00E30E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B42F7" w14:textId="77777777" w:rsidR="00FF24E5" w:rsidRPr="003E2268" w:rsidRDefault="00000000">
    <w:pPr>
      <w:pStyle w:val="Rodap"/>
      <w:jc w:val="right"/>
      <w:rPr>
        <w:lang w:val="pt-BR"/>
      </w:rPr>
    </w:pPr>
    <w:r w:rsidRPr="003E2268">
      <w:rPr>
        <w:color w:val="6B7C85"/>
        <w:sz w:val="17"/>
        <w:lang w:val="pt-BR"/>
      </w:rPr>
      <w:t xml:space="preserve">Lumis </w:t>
    </w:r>
    <w:proofErr w:type="spellStart"/>
    <w:r w:rsidRPr="003E2268">
      <w:rPr>
        <w:color w:val="6B7C85"/>
        <w:sz w:val="17"/>
        <w:lang w:val="pt-BR"/>
      </w:rPr>
      <w:t>Intelligence</w:t>
    </w:r>
    <w:proofErr w:type="spellEnd"/>
    <w:r w:rsidRPr="003E2268">
      <w:rPr>
        <w:color w:val="6B7C85"/>
        <w:sz w:val="17"/>
        <w:lang w:val="pt-BR"/>
      </w:rPr>
      <w:t xml:space="preserve"> · Gestão em IA (FIAP) · página </w:t>
    </w:r>
    <w:r>
      <w:rPr>
        <w:color w:val="6B7C85"/>
        <w:sz w:val="17"/>
      </w:rPr>
      <w:fldChar w:fldCharType="begin"/>
    </w:r>
    <w:r w:rsidRPr="003E2268">
      <w:rPr>
        <w:color w:val="6B7C85"/>
        <w:sz w:val="17"/>
        <w:lang w:val="pt-BR"/>
      </w:rPr>
      <w:instrText>PAGE</w:instrText>
    </w:r>
    <w:r w:rsidR="003E2268">
      <w:rPr>
        <w:color w:val="6B7C85"/>
        <w:sz w:val="17"/>
      </w:rPr>
      <w:fldChar w:fldCharType="separate"/>
    </w:r>
    <w:r w:rsidR="003E2268" w:rsidRPr="003E2268">
      <w:rPr>
        <w:noProof/>
        <w:color w:val="6B7C85"/>
        <w:sz w:val="17"/>
        <w:lang w:val="pt-BR"/>
      </w:rPr>
      <w:t>1</w:t>
    </w:r>
    <w:r>
      <w:rPr>
        <w:color w:val="6B7C85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BB80" w14:textId="77777777" w:rsidR="00E30EBE" w:rsidRDefault="00E30E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0AF21" w14:textId="77777777" w:rsidR="00E60BA2" w:rsidRDefault="00E60BA2">
      <w:pPr>
        <w:spacing w:after="0" w:line="240" w:lineRule="auto"/>
      </w:pPr>
      <w:r>
        <w:separator/>
      </w:r>
    </w:p>
  </w:footnote>
  <w:footnote w:type="continuationSeparator" w:id="0">
    <w:p w14:paraId="4E5E3F54" w14:textId="77777777" w:rsidR="00E60BA2" w:rsidRDefault="00E60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7267" w14:textId="77777777" w:rsidR="00E30EBE" w:rsidRDefault="00E30E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36FBA" w14:textId="77777777" w:rsidR="00FF24E5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6A4B5CFA" wp14:editId="683AE08C">
          <wp:extent cx="1152000" cy="248123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 xml:space="preserve">Fase 2 · </w:t>
    </w:r>
    <w:proofErr w:type="spellStart"/>
    <w:r>
      <w:rPr>
        <w:color w:val="6B7C85"/>
        <w:sz w:val="17"/>
      </w:rPr>
      <w:t>Memorando</w:t>
    </w:r>
    <w:proofErr w:type="spellEnd"/>
    <w:r>
      <w:rPr>
        <w:color w:val="6B7C85"/>
        <w:sz w:val="17"/>
      </w:rPr>
      <w:t xml:space="preserve"> </w:t>
    </w:r>
    <w:proofErr w:type="spellStart"/>
    <w:r>
      <w:rPr>
        <w:color w:val="6B7C85"/>
        <w:sz w:val="17"/>
      </w:rPr>
      <w:t>ao</w:t>
    </w:r>
    <w:proofErr w:type="spellEnd"/>
    <w:r>
      <w:rPr>
        <w:color w:val="6B7C85"/>
        <w:sz w:val="17"/>
      </w:rPr>
      <w:t xml:space="preserve"> </w:t>
    </w:r>
    <w:proofErr w:type="spellStart"/>
    <w:r>
      <w:rPr>
        <w:color w:val="6B7C85"/>
        <w:sz w:val="17"/>
      </w:rPr>
      <w:t>conselho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C8BDF" w14:textId="77777777" w:rsidR="00E30EBE" w:rsidRDefault="00E30E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988957">
    <w:abstractNumId w:val="8"/>
  </w:num>
  <w:num w:numId="2" w16cid:durableId="1931348017">
    <w:abstractNumId w:val="6"/>
  </w:num>
  <w:num w:numId="3" w16cid:durableId="1737898912">
    <w:abstractNumId w:val="5"/>
  </w:num>
  <w:num w:numId="4" w16cid:durableId="1177622098">
    <w:abstractNumId w:val="4"/>
  </w:num>
  <w:num w:numId="5" w16cid:durableId="1636644528">
    <w:abstractNumId w:val="7"/>
  </w:num>
  <w:num w:numId="6" w16cid:durableId="626281604">
    <w:abstractNumId w:val="3"/>
  </w:num>
  <w:num w:numId="7" w16cid:durableId="262542594">
    <w:abstractNumId w:val="2"/>
  </w:num>
  <w:num w:numId="8" w16cid:durableId="558705918">
    <w:abstractNumId w:val="1"/>
  </w:num>
  <w:num w:numId="9" w16cid:durableId="141127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268"/>
    <w:rsid w:val="00AA1D8D"/>
    <w:rsid w:val="00B07F68"/>
    <w:rsid w:val="00B47730"/>
    <w:rsid w:val="00CB0664"/>
    <w:rsid w:val="00D02D23"/>
    <w:rsid w:val="00E30EBE"/>
    <w:rsid w:val="00E60BA2"/>
    <w:rsid w:val="00FC693F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C34D80"/>
  <w14:defaultImageDpi w14:val="300"/>
  <w15:docId w15:val="{6822DA00-F62D-4E68-B4EF-E23570D5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C54EEA-D959-490D-A7AF-517DDE71A144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9c2d05e8-1a1d-408f-bd10-9b70b683ca5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8e634b-b199-4895-acc5-74b71ba09e0e}" enabled="1" method="Privileged" siteId="{f794bc2f-feca-4593-a071-8f95587a749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897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Simon</cp:lastModifiedBy>
  <cp:revision>4</cp:revision>
  <dcterms:created xsi:type="dcterms:W3CDTF">2013-12-23T23:15:00Z</dcterms:created>
  <dcterms:modified xsi:type="dcterms:W3CDTF">2026-10-08T23:29:00Z</dcterms:modified>
  <cp:category/>
</cp:coreProperties>
</file>