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5760000" cy="2601290"/>
            <wp:docPr id="1" name="Picture 1"/>
            <wp:cNvGraphicFramePr>
              <a:graphicFrameLocks noChangeAspect="1"/>
            </wp:cNvGraphicFramePr>
            <a:graphic>
              <a:graphicData uri="http://schemas.openxmlformats.org/drawingml/2006/picture">
                <pic:pic>
                  <pic:nvPicPr>
                    <pic:cNvPr id="0" name="feixe_capa.jpg"/>
                    <pic:cNvPicPr/>
                  </pic:nvPicPr>
                  <pic:blipFill>
                    <a:blip r:embed="rId9"/>
                    <a:stretch>
                      <a:fillRect/>
                    </a:stretch>
                  </pic:blipFill>
                  <pic:spPr>
                    <a:xfrm>
                      <a:off x="0" y="0"/>
                      <a:ext cx="5760000" cy="2601290"/>
                    </a:xfrm>
                    <a:prstGeom prst="rect"/>
                  </pic:spPr>
                </pic:pic>
              </a:graphicData>
            </a:graphic>
          </wp:inline>
        </w:drawing>
      </w:r>
    </w:p>
    <w:p>
      <w:pPr>
        <w:pStyle w:val="LumisRótulo"/>
        <w:spacing w:before="560"/>
      </w:pPr>
      <w:r>
        <w:t>Fase 2 · O Mercado</w:t>
      </w:r>
    </w:p>
    <w:p>
      <w:pPr>
        <w:pStyle w:val="Title"/>
      </w:pPr>
      <w:r>
        <w:t>O mapa e a direção</w:t>
      </w:r>
    </w:p>
    <w:p>
      <w:pPr>
        <w:pStyle w:val="Subtitle"/>
      </w:pPr>
      <w:r>
        <w:t>Dossiê ao conselho e ao comitê de investimento do Vetor Capital: onde a Lumis deve crescer, com que ativo e sob que condições</w:t>
      </w:r>
    </w:p>
    <w:p>
      <w:pPr>
        <w:spacing w:before="2200"/>
      </w:pPr>
      <w:r>
        <w:drawing>
          <wp:inline xmlns:a="http://schemas.openxmlformats.org/drawingml/2006/main" xmlns:pic="http://schemas.openxmlformats.org/drawingml/2006/picture">
            <wp:extent cx="1872000" cy="403200"/>
            <wp:docPr id="2" name="Picture 2"/>
            <wp:cNvGraphicFramePr>
              <a:graphicFrameLocks noChangeAspect="1"/>
            </wp:cNvGraphicFramePr>
            <a:graphic>
              <a:graphicData uri="http://schemas.openxmlformats.org/drawingml/2006/picture">
                <pic:pic>
                  <pic:nvPicPr>
                    <pic:cNvPr id="0" name="lumis-insight_horizontal.png"/>
                    <pic:cNvPicPr/>
                  </pic:nvPicPr>
                  <pic:blipFill>
                    <a:blip r:embed="rId10"/>
                    <a:stretch>
                      <a:fillRect/>
                    </a:stretch>
                  </pic:blipFill>
                  <pic:spPr>
                    <a:xfrm>
                      <a:off x="0" y="0"/>
                      <a:ext cx="1872000" cy="403200"/>
                    </a:xfrm>
                    <a:prstGeom prst="rect"/>
                  </pic:spPr>
                </pic:pic>
              </a:graphicData>
            </a:graphic>
          </wp:inline>
        </w:drawing>
      </w:r>
    </w:p>
    <w:p>
      <w:pPr>
        <w:pStyle w:val="LumisNota"/>
      </w:pPr>
      <w:r>
        <w:t>Gestão em IA · FIAP</w:t>
      </w:r>
    </w:p>
    <w:p>
      <w:pPr>
        <w:pStyle w:val="LumisNota"/>
      </w:pPr>
      <w:r>
        <w:t>Equipe: Bruno Müller, Diego Franca Evangelista, Felipe Alef, Gustavo Halfen Simon e Maria Fernanda Barros</w:t>
      </w:r>
    </w:p>
    <w:p>
      <w:pPr>
        <w:pStyle w:val="LumisNota"/>
      </w:pPr>
      <w:r>
        <w:t>Data: 08/10/2026</w:t>
      </w:r>
    </w:p>
    <w:p>
      <w:r>
        <w:br w:type="page"/>
      </w:r>
    </w:p>
    <w:p>
      <w:pPr>
        <w:pStyle w:val="Heading1"/>
      </w:pPr>
      <w:r>
        <w:t>A tese em uma página</w:t>
      </w:r>
    </w:p>
    <w:p>
      <w:pPr>
        <w:pStyle w:val="LumisRótulo"/>
      </w:pPr>
      <w:r>
        <w:t>Em uma frase</w:t>
      </w:r>
    </w:p>
    <w:p>
      <w:pPr>
        <w:pStyle w:val="LumisDestaque"/>
      </w:pPr>
      <w: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pPr/>
      <w:r>
        <w:t>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644"/>
        <w:gridCol w:w="5840"/>
        <w:gridCol w:w="1587"/>
      </w:tblGrid>
      <w:tr>
        <w:trPr>
          <w:cantSplit/>
          <w:tblHeader w:val="true"/>
        </w:trPr>
        <w:tc>
          <w:tcPr>
            <w:tcW w:type="dxa" w:w="1644"/>
            <w:shd w:val="clear" w:color="auto" w:fill="0F2D3A"/>
          </w:tcPr>
          <w:p>
            <w:pPr>
              <w:pStyle w:val="LumisTabela"/>
              <w:keepNext/>
            </w:pPr>
            <w:r>
              <w:rPr>
                <w:b/>
                <w:color w:val="FFFFFF"/>
              </w:rPr>
              <w:t>Pergunta</w:t>
            </w:r>
          </w:p>
        </w:tc>
        <w:tc>
          <w:tcPr>
            <w:tcW w:type="dxa" w:w="5839"/>
            <w:shd w:val="clear" w:color="auto" w:fill="0F2D3A"/>
          </w:tcPr>
          <w:p>
            <w:pPr>
              <w:pStyle w:val="LumisTabela"/>
              <w:keepNext/>
            </w:pPr>
            <w:r>
              <w:rPr>
                <w:b/>
                <w:color w:val="FFFFFF"/>
              </w:rPr>
              <w:t>Resposta</w:t>
            </w:r>
          </w:p>
        </w:tc>
        <w:tc>
          <w:tcPr>
            <w:tcW w:type="dxa" w:w="1587"/>
            <w:shd w:val="clear" w:color="auto" w:fill="0F2D3A"/>
          </w:tcPr>
          <w:p>
            <w:pPr>
              <w:pStyle w:val="LumisTabela"/>
              <w:keepNext/>
            </w:pPr>
            <w:r>
              <w:rPr>
                <w:b/>
                <w:color w:val="FFFFFF"/>
              </w:rPr>
              <w:t>Onde está</w:t>
            </w:r>
          </w:p>
        </w:tc>
      </w:tr>
      <w:tr>
        <w:trPr>
          <w:cantSplit/>
        </w:trPr>
        <w:tc>
          <w:tcPr>
            <w:tcW w:type="dxa" w:w="1644"/>
            <w:shd w:val="clear" w:color="auto" w:fill="F1F6F4"/>
          </w:tcPr>
          <w:p>
            <w:pPr>
              <w:pStyle w:val="LumisTabela"/>
            </w:pPr>
            <w:r>
              <w:t>Onde jogar?</w:t>
            </w:r>
          </w:p>
        </w:tc>
        <w:tc>
          <w:tcPr>
            <w:tcW w:type="dxa" w:w="5839"/>
            <w:shd w:val="clear" w:color="auto" w:fill="F1F6F4"/>
          </w:tcPr>
          <w:p>
            <w:pPr>
              <w:pStyle w:val="LumisTabela"/>
            </w:pPr>
            <w:r>
              <w:t>Hospitais e seguradoras médios no Brasil. O novo módulo de crédito, só para os bancos já clientes e só até o modo sombra (o sistema roda em paralelo, sem decidir).</w:t>
            </w:r>
          </w:p>
        </w:tc>
        <w:tc>
          <w:tcPr>
            <w:tcW w:type="dxa" w:w="1587"/>
            <w:shd w:val="clear" w:color="auto" w:fill="F1F6F4"/>
          </w:tcPr>
          <w:p>
            <w:pPr>
              <w:pStyle w:val="LumisTabela"/>
            </w:pPr>
            <w:r>
              <w:t>Seções 1.4 e 4.4</w:t>
            </w:r>
          </w:p>
        </w:tc>
      </w:tr>
      <w:tr>
        <w:trPr>
          <w:cantSplit/>
        </w:trPr>
        <w:tc>
          <w:tcPr>
            <w:tcW w:type="dxa" w:w="1644"/>
          </w:tcPr>
          <w:p>
            <w:pPr>
              <w:pStyle w:val="LumisTabela"/>
            </w:pPr>
            <w:r>
              <w:t>Por que ali?</w:t>
            </w:r>
          </w:p>
        </w:tc>
        <w:tc>
          <w:tcPr>
            <w:tcW w:type="dxa" w:w="5839"/>
          </w:tcPr>
          <w:p>
            <w:pPr>
              <w:pStyle w:val="LumisTabela"/>
            </w:pPr>
            <w:r>
              <w:t xml:space="preserve">Clientes médios, sem IA própria, dependem mais de fornecedores externos </w:t>
            </w:r>
            <w:r>
              <w:rPr>
                <w:rStyle w:val="TagHipótese"/>
              </w:rPr>
              <w:t>[hipótese]</w:t>
            </w:r>
            <w:r>
              <w:t>. E a Aster não chega a seguradoras e bancos, 14 das 38 contas.</w:t>
            </w:r>
          </w:p>
        </w:tc>
        <w:tc>
          <w:tcPr>
            <w:tcW w:type="dxa" w:w="1587"/>
          </w:tcPr>
          <w:p>
            <w:pPr>
              <w:pStyle w:val="LumisTabela"/>
            </w:pPr>
            <w:r>
              <w:t>Seções 1.2 e 1.4</w:t>
            </w:r>
          </w:p>
        </w:tc>
      </w:tr>
      <w:tr>
        <w:trPr>
          <w:cantSplit/>
        </w:trPr>
        <w:tc>
          <w:tcPr>
            <w:tcW w:type="dxa" w:w="1644"/>
            <w:shd w:val="clear" w:color="auto" w:fill="F1F6F4"/>
          </w:tcPr>
          <w:p>
            <w:pPr>
              <w:pStyle w:val="LumisTabela"/>
            </w:pPr>
            <w:r>
              <w:t>Contra quem?</w:t>
            </w:r>
          </w:p>
        </w:tc>
        <w:tc>
          <w:tcPr>
            <w:tcW w:type="dxa" w:w="5839"/>
            <w:shd w:val="clear" w:color="auto" w:fill="F1F6F4"/>
          </w:tcPr>
          <w:p>
            <w:pPr>
              <w:pStyle w:val="LumisTabela"/>
            </w:pPr>
            <w:r>
              <w:t>A Aster Health, que vende a IA como módulo do sistema hospitalar usado em 210 hospitais. Contra ela, a Lumis só tem a qualidade, e ainda precisa prová-la em campo.</w:t>
            </w:r>
          </w:p>
        </w:tc>
        <w:tc>
          <w:tcPr>
            <w:tcW w:type="dxa" w:w="1587"/>
            <w:shd w:val="clear" w:color="auto" w:fill="F1F6F4"/>
          </w:tcPr>
          <w:p>
            <w:pPr>
              <w:pStyle w:val="LumisTabela"/>
            </w:pPr>
            <w:r>
              <w:t>Seção 1.2</w:t>
            </w:r>
          </w:p>
        </w:tc>
      </w:tr>
      <w:tr>
        <w:trPr>
          <w:cantSplit/>
        </w:trPr>
        <w:tc>
          <w:tcPr>
            <w:tcW w:type="dxa" w:w="1644"/>
          </w:tcPr>
          <w:p>
            <w:pPr>
              <w:pStyle w:val="LumisTabela"/>
            </w:pPr>
            <w:r>
              <w:t>Com que ativo próprio?</w:t>
            </w:r>
          </w:p>
        </w:tc>
        <w:tc>
          <w:tcPr>
            <w:tcW w:type="dxa" w:w="5839"/>
          </w:tcPr>
          <w:p>
            <w:pPr>
              <w:pStyle w:val="LumisTabela"/>
            </w:pPr>
            <w:r>
              <w:t>Nenhum difícil de copiar hoje. A construir: dado de desfecho com direito de uso limpo e prova auditável de desempenho por grupo.</w:t>
            </w:r>
          </w:p>
        </w:tc>
        <w:tc>
          <w:tcPr>
            <w:tcW w:type="dxa" w:w="1587"/>
          </w:tcPr>
          <w:p>
            <w:pPr>
              <w:pStyle w:val="LumisTabela"/>
            </w:pPr>
            <w:r>
              <w:t>Seções 1.4 e 2.1</w:t>
            </w:r>
          </w:p>
        </w:tc>
      </w:tr>
      <w:tr>
        <w:trPr>
          <w:cantSplit/>
        </w:trPr>
        <w:tc>
          <w:tcPr>
            <w:tcW w:type="dxa" w:w="1644"/>
            <w:shd w:val="clear" w:color="auto" w:fill="F1F6F4"/>
          </w:tcPr>
          <w:p>
            <w:pPr>
              <w:pStyle w:val="LumisTabela"/>
              <w:keepNext/>
            </w:pPr>
            <w:r>
              <w:t>Sob que riscos?</w:t>
            </w:r>
          </w:p>
        </w:tc>
        <w:tc>
          <w:tcPr>
            <w:tcW w:type="dxa" w:w="5839"/>
            <w:shd w:val="clear" w:color="auto" w:fill="F1F6F4"/>
          </w:tcPr>
          <w:p>
            <w:pPr>
              <w:pStyle w:val="LumisTabela"/>
              <w:keepNext/>
            </w:pPr>
            <w:r>
              <w:t>Equidade, privacidade, transparência e governança, ainda sem solução no Brasil. O pior número: 31,8% dos idosos de CEP D/E que precisavam de prioridade não a receberam, três vezes o melhor grupo.</w:t>
            </w:r>
          </w:p>
        </w:tc>
        <w:tc>
          <w:tcPr>
            <w:tcW w:type="dxa" w:w="1587"/>
            <w:shd w:val="clear" w:color="auto" w:fill="F1F6F4"/>
          </w:tcPr>
          <w:p>
            <w:pPr>
              <w:pStyle w:val="LumisTabela"/>
              <w:keepNext/>
            </w:pPr>
            <w:r>
              <w:t>Seções 5.1 e 5.2</w:t>
            </w:r>
          </w:p>
        </w:tc>
      </w:tr>
    </w:tbl>
    <w:p>
      <w:pPr>
        <w:pStyle w:val="Caption"/>
      </w:pPr>
      <w:r>
        <w:t>Tabela 1. Perguntas do Vetor e nossas respostas. Fonte: perguntas, Cap. 2, 1.1; respostas, leitura da equipe sobre o Anexo A.</w:t>
      </w:r>
    </w:p>
    <w:p>
      <w:pPr/>
      <w:r>
        <w:t>Abrimos pela Entrega 5, que o comitê do Vetor lerá primeiro. A Entrega 1 mostra onde a Lumis está; a 2, que o ativo ainda não passa numa auditoria independente; a 3 dá cargo a cada decisão; e a 4 escolhe o que se constrói e o que se recusa. O fechamento reúne as doze condições prévias e o que o caso não informa. A recomendação ao conselho segue no memorando que acompanha o dossiê.</w:t>
      </w:r>
    </w:p>
    <w:p>
      <w:pPr>
        <w:pStyle w:val="LumisNota"/>
      </w:pPr>
      <w:r>
        <w:t>Como ler este dossiê. Todo número sobre a Lumis vem do Anexo A do Cap. 2, com o quadro de origem na legenda de cada figura e tabela. Contas, classificações, limites, metas, prazos e cargos são propostas da equipe. Marcamos como hipótese só as leituras da equipe que sustentam uma decisão. O que o Anexo A não informa está reunido no fechamento, e os quadros de apoio, no Apêndice B.</w:t>
      </w:r>
    </w:p>
    <w:p>
      <w:pPr>
        <w:pStyle w:val="Heading1"/>
        <w:pageBreakBefore/>
      </w:pPr>
      <w:r>
        <w:t>Entrega 5 · Due diligence ESG da expansão</w:t>
      </w:r>
    </w:p>
    <w:p>
      <w:pPr>
        <w:pStyle w:val="LumisDestaque"/>
      </w:pPr>
      <w:r>
        <w:t>A expansão leva para novos mercados quatro riscos que a Lumis ainda não resolveu no Brasil: equidade, privacidade, transparência e governança. Ela só se sustenta com condições prévias e com uma métrica pública, o falso negativo por grupo publicado a cada trimestre, que mostre se o dano está caindo.</w:t>
      </w:r>
    </w:p>
    <w:p>
      <w:pPr/>
      <w:r>
        <w:t>Analisamos a expansão proposta pelo Vetor Capital (dois novos países e o Lumis Insight como plataforma) e dois casos do backlog: o México e o módulo de risco de crédito para bancos.</w:t>
      </w:r>
    </w:p>
    <w:p>
      <w:pPr>
        <w:pStyle w:val="Heading2"/>
      </w:pPr>
      <w:r>
        <w:t>5.1 O que é material</w:t>
      </w:r>
    </w:p>
    <w:p>
      <w:pPr/>
      <w:r>
        <w:t>Demos a cada tema duas notas: o dano que o negócio pode causar a pessoas e ao ambiente, e o risco financeiro que o tema traz para a Lumis. É material o tema com nota Alta em pelo menos um dos eixos.</w:t>
      </w:r>
    </w:p>
    <w:p>
      <w:pPr>
        <w:keepNext/>
        <w:jc w:val="center"/>
      </w:pPr>
      <w:r>
        <w:drawing>
          <wp:inline xmlns:a="http://schemas.openxmlformats.org/drawingml/2006/main" xmlns:pic="http://schemas.openxmlformats.org/drawingml/2006/picture">
            <wp:extent cx="3960000" cy="2755077"/>
            <wp:docPr id="3" name="Picture 3"/>
            <wp:cNvGraphicFramePr>
              <a:graphicFrameLocks noChangeAspect="1"/>
            </wp:cNvGraphicFramePr>
            <a:graphic>
              <a:graphicData uri="http://schemas.openxmlformats.org/drawingml/2006/picture">
                <pic:pic>
                  <pic:nvPicPr>
                    <pic:cNvPr id="0" name="fig1_materialidade.png"/>
                    <pic:cNvPicPr/>
                  </pic:nvPicPr>
                  <pic:blipFill>
                    <a:blip r:embed="rId13"/>
                    <a:stretch>
                      <a:fillRect/>
                    </a:stretch>
                  </pic:blipFill>
                  <pic:spPr>
                    <a:xfrm>
                      <a:off x="0" y="0"/>
                      <a:ext cx="3960000" cy="2755077"/>
                    </a:xfrm>
                    <a:prstGeom prst="rect"/>
                  </pic:spPr>
                </pic:pic>
              </a:graphicData>
            </a:graphic>
          </wp:inline>
        </w:drawing>
      </w:r>
    </w:p>
    <w:p>
      <w:pPr>
        <w:pStyle w:val="Caption"/>
      </w:pPr>
      <w:r>
        <w:t>Figura 1. Matriz de materialidade dupla; a evidência de cada tema está na Tabela 9, no Apêndice B. Fonte: Cap. 2, Anexo A; notas da equipe.</w:t>
      </w:r>
    </w:p>
    <w:p>
      <w:pPr/>
      <w:r>
        <w:t>Equidade, privacidade, transparência e governança têm nota Alta nos dois eixos, já são problemas hoje e crescem com a expansão: mais clientes no mesmo modelo, populações sem histórico na base e dados de saúde cruzando fronteiras. Clima e retenção também é material, pelo risco à Lumis (eNPS de −31 no time técnico), e a Entrega 4 trata dele. Diversidade e energia ficam em monitoramento.</w:t>
      </w:r>
    </w:p>
    <w:p>
      <w:pPr>
        <w:pStyle w:val="Heading2"/>
      </w:pPr>
      <w:r>
        <w:t>5.2 Quem pode ser prejudicado</w:t>
      </w:r>
    </w:p>
    <w:p>
      <w:pPr/>
      <w:r>
        <w:t>O erro cresce com a idade e com a faixa de CEP. No grupo de 60 anos ou mais de CEP D/E, quase um em cada três pacientes que precisavam de prioridade não a recebe. A faixa D/E concentra 64% das reclamações, e a empresa nunca cruzou essas reclamações com o desempenho do modelo.</w:t>
      </w:r>
    </w:p>
    <w:p>
      <w:pPr>
        <w:keepNext/>
        <w:jc w:val="center"/>
      </w:pPr>
      <w:r>
        <w:drawing>
          <wp:inline xmlns:a="http://schemas.openxmlformats.org/drawingml/2006/main" xmlns:pic="http://schemas.openxmlformats.org/drawingml/2006/picture">
            <wp:extent cx="4680000" cy="1728602"/>
            <wp:docPr id="4" name="Picture 4"/>
            <wp:cNvGraphicFramePr>
              <a:graphicFrameLocks noChangeAspect="1"/>
            </wp:cNvGraphicFramePr>
            <a:graphic>
              <a:graphicData uri="http://schemas.openxmlformats.org/drawingml/2006/picture">
                <pic:pic>
                  <pic:nvPicPr>
                    <pic:cNvPr id="0" name="fig1_subgrupo_v2.png"/>
                    <pic:cNvPicPr/>
                  </pic:nvPicPr>
                  <pic:blipFill>
                    <a:blip r:embed="rId14"/>
                    <a:stretch>
                      <a:fillRect/>
                    </a:stretch>
                  </pic:blipFill>
                  <pic:spPr>
                    <a:xfrm>
                      <a:off x="0" y="0"/>
                      <a:ext cx="4680000" cy="1728602"/>
                    </a:xfrm>
                    <a:prstGeom prst="rect"/>
                  </pic:spPr>
                </pic:pic>
              </a:graphicData>
            </a:graphic>
          </wp:inline>
        </w:drawing>
      </w:r>
    </w:p>
    <w:p>
      <w:pPr>
        <w:pStyle w:val="Caption"/>
      </w:pPr>
      <w:r>
        <w:t>Figura 2. Pacientes que precisavam de prioridade e não receberam, 1º semestre de 2026. Fonte: Cap. 2, Quadros 9 e 10.</w:t>
      </w:r>
    </w:p>
    <w:p>
      <w:pPr/>
      <w:r>
        <w:t xml:space="preserve">Na expansão, o grupo em risco muda com a frente (Tabela 10, Apêndice B). Na plataforma e nos novos países, perde quem tem pouco acesso à rede de saúde, porque as variáveis de acesso somam quase metade do peso do modelo (seção 2.2). No México, a Lumis não tem dado local de desfecho e não sabe onde vai errar. No crédito, CEP e cobertura reaproveitados do modelo de saúde podem negar crédito por endereço </w:t>
      </w:r>
      <w:r>
        <w:rPr>
          <w:rStyle w:val="TagHipótese"/>
        </w:rPr>
        <w:t>[hipótese]</w:t>
      </w:r>
      <w:r>
        <w:t>.</w:t>
      </w:r>
    </w:p>
    <w:p>
      <w:pPr/>
      <w:r>
        <w:rPr>
          <w:b/>
        </w:rPr>
        <w:t>Como vamos medir.</w:t>
      </w:r>
      <w:r>
        <w:t xml:space="preserve"> Com dois indicadores da Entrega 2, lidos a cada quinze dias e apurados pelo Responsável por Dados (Tabela 11, Apêndice B):</w:t>
      </w:r>
    </w:p>
    <w:p>
      <w:pPr>
        <w:pStyle w:val="ListBullet"/>
      </w:pPr>
      <w:r>
        <w:rPr>
          <w:b/>
        </w:rPr>
        <w:t>Erro por grupo:</w:t>
      </w:r>
      <w:r>
        <w:t xml:space="preserve"> razão entre o falso negativo do pior e o do melhor grupo. Acima de 1,5 vez, alerta e revisão humana de 10% dos casos; acima de 2 vezes, restrição imediata da recomendação automática no grupo. Hoje a razão é 3,0.</w:t>
      </w:r>
    </w:p>
    <w:p>
      <w:pPr>
        <w:pStyle w:val="ListBullet"/>
      </w:pPr>
      <w:r>
        <w:rPr>
          <w:b/>
        </w:rPr>
        <w:t>Reclamações cruzadas com o erro:</w:t>
      </w:r>
      <w:r>
        <w:t xml:space="preserve"> parcela das reclamações dividida pela parcela de pacientes, por faixa de CEP e idade. A partir de 1,5 vez, revisão clínica dos casos; acima de 2 vezes, também auditoria de equidade. Hoje, na faixa D/E, é 2,5.</w:t>
      </w:r>
    </w:p>
    <w:p>
      <w:pPr/>
      <w:r>
        <w:t>Dois grupos já passam do limite: os idosos de CEP C (2,2 vezes) e de CEP D/E (3,0 vezes). Nesses dois recomendamos a restrição imediata (seção 2.5). Os adultos de 18 a 59 anos de CEP D/E (1,9 vez) estão em alerta e passam à revisão de 10%. Num mercado novo, a condição de entrada é ter amostra suficiente para medir o erro de cada grupo; no crédito, aprovação por faixa de CEP de pelo menos 0,8 da melhor</w:t>
      </w:r>
      <w:r>
        <w:t>¹</w:t>
      </w:r>
      <w:r>
        <w:t>.</w:t>
      </w:r>
    </w:p>
    <w:p>
      <w:pPr>
        <w:pStyle w:val="Heading2"/>
      </w:pPr>
      <w:r>
        <w:t>5.3 Privacidade e dados sensíveis</w:t>
      </w:r>
    </w:p>
    <w:p>
      <w:pPr/>
      <w:r>
        <w:t>Dado de saúde é dado pessoal sensível na LGPD</w:t>
      </w:r>
      <w:r>
        <w:t>²</w:t>
      </w:r>
      <w:r>
        <w:t>. Nenhum dos seis instrumentos que dão base aos dados passou por revisão jurídica desde a assinatura, 35,4% dos dados de clientes têm autorização fraca ou nenhuma para treino, e a política para dados de saúde está em elaboração desde 2024. Na operação ampliada pesam quatro pontos da lei (Tabela 12, Apêndice B): a vedação ao uso compartilhado de dado de saúde para obter vantagem econômica, que atinge a plataforma e o crédito; a proibição de operadoras de saúde usarem esse dado para selecionar riscos, que pode atingir a classificação de sinistros; as regras de transferência internacional, em todo país novo; e o relatório de impacto, que a ANPD pode exigir.</w:t>
      </w:r>
    </w:p>
    <w:p>
      <w:pPr/>
      <w:r>
        <w:t>Propomos três regras, com a DPO como responsável:</w:t>
      </w:r>
    </w:p>
    <w:p>
      <w:pPr>
        <w:pStyle w:val="ListBullet"/>
      </w:pPr>
      <w:r>
        <w:rPr>
          <w:b/>
        </w:rPr>
        <w:t>Dado de saúde fica fora do modelo de crédito,</w:t>
      </w:r>
      <w:r>
        <w:t xml:space="preserve"> treinado só com dados financeiros autorizados. Dos cinco bancos clientes, só o Banco Meridiano autoriza esse uso hoje.</w:t>
      </w:r>
    </w:p>
    <w:p>
      <w:pPr>
        <w:pStyle w:val="ListBullet"/>
      </w:pPr>
      <w:r>
        <w:rPr>
          <w:b/>
        </w:rPr>
        <w:t>Registro sem base legal sai do treino.</w:t>
      </w:r>
      <w:r>
        <w:t xml:space="preserve"> Meta: 100% dos registros com autorização explícita e revisão jurídica antes de qualquer frente nova, medido a cada trimestre. Hoje são 64,6% com autorização explícita e nenhum com revisão.</w:t>
      </w:r>
    </w:p>
    <w:p>
      <w:pPr>
        <w:pStyle w:val="ListBullet"/>
      </w:pPr>
      <w:r>
        <w:rPr>
          <w:b/>
        </w:rPr>
        <w:t>Acessos e incidentes sob controle.</w:t>
      </w:r>
      <w:r>
        <w:t xml:space="preserve"> Os acessos a dados de pacientes são revistos a cada 90 dias, e todo incidente de privacidade é registrado no dia em que é identificado, com a ação corretiva.</w:t>
      </w:r>
    </w:p>
    <w:p>
      <w:pPr>
        <w:pStyle w:val="Heading2"/>
      </w:pPr>
      <w:r>
        <w:t>5.4 A métrica que vamos publicar</w:t>
      </w:r>
    </w:p>
    <w:p>
      <w:pPr/>
      <w:r>
        <w:t>A Lumis não publica hoje nenhuma métrica de impacto. Propomos publicar o falso negativo da priorização de atendimento por grupo de idade e faixa de CEP, o mesmo número que o Hospital Vila Ipê calculou por conta própria e enviou com a notificação. Ele mede o dano mais grave do produto: o paciente que precisava de prioridade e não a recebeu.</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7144"/>
      </w:tblGrid>
      <w:tr>
        <w:trPr>
          <w:cantSplit/>
          <w:tblHeader w:val="true"/>
        </w:trPr>
        <w:tc>
          <w:tcPr>
            <w:tcW w:type="dxa" w:w="1928"/>
            <w:shd w:val="clear" w:color="auto" w:fill="0F2D3A"/>
          </w:tcPr>
          <w:p>
            <w:pPr>
              <w:pStyle w:val="LumisTabela"/>
              <w:keepNext/>
            </w:pPr>
            <w:r>
              <w:rPr>
                <w:b/>
                <w:color w:val="FFFFFF"/>
              </w:rPr>
              <w:t>Item</w:t>
            </w:r>
          </w:p>
        </w:tc>
        <w:tc>
          <w:tcPr>
            <w:tcW w:type="dxa" w:w="7143"/>
            <w:shd w:val="clear" w:color="auto" w:fill="0F2D3A"/>
          </w:tcPr>
          <w:p>
            <w:pPr>
              <w:pStyle w:val="LumisTabela"/>
              <w:keepNext/>
            </w:pPr>
            <w:r>
              <w:rPr>
                <w:b/>
                <w:color w:val="FFFFFF"/>
              </w:rPr>
              <w:t>Definição</w:t>
            </w:r>
          </w:p>
        </w:tc>
      </w:tr>
      <w:tr>
        <w:trPr>
          <w:cantSplit/>
        </w:trPr>
        <w:tc>
          <w:tcPr>
            <w:tcW w:type="dxa" w:w="1928"/>
            <w:shd w:val="clear" w:color="auto" w:fill="F1F6F4"/>
          </w:tcPr>
          <w:p>
            <w:pPr>
              <w:pStyle w:val="LumisTabela"/>
            </w:pPr>
            <w:r>
              <w:t>O que se publica</w:t>
            </w:r>
          </w:p>
        </w:tc>
        <w:tc>
          <w:tcPr>
            <w:tcW w:type="dxa" w:w="7143"/>
            <w:shd w:val="clear" w:color="auto" w:fill="F1F6F4"/>
          </w:tcPr>
          <w:p>
            <w:pPr>
              <w:pStyle w:val="LumisTabela"/>
            </w:pPr>
            <w:r>
              <w:t>Falso negativo, sensibilidade, parcela marcada como prioridade e tamanho da amostra de cada grupo, mais a razão entre o pior e o melhor grupo e o valor do período anterior, sem abertura por cliente</w:t>
            </w:r>
          </w:p>
        </w:tc>
      </w:tr>
      <w:tr>
        <w:trPr>
          <w:cantSplit/>
        </w:trPr>
        <w:tc>
          <w:tcPr>
            <w:tcW w:type="dxa" w:w="1928"/>
          </w:tcPr>
          <w:p>
            <w:pPr>
              <w:pStyle w:val="LumisTabela"/>
            </w:pPr>
            <w:r>
              <w:t>Ponto de partida</w:t>
            </w:r>
          </w:p>
        </w:tc>
        <w:tc>
          <w:tcPr>
            <w:tcW w:type="dxa" w:w="7143"/>
          </w:tcPr>
          <w:p>
            <w:pPr>
              <w:pStyle w:val="LumisTabela"/>
            </w:pPr>
            <w:r>
              <w:t>De 10,6% a 31,8%; razão de 3,0 vezes (1º semestre de 2026)</w:t>
            </w:r>
          </w:p>
        </w:tc>
      </w:tr>
      <w:tr>
        <w:trPr>
          <w:cantSplit/>
        </w:trPr>
        <w:tc>
          <w:tcPr>
            <w:tcW w:type="dxa" w:w="1928"/>
            <w:shd w:val="clear" w:color="auto" w:fill="F1F6F4"/>
          </w:tcPr>
          <w:p>
            <w:pPr>
              <w:pStyle w:val="LumisTabela"/>
            </w:pPr>
            <w:r>
              <w:t>Meta</w:t>
            </w:r>
          </w:p>
        </w:tc>
        <w:tc>
          <w:tcPr>
            <w:tcW w:type="dxa" w:w="7143"/>
            <w:shd w:val="clear" w:color="auto" w:fill="F1F6F4"/>
          </w:tcPr>
          <w:p>
            <w:pPr>
              <w:pStyle w:val="LumisTabela"/>
            </w:pPr>
            <w:r>
              <w:t>Razão de até 1,5 vez em 12 meses; em 24 meses, nenhum grupo acima de 7,4%, o falso negativo da validação declarada</w:t>
            </w:r>
          </w:p>
        </w:tc>
      </w:tr>
      <w:tr>
        <w:trPr>
          <w:cantSplit/>
        </w:trPr>
        <w:tc>
          <w:tcPr>
            <w:tcW w:type="dxa" w:w="1928"/>
          </w:tcPr>
          <w:p>
            <w:pPr>
              <w:pStyle w:val="LumisTabela"/>
            </w:pPr>
            <w:r>
              <w:t>Periodicidade</w:t>
            </w:r>
          </w:p>
        </w:tc>
        <w:tc>
          <w:tcPr>
            <w:tcW w:type="dxa" w:w="7143"/>
          </w:tcPr>
          <w:p>
            <w:pPr>
              <w:pStyle w:val="LumisTabela"/>
            </w:pPr>
            <w:r>
              <w:t>Trimestral, no site da Lumis e no relatório de cada cliente; leitura interna quinzenal</w:t>
            </w:r>
          </w:p>
        </w:tc>
      </w:tr>
      <w:tr>
        <w:trPr>
          <w:cantSplit/>
        </w:trPr>
        <w:tc>
          <w:tcPr>
            <w:tcW w:type="dxa" w:w="1928"/>
            <w:shd w:val="clear" w:color="auto" w:fill="F1F6F4"/>
          </w:tcPr>
          <w:p>
            <w:pPr>
              <w:pStyle w:val="LumisTabela"/>
            </w:pPr>
            <w:r>
              <w:t>Responsável</w:t>
            </w:r>
          </w:p>
        </w:tc>
        <w:tc>
          <w:tcPr>
            <w:tcW w:type="dxa" w:w="7143"/>
            <w:shd w:val="clear" w:color="auto" w:fill="F1F6F4"/>
          </w:tcPr>
          <w:p>
            <w:pPr>
              <w:pStyle w:val="LumisTabela"/>
            </w:pPr>
            <w:r>
              <w:t>Head of AI Management publica; Responsável por Dados apura; auditoria independente uma vez por ano</w:t>
            </w:r>
          </w:p>
        </w:tc>
      </w:tr>
      <w:tr>
        <w:trPr>
          <w:cantSplit/>
        </w:trPr>
        <w:tc>
          <w:tcPr>
            <w:tcW w:type="dxa" w:w="1928"/>
          </w:tcPr>
          <w:p>
            <w:pPr>
              <w:pStyle w:val="LumisTabela"/>
              <w:keepNext/>
            </w:pPr>
            <w:r>
              <w:t>Se piorar</w:t>
            </w:r>
          </w:p>
        </w:tc>
        <w:tc>
          <w:tcPr>
            <w:tcW w:type="dxa" w:w="7143"/>
          </w:tcPr>
          <w:p>
            <w:pPr>
              <w:pStyle w:val="LumisTabela"/>
              <w:keepNext/>
            </w:pPr>
            <w:r>
              <w:t>Acima de 2 vezes, restrição imediata da recomendação automática no grupo</w:t>
            </w:r>
          </w:p>
        </w:tc>
      </w:tr>
    </w:tbl>
    <w:p>
      <w:pPr>
        <w:pStyle w:val="Caption"/>
      </w:pPr>
      <w:r>
        <w:t>Tabela 2. Ficha da métrica pública. Ponto de partida: Cap. 2, Quadros 9 e 10; metas e responsáveis propostos pela equipe.</w:t>
      </w:r>
    </w:p>
    <w:p>
      <w:pPr/>
      <w:r>
        <w:t>A parcela marcada como prioridade sai junto para que o falso negativo não caia às custas de marcar todos como prioridade. Quando uma medida vira meta, deixa de ser boa medida (Goodhart).</w:t>
      </w:r>
    </w:p>
    <w:p>
      <w:pPr>
        <w:pStyle w:val="Heading1"/>
        <w:pageBreakBefore/>
      </w:pPr>
      <w:r>
        <w:t>Entrega 1 · O mapa do território</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Heading2"/>
      </w:pPr>
      <w:r>
        <w:t>1.1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3780000" cy="1981772"/>
            <wp:docPr id="5" name="Picture 5"/>
            <wp:cNvGraphicFramePr>
              <a:graphicFrameLocks noChangeAspect="1"/>
            </wp:cNvGraphicFramePr>
            <a:graphic>
              <a:graphicData uri="http://schemas.openxmlformats.org/drawingml/2006/picture">
                <pic:pic>
                  <pic:nvPicPr>
                    <pic:cNvPr id="0" name="fig1_camadas.png"/>
                    <pic:cNvPicPr/>
                  </pic:nvPicPr>
                  <pic:blipFill>
                    <a:blip r:embed="rId15"/>
                    <a:stretch>
                      <a:fillRect/>
                    </a:stretch>
                  </pic:blipFill>
                  <pic:spPr>
                    <a:xfrm>
                      <a:off x="0" y="0"/>
                      <a:ext cx="3780000" cy="1981772"/>
                    </a:xfrm>
                    <a:prstGeom prst="rect"/>
                  </pic:spPr>
                </pic:pic>
              </a:graphicData>
            </a:graphic>
          </wp:inline>
        </w:drawing>
      </w:r>
    </w:p>
    <w:p>
      <w:pPr>
        <w:pStyle w:val="Caption"/>
      </w:pPr>
      <w:r>
        <w:t>Figura 3. O que a Lumis controla em cada camada. Fonte: Cap. 2, Quadros 3, 4, 5 e 7; conta e leitura da equipe.</w:t>
      </w:r>
    </w:p>
    <w:p>
      <w:pPr/>
      <w:r>
        <w:t>Para Shapiro e Varian</w:t>
      </w:r>
      <w:r>
        <w:t>³</w:t>
      </w:r>
      <w:r>
        <w:t>, o valor fica com quem controla o gargalo. Aqui os gargalos são a distribuição dentro do hospital e o direito de usar o dado de desfecho, e nenhum dos dois está com a Lumis. Por isso ela negocia em desvantagem com os fornecedores de cima e com os clientes grandes, que podem fazer a própria IA. Na nossa leitura, tem mais força com os clientes médios.</w:t>
      </w:r>
    </w:p>
    <w:p>
      <w:pPr>
        <w:pStyle w:val="Heading2"/>
      </w:pPr>
      <w:r>
        <w:t>1.2 Quem pode tomar esse espaço</w:t>
      </w:r>
    </w:p>
    <w:p>
      <w:pPr/>
      <w:r>
        <w:t>O mercado endereçável no Brasil é estimado em R$ 2,1 bilhões em 2026 e R$ 3,4 bilhões em 2029, e a Lumis tem cerca de 2% dele. A ameaça vem de quatro direções, da mais forte para a mais fraca (Tabela 14, Apêndice B):</w:t>
      </w:r>
    </w:p>
    <w:p>
      <w:pPr>
        <w:pStyle w:val="ListNumber"/>
        <w:numPr>
          <w:ilvl w:val="0"/>
          <w:numId w:val="10"/>
        </w:numPr>
      </w:pPr>
      <w:r>
        <w:rPr>
          <w:b/>
        </w:rPr>
        <w:t>Dentro do hospital: a Aster Health, concorrente direta.</w:t>
      </w:r>
      <w:r>
        <w:t xml:space="preserve"> Vende a IA como módulo, por R$ 340 mil a mais, sobre o contrato que o hospital já tem, padrão que já existe no Brasil com os prontuários da MV e da Philips (Tasy)</w:t>
      </w:r>
      <w:r>
        <w:t>⁴</w:t>
      </w:r>
      <w:r>
        <w:t>. Mas não chega a seguradoras e bancos.</w:t>
      </w:r>
    </w:p>
    <w:p>
      <w:pPr>
        <w:pStyle w:val="ListNumber"/>
        <w:numPr>
          <w:ilvl w:val="0"/>
          <w:numId w:val="10"/>
        </w:numPr>
      </w:pPr>
      <w:r>
        <w:rPr>
          <w:b/>
        </w:rPr>
        <w:t>O próprio cliente.</w:t>
      </w:r>
      <w:r>
        <w:t xml:space="preserve"> Os grandes clientes são os que mais conseguem fazer a própria IA; o Einstein já usa perto de 120 algoritmos próprios</w:t>
      </w:r>
      <w:r>
        <w:t>⁵</w:t>
      </w:r>
      <w:r>
        <w:t>.</w:t>
      </w:r>
    </w:p>
    <w:p>
      <w:pPr>
        <w:pStyle w:val="ListNumber"/>
        <w:numPr>
          <w:ilvl w:val="0"/>
          <w:numId w:val="10"/>
        </w:numPr>
      </w:pPr>
      <w:r>
        <w:rPr>
          <w:b/>
        </w:rPr>
        <w:t>De cima: os fornecedores.</w:t>
      </w:r>
      <w:r>
        <w:t xml:space="preserve"> O fornecedor de modelo anunciou um módulo próprio para saúde e passa a concorrer na aplicação.</w:t>
      </w:r>
    </w:p>
    <w:p>
      <w:pPr>
        <w:pStyle w:val="ListNumber"/>
        <w:numPr>
          <w:ilvl w:val="0"/>
          <w:numId w:val="10"/>
        </w:numPr>
      </w:pPr>
      <w:r>
        <w:rPr>
          <w:b/>
        </w:rPr>
        <w:t>Por fora: os indiretos.</w:t>
      </w:r>
      <w:r>
        <w:t xml:space="preserve"> A Núcleo Saúde Analytics tem 74 contas de BI hospitalar, quase o dobro da Lumis, e só lhe falta a camada preditiva; consultorias e integradores vendem projetos sob medida aos clientes grandes.</w:t>
      </w:r>
    </w:p>
    <w:p>
      <w:pPr/>
      <w:r>
        <w:t>Distribuição não garante qualidade: o modelo de sepse da Epic, embutido no prontuário, deixou de identificar dois terços dos casos</w:t>
      </w:r>
      <w:r>
        <w:t>⁶</w:t>
      </w:r>
      <w:r>
        <w:t>. Mas a Lumis ainda não pode competir por qualidade, porque os 94% de acurácia caem para 87,6% em campo.</w:t>
      </w:r>
    </w:p>
    <w:p>
      <w:pPr>
        <w:pStyle w:val="Heading2"/>
      </w:pPr>
      <w:r>
        <w:t>1.3 O que pode mudar sem a Lumis decidir</w:t>
      </w:r>
    </w:p>
    <w:p>
      <w:pPr/>
      <w:r>
        <w:t>Das cinco dependências (Tabela 15, Apêndice B), duas pedem atenção agora, e as duas têm prazo:</w:t>
      </w:r>
    </w:p>
    <w:p>
      <w:pPr>
        <w:pStyle w:val="ListBullet"/>
      </w:pPr>
      <w:r>
        <w:rPr>
          <w:b/>
        </w:rPr>
        <w:t>Dados de clientes, a mais grave.</w:t>
      </w:r>
      <w:r>
        <w:t xml:space="preserve"> É a única sem substituto, e o risco já existe: o modelo atual foi treinado com os 35,4% dos dados de clientes que têm autorização fraca ou nenhuma, e os contratos da Seguradora Prisma e do Hospital Vila Ipê vencem em 12/2026 e 03/2027 (seções 2.1 e 5.3).</w:t>
      </w:r>
    </w:p>
    <w:p>
      <w:pPr>
        <w:pStyle w:val="ListBullet"/>
      </w:pPr>
      <w:r>
        <w:rPr>
          <w:b/>
        </w:rPr>
        <w:t>Fornecedor de modelo, a mais rápida.</w:t>
      </w:r>
      <w:r>
        <w:t xml:space="preserve"> Muda preço e termos com 30 dias de aviso. Se o preço dobrar, a margem bruta cai de 58% para 39,5%, e o caixa passa a durar 8,7 meses, em vez de 11,6. Há precedente: a Anthropic lançou em 2024 a nova versão do Haiku a quatro vezes o preço da anterior</w:t>
      </w:r>
      <w:r>
        <w:t>⁷</w:t>
      </w:r>
      <w:r>
        <w:t>.</w:t>
      </w:r>
    </w:p>
    <w:p>
      <w:pPr/>
      <w:r>
        <w:t>As outras três pesam na margem e pedem negociação: proteção cambial para os 72,2% do custo em dólar, plano de portabilidade da nuvem antes da renovação de 04/2027 e teto de reajuste nas bases clínicas.</w:t>
      </w:r>
    </w:p>
    <w:p>
      <w:pPr>
        <w:pStyle w:val="Heading2"/>
      </w:pPr>
      <w:r>
        <w:t>1.4 O que é difícil de copiar</w:t>
      </w:r>
    </w:p>
    <w:p>
      <w:pPr/>
      <w:r>
        <w:t>Testada contra os dados, nenhuma parte do que a Lumis tem é hoje difícil de copiar. As duas que mais valem, a base histórica e a validação clínica, estão travadas.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2381"/>
        <w:gridCol w:w="4649"/>
      </w:tblGrid>
      <w:tr>
        <w:trPr>
          <w:cantSplit/>
          <w:tblHeader w:val="true"/>
        </w:trPr>
        <w:tc>
          <w:tcPr>
            <w:tcW w:type="dxa" w:w="2041"/>
            <w:shd w:val="clear" w:color="auto" w:fill="0F2D3A"/>
          </w:tcPr>
          <w:p>
            <w:pPr>
              <w:pStyle w:val="LumisTabela"/>
              <w:keepNext/>
            </w:pPr>
            <w:r>
              <w:rPr>
                <w:b/>
                <w:color w:val="FFFFFF"/>
              </w:rPr>
              <w:t>Hoje</w:t>
            </w:r>
          </w:p>
        </w:tc>
        <w:tc>
          <w:tcPr>
            <w:tcW w:type="dxa" w:w="2381"/>
            <w:shd w:val="clear" w:color="auto" w:fill="0F2D3A"/>
          </w:tcPr>
          <w:p>
            <w:pPr>
              <w:pStyle w:val="LumisTabela"/>
              <w:keepNext/>
            </w:pPr>
            <w:r>
              <w:rPr>
                <w:b/>
                <w:color w:val="FFFFFF"/>
              </w:rPr>
              <w:t>Elemento</w:t>
            </w:r>
          </w:p>
        </w:tc>
        <w:tc>
          <w:tcPr>
            <w:tcW w:type="dxa" w:w="4649"/>
            <w:shd w:val="clear" w:color="auto" w:fill="0F2D3A"/>
          </w:tcPr>
          <w:p>
            <w:pPr>
              <w:pStyle w:val="LumisTabela"/>
              <w:keepNext/>
            </w:pPr>
            <w:r>
              <w:rPr>
                <w:b/>
                <w:color w:val="FFFFFF"/>
              </w:rPr>
              <w:t>Por quê</w:t>
            </w:r>
          </w:p>
        </w:tc>
      </w:tr>
      <w:tr>
        <w:trPr>
          <w:cantSplit/>
        </w:trPr>
        <w:tc>
          <w:tcPr>
            <w:tcW w:type="dxa" w:w="2041"/>
            <w:vAlign w:val="center"/>
          </w:tcPr>
          <w:p>
            <w:pPr>
              <w:pStyle w:val="LumisTabela"/>
            </w:pPr>
            <w:r>
              <w:rPr>
                <w:b/>
                <w:color w:val="6B7C85"/>
              </w:rPr>
              <w:t>Copiável</w:t>
            </w:r>
          </w:p>
        </w:tc>
        <w:tc>
          <w:tcPr>
            <w:tcW w:type="dxa" w:w="2381"/>
            <w:vAlign w:val="center"/>
          </w:tcPr>
          <w:p>
            <w:pPr>
              <w:pStyle w:val="LumisTabela"/>
            </w:pPr>
            <w:r>
              <w:rPr>
                <w:b/>
              </w:rPr>
              <w:t>Modelo e tecnologia de IA</w:t>
            </w:r>
          </w:p>
        </w:tc>
        <w:tc>
          <w:tcPr>
            <w:tcW w:type="dxa" w:w="4649"/>
            <w:vAlign w:val="center"/>
          </w:tcPr>
          <w:p>
            <w:pPr>
              <w:pStyle w:val="LumisTabela"/>
            </w:pPr>
            <w:r>
              <w:t>É de terceiro, à venda por consumo, com preço em queda.</w:t>
            </w:r>
          </w:p>
        </w:tc>
      </w:tr>
      <w:tr>
        <w:trPr>
          <w:cantSplit/>
        </w:trPr>
        <w:tc>
          <w:tcPr>
            <w:tcW w:type="dxa" w:w="2041"/>
            <w:vAlign w:val="center"/>
            <w:vMerge w:val="restart"/>
            <w:shd w:val="clear" w:color="auto" w:fill="F1F6F4"/>
          </w:tcPr>
          <w:p>
            <w:pPr>
              <w:pStyle w:val="LumisTabela"/>
              <w:keepNext/>
            </w:pPr>
            <w:r>
              <w:rPr>
                <w:b/>
                <w:color w:val="0F2D3A"/>
              </w:rPr>
              <w:t>Parcialmente difícil</w:t>
            </w:r>
          </w:p>
        </w:tc>
        <w:tc>
          <w:tcPr>
            <w:tcW w:type="dxa" w:w="2381"/>
            <w:vAlign w:val="center"/>
            <w:shd w:val="clear" w:color="auto" w:fill="F1F6F4"/>
          </w:tcPr>
          <w:p>
            <w:pPr>
              <w:pStyle w:val="LumisTabela"/>
              <w:keepNext/>
            </w:pPr>
            <w:r>
              <w:rPr>
                <w:b/>
              </w:rPr>
              <w:t>Produto especializado</w:t>
            </w:r>
          </w:p>
        </w:tc>
        <w:tc>
          <w:tcPr>
            <w:tcW w:type="dxa" w:w="4649"/>
            <w:vAlign w:val="center"/>
            <w:shd w:val="clear" w:color="auto" w:fill="F1F6F4"/>
          </w:tcPr>
          <w:p>
            <w:pPr>
              <w:pStyle w:val="LumisTabela"/>
              <w:keepNext/>
            </w:pPr>
            <w:r>
              <w:t>A Aster embute priorização no hospital, e os grandes clientes internalizam.</w:t>
            </w:r>
          </w:p>
        </w:tc>
      </w:tr>
      <w:tr>
        <w:trPr>
          <w:cantSplit/>
        </w:trPr>
        <w:tc>
          <w:tcPr>
            <w:tcW w:type="dxa" w:w="2041"/>
            <w:vAlign w:val="center"/>
            <w:vMerge/>
            <w:shd w:val="clear" w:color="auto" w:fill="F1F6F4"/>
          </w:tcPr>
          <w:p>
            <w:pPr>
              <w:pStyle w:val="LumisTabela"/>
            </w:pPr>
          </w:p>
        </w:tc>
        <w:tc>
          <w:tcPr>
            <w:tcW w:type="dxa" w:w="2381"/>
            <w:vAlign w:val="center"/>
            <w:shd w:val="clear" w:color="auto" w:fill="F1F6F4"/>
          </w:tcPr>
          <w:p>
            <w:pPr>
              <w:pStyle w:val="LumisTabela"/>
            </w:pPr>
            <w:r>
              <w:rPr>
                <w:b/>
              </w:rPr>
              <w:t>Integração e relacionamento</w:t>
            </w:r>
          </w:p>
        </w:tc>
        <w:tc>
          <w:tcPr>
            <w:tcW w:type="dxa" w:w="4649"/>
            <w:vAlign w:val="center"/>
            <w:shd w:val="clear" w:color="auto" w:fill="F1F6F4"/>
          </w:tcPr>
          <w:p>
            <w:pPr>
              <w:pStyle w:val="LumisTabela"/>
            </w:pPr>
            <w:r>
              <w:t>Churn de 11% ao ano; a retenção não foi testada contra a Aster.</w:t>
            </w:r>
          </w:p>
        </w:tc>
      </w:tr>
      <w:tr>
        <w:trPr>
          <w:cantSplit/>
        </w:trPr>
        <w:tc>
          <w:tcPr>
            <w:tcW w:type="dxa" w:w="2041"/>
            <w:vAlign w:val="center"/>
          </w:tcPr>
          <w:p>
            <w:pPr>
              <w:pStyle w:val="LumisTabela"/>
            </w:pPr>
            <w:r>
              <w:rPr>
                <w:b/>
                <w:color w:val="0F2D3A"/>
              </w:rPr>
              <w:t>Moderadamente difícil</w:t>
            </w:r>
          </w:p>
        </w:tc>
        <w:tc>
          <w:tcPr>
            <w:tcW w:type="dxa" w:w="2381"/>
            <w:vAlign w:val="center"/>
          </w:tcPr>
          <w:p>
            <w:pPr>
              <w:pStyle w:val="LumisTabela"/>
            </w:pPr>
            <w:r>
              <w:rPr>
                <w:b/>
              </w:rPr>
              <w:t>Conhecimento e equipe</w:t>
            </w:r>
          </w:p>
        </w:tc>
        <w:tc>
          <w:tcPr>
            <w:tcW w:type="dxa" w:w="4649"/>
            <w:vAlign w:val="center"/>
          </w:tcPr>
          <w:p>
            <w:pPr>
              <w:pStyle w:val="LumisTabela"/>
            </w:pPr>
            <w:r>
              <w:t>48 técnicos e 4 anos de domínio, que saem da empresa com as pessoas.</w:t>
            </w:r>
          </w:p>
        </w:tc>
      </w:tr>
      <w:tr>
        <w:trPr>
          <w:cantSplit/>
        </w:trPr>
        <w:tc>
          <w:tcPr>
            <w:tcW w:type="dxa" w:w="2041"/>
            <w:vAlign w:val="center"/>
            <w:vMerge w:val="restart"/>
            <w:shd w:val="clear" w:color="auto" w:fill="FBF3E6"/>
          </w:tcPr>
          <w:p>
            <w:pPr>
              <w:pStyle w:val="LumisTabela"/>
              <w:keepNext/>
            </w:pPr>
            <w:r>
              <w:rPr>
                <w:b/>
                <w:color w:val="B7791F"/>
              </w:rPr>
              <w:t>Valioso, mas travado</w:t>
            </w:r>
          </w:p>
        </w:tc>
        <w:tc>
          <w:tcPr>
            <w:tcW w:type="dxa" w:w="2381"/>
            <w:vAlign w:val="center"/>
            <w:shd w:val="clear" w:color="auto" w:fill="FBF3E6"/>
          </w:tcPr>
          <w:p>
            <w:pPr>
              <w:pStyle w:val="LumisTabela"/>
              <w:keepNext/>
            </w:pPr>
            <w:r>
              <w:rPr>
                <w:b/>
              </w:rPr>
              <w:t>Base histórica</w:t>
            </w:r>
          </w:p>
        </w:tc>
        <w:tc>
          <w:tcPr>
            <w:tcW w:type="dxa" w:w="4649"/>
            <w:vAlign w:val="center"/>
            <w:shd w:val="clear" w:color="auto" w:fill="FBF3E6"/>
          </w:tcPr>
          <w:p>
            <w:pPr>
              <w:pStyle w:val="LumisTabela"/>
              <w:keepNext/>
            </w:pPr>
            <w:r>
              <w:t>Dados de clientes com autorização fraca e viés.</w:t>
            </w:r>
          </w:p>
          <w:p>
            <w:pPr>
              <w:pStyle w:val="LumisTabela"/>
            </w:pPr>
            <w:r>
              <w:rPr>
                <w:i/>
                <w:color w:val="1E8C6B"/>
              </w:rPr>
              <w:t>Destrava com contratos regularizados e viés corrigido.</w:t>
            </w:r>
          </w:p>
        </w:tc>
      </w:tr>
      <w:tr>
        <w:trPr>
          <w:cantSplit/>
        </w:trPr>
        <w:tc>
          <w:tcPr>
            <w:tcW w:type="dxa" w:w="2041"/>
            <w:vAlign w:val="center"/>
            <w:vMerge/>
            <w:shd w:val="clear" w:color="auto" w:fill="FBF3E6"/>
          </w:tcPr>
          <w:p>
            <w:pPr>
              <w:pStyle w:val="LumisTabela"/>
            </w:pPr>
          </w:p>
        </w:tc>
        <w:tc>
          <w:tcPr>
            <w:tcW w:type="dxa" w:w="2381"/>
            <w:vAlign w:val="center"/>
            <w:shd w:val="clear" w:color="auto" w:fill="FBF3E6"/>
          </w:tcPr>
          <w:p>
            <w:pPr>
              <w:pStyle w:val="LumisTabela"/>
            </w:pPr>
            <w:r>
              <w:rPr>
                <w:b/>
              </w:rPr>
              <w:t>Validação clínica</w:t>
            </w:r>
          </w:p>
        </w:tc>
        <w:tc>
          <w:tcPr>
            <w:tcW w:type="dxa" w:w="4649"/>
            <w:vAlign w:val="center"/>
            <w:shd w:val="clear" w:color="auto" w:fill="FBF3E6"/>
          </w:tcPr>
          <w:p>
            <w:pPr>
              <w:pStyle w:val="LumisTabela"/>
            </w:pPr>
            <w:r>
              <w:t>Os 94% caem para 87,6% em campo.</w:t>
            </w:r>
          </w:p>
          <w:p>
            <w:pPr>
              <w:pStyle w:val="LumisTabela"/>
            </w:pPr>
            <w:r>
              <w:rPr>
                <w:i/>
                <w:color w:val="1E8C6B"/>
              </w:rPr>
              <w:t>Destrava com validação em campo por grupo.</w:t>
            </w:r>
          </w:p>
        </w:tc>
      </w:tr>
      <w:tr>
        <w:trPr>
          <w:cantSplit/>
        </w:trPr>
        <w:tc>
          <w:tcPr>
            <w:tcW w:type="dxa" w:w="2041"/>
            <w:vAlign w:val="center"/>
            <w:shd w:val="clear" w:color="auto" w:fill="EEF7F3"/>
          </w:tcPr>
          <w:p>
            <w:pPr>
              <w:pStyle w:val="LumisTabela"/>
              <w:keepNext/>
            </w:pPr>
            <w:r>
              <w:rPr>
                <w:b/>
                <w:color w:val="1E8C6B"/>
              </w:rPr>
              <w:t>Difícil de copiar</w:t>
            </w:r>
          </w:p>
        </w:tc>
        <w:tc>
          <w:tcPr>
            <w:tcW w:type="dxa" w:w="2381"/>
            <w:vAlign w:val="center"/>
            <w:shd w:val="clear" w:color="auto" w:fill="EEF7F3"/>
          </w:tcPr>
          <w:p>
            <w:pPr>
              <w:pStyle w:val="LumisTabela"/>
              <w:keepNext/>
            </w:pPr>
            <w:r>
              <w:rPr>
                <w:b/>
              </w:rPr>
              <w:t>Nada hoje</w:t>
            </w:r>
          </w:p>
        </w:tc>
        <w:tc>
          <w:tcPr>
            <w:tcW w:type="dxa" w:w="4649"/>
            <w:vAlign w:val="center"/>
            <w:shd w:val="clear" w:color="auto" w:fill="EEF7F3"/>
          </w:tcPr>
          <w:p>
            <w:pPr>
              <w:pStyle w:val="LumisTabela"/>
              <w:keepNext/>
            </w:pPr>
            <w:r>
              <w:t>A construir: dado de desfecho com direito de uso limpo e prova auditável de desempenho por grupo.</w:t>
            </w:r>
          </w:p>
        </w:tc>
      </w:tr>
    </w:tbl>
    <w:p>
      <w:pPr>
        <w:pStyle w:val="Caption"/>
      </w:pPr>
      <w:r>
        <w:t>Tabela 3. Cada elemento, do mais fácil ao mais difícil de copiar. Fonte: Cap. 2, Anexo A; classificação da equipe.</w:t>
      </w:r>
    </w:p>
    <w:p>
      <w:pPr/>
      <w:r>
        <w:t>Da base, só os dados de clientes, 26,8%, são exclusivos da Lumis (Figura 4), e estão concentrados: só 2 dos 24 clientes de saúde fornecem dados, e cerca de três quartos do dado clínico de clientes vêm da Rede Sanare.</w:t>
      </w:r>
    </w:p>
    <w:p>
      <w:pPr/>
      <w:r>
        <w:t xml:space="preserve">O que pode virar barreira é o histórico de 2019 a 2026, se ele registrar a priorização clínica brasileira junto com o desfecho, algo que nenhum fornecedor de modelo tem </w:t>
      </w:r>
      <w:r>
        <w:rPr>
          <w:rStyle w:val="TagHipótese"/>
        </w:rPr>
        <w:t>[hipótese]</w:t>
      </w:r>
      <w:r>
        <w:t>. O caminho até lá:</w:t>
      </w:r>
    </w:p>
    <w:p>
      <w:pPr>
        <w:pStyle w:val="ListBullet"/>
      </w:pPr>
      <w:r>
        <w:t>Regularizar os contratos de dados antes dos vencimentos e estender o direito de uso aos demais clientes.</w:t>
      </w:r>
    </w:p>
    <w:p>
      <w:pPr>
        <w:pStyle w:val="ListBullet"/>
      </w:pPr>
      <w:r>
        <w:t>Trocar os 94% por validação em campo, por grupo e publicada (seção 5.4).</w:t>
      </w:r>
    </w:p>
    <w:p>
      <w:pPr>
        <w:pStyle w:val="ListBullet"/>
      </w:pPr>
      <w:r>
        <w:t>Focar em hospitais e seguradoras médios, onde a integração vale mais e o cliente não faz a própria IA. O novo módulo de crédito para os bancos já clientes é exceção ao foco, só até o modo sombra (seção 4.4).</w:t>
      </w:r>
    </w:p>
    <w:p>
      <w:pPr>
        <w:pStyle w:val="Heading1"/>
        <w:pageBreakBefore/>
      </w:pPr>
      <w:r>
        <w:t>Entrega 2 · Auditoria do ativo: dados e métricas</w:t>
      </w:r>
    </w:p>
    <w:p>
      <w:pPr>
        <w:pStyle w:val="LumisDestaque"/>
      </w:pPr>
      <w:r>
        <w:t>Hoje o ativo da Lumis não passa numa auditoria independente. A parte da base que só a Lumis tem está sob contratos frágeis, e o modelo erra mais justamente com quem mais precisa de prioridade.</w:t>
      </w:r>
    </w:p>
    <w:p>
      <w:pPr>
        <w:pStyle w:val="Heading2"/>
      </w:pPr>
      <w:r>
        <w:t>2.1 De onde vêm os dados e se a Lumis pode usá-los</w:t>
      </w:r>
    </w:p>
    <w:p>
      <w:pPr>
        <w:keepNext/>
        <w:jc w:val="center"/>
      </w:pPr>
      <w:r>
        <w:drawing>
          <wp:inline xmlns:a="http://schemas.openxmlformats.org/drawingml/2006/main" xmlns:pic="http://schemas.openxmlformats.org/drawingml/2006/picture">
            <wp:extent cx="4140000" cy="1260472"/>
            <wp:docPr id="6" name="Picture 6"/>
            <wp:cNvGraphicFramePr>
              <a:graphicFrameLocks noChangeAspect="1"/>
            </wp:cNvGraphicFramePr>
            <a:graphic>
              <a:graphicData uri="http://schemas.openxmlformats.org/drawingml/2006/picture">
                <pic:pic>
                  <pic:nvPicPr>
                    <pic:cNvPr id="0" name="d_e2_base.png"/>
                    <pic:cNvPicPr/>
                  </pic:nvPicPr>
                  <pic:blipFill>
                    <a:blip r:embed="rId16"/>
                    <a:stretch>
                      <a:fillRect/>
                    </a:stretch>
                  </pic:blipFill>
                  <pic:spPr>
                    <a:xfrm>
                      <a:off x="0" y="0"/>
                      <a:ext cx="4140000" cy="1260472"/>
                    </a:xfrm>
                    <a:prstGeom prst="rect"/>
                  </pic:spPr>
                </pic:pic>
              </a:graphicData>
            </a:graphic>
          </wp:inline>
        </w:drawing>
      </w:r>
    </w:p>
    <w:p>
      <w:pPr>
        <w:pStyle w:val="Caption"/>
      </w:pPr>
      <w:r>
        <w:t>Figura 4. A base de treinamento do Lumis Insight. Fonte: Cap. 2, Quadro 7.</w:t>
      </w:r>
    </w:p>
    <w:p>
      <w:pPr>
        <w:pStyle w:val="ListBullet"/>
      </w:pPr>
      <w:r>
        <w:rPr>
          <w:b/>
        </w:rPr>
        <w:t>Só pouco mais de um quarto da base é exclusivo da Lumis.</w:t>
      </w:r>
      <w:r>
        <w:t xml:space="preserve"> O DATASUS, a maior parte, está aberto a qualquer concorrente. Dos dados de clientes, 35,4% (2,09 milhões de registros) vêm de contratos que não autorizam o treino com clareza, e esses são os primeiros a vencer.</w:t>
      </w:r>
    </w:p>
    <w:p>
      <w:pPr>
        <w:pStyle w:val="ListBullet"/>
      </w:pPr>
      <w:r>
        <w:rPr>
          <w:b/>
        </w:rPr>
        <w:t>O risco já existe.</w:t>
      </w:r>
      <w:r>
        <w:t xml:space="preserve"> Nenhum dos seis instrumentos que dão base aos dados passou por revisão jurídica desde a assinatura, e o modelo atual já foi treinado com esses dados. A LGPD pede finalidade específica e informada para dado de saúde</w:t>
      </w:r>
      <w:r>
        <w:t>²</w:t>
      </w:r>
      <w:r>
        <w:t>, e quem trata dados em nome do cliente só pode usá-los para a finalidade definida por ele</w:t>
      </w:r>
      <w:r>
        <w:t>⁸</w:t>
      </w:r>
      <w:r>
        <w:t>. Uma cláusula de "melhoria contínua do serviço" dificilmente cobre treinar um produto vendido a outros clientes.</w:t>
      </w:r>
    </w:p>
    <w:p>
      <w:pPr>
        <w:pStyle w:val="ListBullet"/>
      </w:pPr>
      <w:r>
        <w:rPr>
          <w:b/>
        </w:rPr>
        <w:t>Parte dos dados é anterior à empresa.</w:t>
      </w:r>
      <w:r>
        <w:t xml:space="preserve"> Há registros desde 2019, e a Lumis foi fundada em 2022.</w:t>
      </w:r>
    </w:p>
    <w:p>
      <w:pPr/>
      <w:r>
        <w:rPr>
          <w:b/>
        </w:rPr>
        <w:t>Recomendação:</w:t>
      </w:r>
      <w:r>
        <w:t xml:space="preserve"> parecer da DPO sobre os seis instrumentos antes do próximo treino, e renegociação de Prisma e Vila Ipê antes do vencimento, incluindo o histórico.</w:t>
      </w:r>
    </w:p>
    <w:p>
      <w:pPr>
        <w:pStyle w:val="Heading2"/>
      </w:pPr>
      <w:r>
        <w:t>2.2 O que o modelo mede de fato</w:t>
      </w:r>
    </w:p>
    <w:p>
      <w:pPr/>
      <w:r>
        <w:t>As duas variáveis que mais pesam no modelo deveriam medir necessidade e gravidade. Na prática, medem acesso: quem conseguiu ser atendido e quanto isso custou. Com outras duas, são quatro variáveis e 49,8% do peso medindo acesso (Figura 6, Apêndice B). Quem teve menos acesso parece menos grave. É o problema da variável substituta (proxy), e o caso registra que "foi exatamente isso que aconteceu no incidente da Fase 1" (Cap. 2, seção 2.2).</w:t>
      </w:r>
    </w:p>
    <w:p>
      <w:pPr/>
      <w:r>
        <w:t>O mesmo erro já apareceu fora daqui: nos Estados Unidos, um algoritmo que previa o custo do paciente no lugar da doença dava a pacientes negros, com menos acesso, o mesmo escore de pacientes brancos mais saudáveis</w:t>
      </w:r>
      <w:r>
        <w:t>⁹</w:t>
      </w:r>
      <w:r>
        <w:t>.</w:t>
      </w:r>
    </w:p>
    <w:p>
      <w:pPr>
        <w:pStyle w:val="Heading2"/>
      </w:pPr>
      <w:r>
        <w:t>2.3 O que acontece em campo</w:t>
      </w:r>
    </w:p>
    <w:p>
      <w:pPr/>
      <w:r>
        <w:t>Os 94% de acurácia vêm de uma amostra de 2023 com dois hospitais da mesma região. Em campo, a parcela de pacientes que precisavam de prioridade e não receberam mais que dobrou, e o erro se concentra em quem já é mais vulnerável (Figura 2, seção 5.2). Quem mediu o pior número foi o Hospital Vila Ipê, e não a Lumis.</w:t>
      </w:r>
    </w:p>
    <w:p>
      <w:pPr>
        <w:pStyle w:val="Heading2"/>
      </w:pPr>
      <w:r>
        <w:t>2.4 Os números que mostramos ao mercado</w:t>
      </w:r>
    </w:p>
    <w:p>
      <w:pPr/>
      <w:r>
        <w:t>O Vetor Capital avisou: número que não sobrevive a uma auditoria independente vira passivo. Passamos as cinco afirmações do painel comercial pelas quatro perguntas sobre métricas (Figura 7, Apêndice B), e nenhuma fica como está:</w:t>
      </w:r>
    </w:p>
    <w:p>
      <w:pPr>
        <w:pStyle w:val="ListBullet"/>
      </w:pPr>
      <w:r>
        <w:t>os 94% de acurácia valem para a validação de 2023; em campo, 87,6%;</w:t>
      </w:r>
    </w:p>
    <w:p>
      <w:pPr>
        <w:pStyle w:val="ListBullet"/>
      </w:pPr>
      <w:r>
        <w:t>os 30% de redução vêm de um piloto de seis semanas sem grupo de controle;</w:t>
      </w:r>
    </w:p>
    <w:p>
      <w:pPr>
        <w:pStyle w:val="ListBullet"/>
      </w:pPr>
      <w:r>
        <w:t>os 5,2 milhões de "vidas analisadas" contam registros, com o mesmo paciente repetido; o erro foi achado em janeiro e continua no material comercial;</w:t>
      </w:r>
    </w:p>
    <w:p>
      <w:pPr>
        <w:pStyle w:val="ListBullet"/>
      </w:pPr>
      <w:r>
        <w:t>o NPS 72 vale para 9 respondentes escolhidos pelo comercial;</w:t>
      </w:r>
    </w:p>
    <w:p>
      <w:pPr>
        <w:pStyle w:val="ListBullet"/>
      </w:pPr>
      <w:r>
        <w:t>os 99,92% de disponibilidade cobrem só a interface de programação.</w:t>
      </w:r>
    </w:p>
    <w:p>
      <w:pPr/>
      <w:r>
        <w:t>Manter esses números contradiz o compromisso de Transparência, da Declaração de Intenção da Fase 1.</w:t>
      </w:r>
    </w:p>
    <w:p>
      <w:pPr>
        <w:pStyle w:val="Heading2"/>
      </w:pPr>
      <w:r>
        <w:t>2.5 O que passamos a medir e o que decidimos agora</w:t>
      </w:r>
    </w:p>
    <w:p>
      <w:pPr/>
      <w:r>
        <w:t>No lugar dessas métricas, propomos cinco indicadores (Figura 5). Cada um muda uma decisão concreta, se abre por grupo quando cabe e tem um conferente que não produziu o número. O Responsável por Dados apura os indicadores 1 e 3, a DPO o 2 e o Head of AI Management o 4 e o 5.</w:t>
      </w:r>
    </w:p>
    <w:p>
      <w:pPr>
        <w:keepNext/>
        <w:jc w:val="center"/>
      </w:pPr>
      <w:r>
        <w:drawing>
          <wp:inline xmlns:a="http://schemas.openxmlformats.org/drawingml/2006/main" xmlns:pic="http://schemas.openxmlformats.org/drawingml/2006/picture">
            <wp:extent cx="4320000" cy="3398740"/>
            <wp:docPr id="7" name="Picture 7"/>
            <wp:cNvGraphicFramePr>
              <a:graphicFrameLocks noChangeAspect="1"/>
            </wp:cNvGraphicFramePr>
            <a:graphic>
              <a:graphicData uri="http://schemas.openxmlformats.org/drawingml/2006/picture">
                <pic:pic>
                  <pic:nvPicPr>
                    <pic:cNvPr id="0" name="d_e2_indicadores.png"/>
                    <pic:cNvPicPr/>
                  </pic:nvPicPr>
                  <pic:blipFill>
                    <a:blip r:embed="rId17"/>
                    <a:stretch>
                      <a:fillRect/>
                    </a:stretch>
                  </pic:blipFill>
                  <pic:spPr>
                    <a:xfrm>
                      <a:off x="0" y="0"/>
                      <a:ext cx="4320000" cy="3398740"/>
                    </a:xfrm>
                    <a:prstGeom prst="rect"/>
                  </pic:spPr>
                </pic:pic>
              </a:graphicData>
            </a:graphic>
          </wp:inline>
        </w:drawing>
      </w:r>
    </w:p>
    <w:p>
      <w:pPr>
        <w:pStyle w:val="Caption"/>
      </w:pPr>
      <w:r>
        <w:t>Figura 5. Os cinco indicadores, com limites propostos pela equipe. Fonte: Cap. 2, Quadros 7, 10, 11, 14 e 17.</w:t>
      </w:r>
    </w:p>
    <w:p>
      <w:pPr/>
      <w:r>
        <w:rPr>
          <w:b/>
        </w:rPr>
        <w:t>A decisão de agora.</w:t>
      </w:r>
      <w: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of AI Management ordena e o CTO executa. Cerca de um quarto das priorizações, por volta de 154 mil por mês, volta à triagem do hospital </w:t>
      </w:r>
      <w:r>
        <w:rPr>
          <w:rStyle w:val="TagHipótese"/>
        </w:rPr>
        <w:t>[hipótese: distribuição das decisões igual à da base]</w:t>
      </w:r>
      <w:r>
        <w:t>, e o modelo segue rodando em paralelo, sem decidir, para medir a correção.</w:t>
      </w:r>
    </w:p>
    <w:p>
      <w:pPr>
        <w:pStyle w:val="Heading1"/>
        <w:pageBreakBefore/>
      </w:pPr>
      <w:r>
        <w:t>Entrega 3 · A linha de responsabilidade</w:t>
      </w:r>
    </w:p>
    <w:p>
      <w:pPr>
        <w:pStyle w:val="LumisDestaque"/>
      </w:pPr>
      <w:r>
        <w:t>Os registros da Lumis não mostram, para nenhuma decisão do Lumis Insight, um cargo que autorizou o uso, um que acompanha o erro e um que pode desligar o sistema em prazo conhecido. Propomos um cargo para cada etapa: autorizar, acompanhar, suspender e religar.</w:t>
      </w:r>
    </w:p>
    <w:p>
      <w:pPr>
        <w:pStyle w:val="Heading2"/>
      </w:pPr>
      <w:r>
        <w:t>3.1 As decisões que o sistema toma hoje</w:t>
      </w:r>
    </w:p>
    <w:p>
      <w:pPr/>
      <w:r>
        <w:t>O sistema toma cerca de um milhão de decisões por mês. Classificamos como de alto impacto toda decisão que afeta a saúde ou o acesso a um serviço essencial: são quatro das cinco.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721"/>
        <w:gridCol w:w="907"/>
        <w:gridCol w:w="1984"/>
        <w:gridCol w:w="2551"/>
        <w:gridCol w:w="907"/>
      </w:tblGrid>
      <w:tr>
        <w:trPr>
          <w:cantSplit/>
          <w:tblHeader w:val="true"/>
        </w:trPr>
        <w:tc>
          <w:tcPr>
            <w:tcW w:type="dxa" w:w="2721"/>
            <w:shd w:val="clear" w:color="auto" w:fill="0F2D3A"/>
          </w:tcPr>
          <w:p>
            <w:pPr>
              <w:pStyle w:val="LumisTabela"/>
              <w:keepNext/>
            </w:pPr>
            <w:r>
              <w:rPr>
                <w:b/>
                <w:color w:val="FFFFFF"/>
              </w:rPr>
              <w:t>Decisão</w:t>
            </w:r>
          </w:p>
        </w:tc>
        <w:tc>
          <w:tcPr>
            <w:tcW w:type="dxa" w:w="907"/>
            <w:shd w:val="clear" w:color="auto" w:fill="0F2D3A"/>
          </w:tcPr>
          <w:p>
            <w:pPr>
              <w:pStyle w:val="LumisTabela"/>
              <w:keepNext/>
            </w:pPr>
            <w:r>
              <w:rPr>
                <w:b/>
                <w:color w:val="FFFFFF"/>
              </w:rPr>
              <w:t>Por mês</w:t>
            </w:r>
          </w:p>
        </w:tc>
        <w:tc>
          <w:tcPr>
            <w:tcW w:type="dxa" w:w="1984"/>
            <w:shd w:val="clear" w:color="auto" w:fill="0F2D3A"/>
          </w:tcPr>
          <w:p>
            <w:pPr>
              <w:pStyle w:val="LumisTabela"/>
              <w:keepNext/>
            </w:pPr>
            <w:r>
              <w:rPr>
                <w:b/>
                <w:color w:val="FFFFFF"/>
              </w:rPr>
              <w:t>Revisão humana hoje</w:t>
            </w:r>
          </w:p>
        </w:tc>
        <w:tc>
          <w:tcPr>
            <w:tcW w:type="dxa" w:w="2551"/>
            <w:shd w:val="clear" w:color="auto" w:fill="0F2D3A"/>
          </w:tcPr>
          <w:p>
            <w:pPr>
              <w:pStyle w:val="LumisTabela"/>
              <w:keepNext/>
            </w:pPr>
            <w:r>
              <w:rPr>
                <w:b/>
                <w:color w:val="FFFFFF"/>
              </w:rPr>
              <w:t>Quem autorizou o uso</w:t>
            </w:r>
          </w:p>
        </w:tc>
        <w:tc>
          <w:tcPr>
            <w:tcW w:type="dxa" w:w="907"/>
            <w:shd w:val="clear" w:color="auto" w:fill="0F2D3A"/>
          </w:tcPr>
          <w:p>
            <w:pPr>
              <w:pStyle w:val="LumisTabela"/>
              <w:keepNext/>
            </w:pPr>
            <w:r>
              <w:rPr>
                <w:b/>
                <w:color w:val="FFFFFF"/>
              </w:rPr>
              <w:t>Impacto</w:t>
            </w:r>
          </w:p>
        </w:tc>
      </w:tr>
      <w:tr>
        <w:trPr>
          <w:cantSplit/>
        </w:trPr>
        <w:tc>
          <w:tcPr>
            <w:tcW w:type="dxa" w:w="2721"/>
            <w:shd w:val="clear" w:color="auto" w:fill="F1F6F4"/>
          </w:tcPr>
          <w:p>
            <w:pPr>
              <w:pStyle w:val="LumisTabela"/>
            </w:pPr>
            <w:r>
              <w:t>Priorização da fila de atendimento</w:t>
            </w:r>
          </w:p>
        </w:tc>
        <w:tc>
          <w:tcPr>
            <w:tcW w:type="dxa" w:w="907"/>
            <w:shd w:val="clear" w:color="auto" w:fill="F1F6F4"/>
          </w:tcPr>
          <w:p>
            <w:pPr>
              <w:pStyle w:val="LumisTabela"/>
            </w:pPr>
            <w:r>
              <w:t>640 mil</w:t>
            </w:r>
          </w:p>
        </w:tc>
        <w:tc>
          <w:tcPr>
            <w:tcW w:type="dxa" w:w="1984"/>
            <w:shd w:val="clear" w:color="auto" w:fill="F1F6F4"/>
          </w:tcPr>
          <w:p>
            <w:pPr>
              <w:pStyle w:val="LumisTabela"/>
            </w:pPr>
            <w:r>
              <w:t>Amostra de 2%</w:t>
            </w:r>
          </w:p>
        </w:tc>
        <w:tc>
          <w:tcPr>
            <w:tcW w:type="dxa" w:w="2551"/>
            <w:shd w:val="clear" w:color="auto" w:fill="F1F6F4"/>
          </w:tcPr>
          <w:p>
            <w:pPr>
              <w:pStyle w:val="LumisTabela"/>
            </w:pPr>
            <w:r>
              <w:t>Diretoria comercial do cliente, sem aprovação interna formal</w:t>
            </w:r>
          </w:p>
        </w:tc>
        <w:tc>
          <w:tcPr>
            <w:tcW w:type="dxa" w:w="907"/>
            <w:shd w:val="clear" w:color="auto" w:fill="F1F6F4"/>
          </w:tcPr>
          <w:p>
            <w:pPr>
              <w:pStyle w:val="LumisTabela"/>
            </w:pPr>
            <w:r>
              <w:t>Alto</w:t>
            </w:r>
          </w:p>
        </w:tc>
      </w:tr>
      <w:tr>
        <w:trPr>
          <w:cantSplit/>
        </w:trPr>
        <w:tc>
          <w:tcPr>
            <w:tcW w:type="dxa" w:w="2721"/>
          </w:tcPr>
          <w:p>
            <w:pPr>
              <w:pStyle w:val="LumisTabela"/>
            </w:pPr>
            <w:r>
              <w:t>Sugestão de protocolo clínico</w:t>
            </w:r>
          </w:p>
        </w:tc>
        <w:tc>
          <w:tcPr>
            <w:tcW w:type="dxa" w:w="907"/>
          </w:tcPr>
          <w:p>
            <w:pPr>
              <w:pStyle w:val="LumisTabela"/>
            </w:pPr>
            <w:r>
              <w:t>210 mil</w:t>
            </w:r>
          </w:p>
        </w:tc>
        <w:tc>
          <w:tcPr>
            <w:tcW w:type="dxa" w:w="1984"/>
          </w:tcPr>
          <w:p>
            <w:pPr>
              <w:pStyle w:val="LumisTabela"/>
            </w:pPr>
            <w:r>
              <w:t>Sempre, pelo médico</w:t>
            </w:r>
          </w:p>
        </w:tc>
        <w:tc>
          <w:tcPr>
            <w:tcW w:type="dxa" w:w="2551"/>
          </w:tcPr>
          <w:p>
            <w:pPr>
              <w:pStyle w:val="LumisTabela"/>
            </w:pPr>
            <w:r>
              <w:t>Comitê clínico do hospital</w:t>
            </w:r>
          </w:p>
        </w:tc>
        <w:tc>
          <w:tcPr>
            <w:tcW w:type="dxa" w:w="907"/>
          </w:tcPr>
          <w:p>
            <w:pPr>
              <w:pStyle w:val="LumisTabela"/>
            </w:pPr>
            <w:r>
              <w:t>Alto</w:t>
            </w:r>
          </w:p>
        </w:tc>
      </w:tr>
      <w:tr>
        <w:trPr>
          <w:cantSplit/>
        </w:trPr>
        <w:tc>
          <w:tcPr>
            <w:tcW w:type="dxa" w:w="2721"/>
            <w:shd w:val="clear" w:color="auto" w:fill="F1F6F4"/>
          </w:tcPr>
          <w:p>
            <w:pPr>
              <w:pStyle w:val="LumisTabela"/>
            </w:pPr>
            <w:r>
              <w:t>Classificação de risco de sinistro</w:t>
            </w:r>
          </w:p>
        </w:tc>
        <w:tc>
          <w:tcPr>
            <w:tcW w:type="dxa" w:w="907"/>
            <w:shd w:val="clear" w:color="auto" w:fill="F1F6F4"/>
          </w:tcPr>
          <w:p>
            <w:pPr>
              <w:pStyle w:val="LumisTabela"/>
            </w:pPr>
            <w:r>
              <w:t>74 mil</w:t>
            </w:r>
          </w:p>
        </w:tc>
        <w:tc>
          <w:tcPr>
            <w:tcW w:type="dxa" w:w="1984"/>
            <w:shd w:val="clear" w:color="auto" w:fill="F1F6F4"/>
          </w:tcPr>
          <w:p>
            <w:pPr>
              <w:pStyle w:val="LumisTabela"/>
            </w:pPr>
            <w:r>
              <w:t>Só acima de R$ 50 mil</w:t>
            </w:r>
          </w:p>
        </w:tc>
        <w:tc>
          <w:tcPr>
            <w:tcW w:type="dxa" w:w="2551"/>
            <w:shd w:val="clear" w:color="auto" w:fill="F1F6F4"/>
          </w:tcPr>
          <w:p>
            <w:pPr>
              <w:pStyle w:val="LumisTabela"/>
            </w:pPr>
            <w:r>
              <w:t>Diretoria da seguradora</w:t>
            </w:r>
          </w:p>
        </w:tc>
        <w:tc>
          <w:tcPr>
            <w:tcW w:type="dxa" w:w="907"/>
            <w:shd w:val="clear" w:color="auto" w:fill="F1F6F4"/>
          </w:tcPr>
          <w:p>
            <w:pPr>
              <w:pStyle w:val="LumisTabela"/>
            </w:pPr>
            <w:r>
              <w:t>Alto</w:t>
            </w:r>
          </w:p>
        </w:tc>
      </w:tr>
      <w:tr>
        <w:trPr>
          <w:cantSplit/>
        </w:trPr>
        <w:tc>
          <w:tcPr>
            <w:tcW w:type="dxa" w:w="2721"/>
          </w:tcPr>
          <w:p>
            <w:pPr>
              <w:pStyle w:val="LumisTabela"/>
            </w:pPr>
            <w:r>
              <w:t>Sinalização de risco de crédito</w:t>
            </w:r>
          </w:p>
        </w:tc>
        <w:tc>
          <w:tcPr>
            <w:tcW w:type="dxa" w:w="907"/>
          </w:tcPr>
          <w:p>
            <w:pPr>
              <w:pStyle w:val="LumisTabela"/>
            </w:pPr>
            <w:r>
              <w:t>31 mil</w:t>
            </w:r>
          </w:p>
        </w:tc>
        <w:tc>
          <w:tcPr>
            <w:tcW w:type="dxa" w:w="1984"/>
          </w:tcPr>
          <w:p>
            <w:pPr>
              <w:pStyle w:val="LumisTabela"/>
            </w:pPr>
            <w:r>
              <w:t>Sempre</w:t>
            </w:r>
          </w:p>
        </w:tc>
        <w:tc>
          <w:tcPr>
            <w:tcW w:type="dxa" w:w="2551"/>
          </w:tcPr>
          <w:p>
            <w:pPr>
              <w:pStyle w:val="LumisTabela"/>
            </w:pPr>
            <w:r>
              <w:t>Comitê de crédito do banco</w:t>
            </w:r>
          </w:p>
        </w:tc>
        <w:tc>
          <w:tcPr>
            <w:tcW w:type="dxa" w:w="907"/>
          </w:tcPr>
          <w:p>
            <w:pPr>
              <w:pStyle w:val="LumisTabela"/>
            </w:pPr>
            <w:r>
              <w:t>Alto</w:t>
            </w:r>
          </w:p>
        </w:tc>
      </w:tr>
      <w:tr>
        <w:trPr>
          <w:cantSplit/>
        </w:trPr>
        <w:tc>
          <w:tcPr>
            <w:tcW w:type="dxa" w:w="2721"/>
            <w:shd w:val="clear" w:color="auto" w:fill="F1F6F4"/>
          </w:tcPr>
          <w:p>
            <w:pPr>
              <w:pStyle w:val="LumisTabela"/>
              <w:keepNext/>
            </w:pPr>
            <w:r>
              <w:t>Roteamento de mensagens de suporte</w:t>
            </w:r>
          </w:p>
        </w:tc>
        <w:tc>
          <w:tcPr>
            <w:tcW w:type="dxa" w:w="907"/>
            <w:shd w:val="clear" w:color="auto" w:fill="F1F6F4"/>
          </w:tcPr>
          <w:p>
            <w:pPr>
              <w:pStyle w:val="LumisTabela"/>
              <w:keepNext/>
            </w:pPr>
            <w:r>
              <w:t>95 mil</w:t>
            </w:r>
          </w:p>
        </w:tc>
        <w:tc>
          <w:tcPr>
            <w:tcW w:type="dxa" w:w="1984"/>
            <w:shd w:val="clear" w:color="auto" w:fill="F1F6F4"/>
          </w:tcPr>
          <w:p>
            <w:pPr>
              <w:pStyle w:val="LumisTabela"/>
              <w:keepNext/>
            </w:pPr>
            <w:r>
              <w:t>Nenhuma</w:t>
            </w:r>
          </w:p>
        </w:tc>
        <w:tc>
          <w:tcPr>
            <w:tcW w:type="dxa" w:w="2551"/>
            <w:shd w:val="clear" w:color="auto" w:fill="F1F6F4"/>
          </w:tcPr>
          <w:p>
            <w:pPr>
              <w:pStyle w:val="LumisTabela"/>
              <w:keepNext/>
            </w:pPr>
            <w:r>
              <w:t>Operação da Lumis</w:t>
            </w:r>
          </w:p>
        </w:tc>
        <w:tc>
          <w:tcPr>
            <w:tcW w:type="dxa" w:w="907"/>
            <w:shd w:val="clear" w:color="auto" w:fill="F1F6F4"/>
          </w:tcPr>
          <w:p>
            <w:pPr>
              <w:pStyle w:val="LumisTabela"/>
              <w:keepNext/>
            </w:pPr>
            <w:r>
              <w:t>Baixo</w:t>
            </w:r>
          </w:p>
        </w:tc>
      </w:tr>
    </w:tbl>
    <w:p>
      <w:pPr>
        <w:pStyle w:val="Caption"/>
      </w:pPr>
      <w:r>
        <w:t>Tabela 4. Decisões delegadas ao sistema. Fonte: Cap. 2, Quadro 12. A coluna Impacto é classificação da equipe.</w:t>
      </w:r>
    </w:p>
    <w:p>
      <w:pPr/>
      <w:r>
        <w:t>O controle segue o costume do cliente: o crédito tem revisão em todos os casos; a priorização, com viés já medido, só em 2%.</w:t>
      </w:r>
    </w:p>
    <w:p>
      <w:pPr>
        <w:pStyle w:val="Heading2"/>
      </w:pPr>
      <w:r>
        <w:t>3.2 Quem responde hoje</w:t>
      </w:r>
    </w:p>
    <w:p>
      <w:pPr/>
      <w:r>
        <w:t xml:space="preserve">A Lumis não tem comitê de ética nem de risco. Dos sete papéis com dono, só um controla o que entra em produção: a liberação de nova versão do modelo, exclusiva do CTO. Os quatro incidentes dos últimos dois anos entraram por outras portas: dados de entrada, atualização do fornecedor, material comercial e acompanhamento por grupo </w:t>
      </w:r>
      <w:r>
        <w:rPr>
          <w:rStyle w:val="TagHipótese"/>
        </w:rPr>
        <w:t>[hipótese]</w:t>
      </w:r>
      <w:r>
        <w:t>. Dois foram percebidos pelo cliente antes da Lumis (Tabela 16, Apêndice B).</w:t>
      </w:r>
    </w:p>
    <w:p>
      <w:pPr>
        <w:pStyle w:val="Heading2"/>
      </w:pPr>
      <w:r>
        <w:t>3.3 A linha de responsabilidade proposta</w:t>
      </w:r>
    </w:p>
    <w:p>
      <w:pPr/>
      <w:r>
        <w:t>Quem libera uma versão não é o único que acompanha o erro nem o único que pode suspender. Suspender exige um cargo; religar, dois. E a Lumis passa a autorizar cada uso, além do cliente.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345"/>
        <w:gridCol w:w="2211"/>
        <w:gridCol w:w="3515"/>
      </w:tblGrid>
      <w:tr>
        <w:trPr>
          <w:cantSplit/>
          <w:tblHeader w:val="true"/>
        </w:trPr>
        <w:tc>
          <w:tcPr>
            <w:tcW w:type="dxa" w:w="3345"/>
            <w:shd w:val="clear" w:color="auto" w:fill="0F2D3A"/>
          </w:tcPr>
          <w:p>
            <w:pPr>
              <w:pStyle w:val="LumisTabela"/>
              <w:keepNext/>
            </w:pPr>
            <w:r>
              <w:rPr>
                <w:b/>
                <w:color w:val="FFFFFF"/>
              </w:rPr>
              <w:t>Etapa</w:t>
            </w:r>
          </w:p>
        </w:tc>
        <w:tc>
          <w:tcPr>
            <w:tcW w:type="dxa" w:w="2211"/>
            <w:shd w:val="clear" w:color="auto" w:fill="0F2D3A"/>
          </w:tcPr>
          <w:p>
            <w:pPr>
              <w:pStyle w:val="LumisTabela"/>
              <w:keepNext/>
            </w:pPr>
            <w:r>
              <w:rPr>
                <w:b/>
                <w:color w:val="FFFFFF"/>
              </w:rPr>
              <w:t>Cargo responsável</w:t>
            </w:r>
          </w:p>
        </w:tc>
        <w:tc>
          <w:tcPr>
            <w:tcW w:type="dxa" w:w="3515"/>
            <w:shd w:val="clear" w:color="auto" w:fill="0F2D3A"/>
          </w:tcPr>
          <w:p>
            <w:pPr>
              <w:pStyle w:val="LumisTabela"/>
              <w:keepNext/>
            </w:pPr>
            <w:r>
              <w:rPr>
                <w:b/>
                <w:color w:val="FFFFFF"/>
              </w:rPr>
              <w:t>Contrapeso</w:t>
            </w:r>
          </w:p>
        </w:tc>
      </w:tr>
      <w:tr>
        <w:trPr>
          <w:cantSplit/>
        </w:trPr>
        <w:tc>
          <w:tcPr>
            <w:tcW w:type="dxa" w:w="3345"/>
            <w:shd w:val="clear" w:color="auto" w:fill="F1F6F4"/>
          </w:tcPr>
          <w:p>
            <w:pPr>
              <w:pStyle w:val="LumisTabela"/>
            </w:pPr>
            <w:r>
              <w:t>Autorizar cada uso em cada cliente</w:t>
            </w:r>
          </w:p>
        </w:tc>
        <w:tc>
          <w:tcPr>
            <w:tcW w:type="dxa" w:w="2211"/>
            <w:shd w:val="clear" w:color="auto" w:fill="F1F6F4"/>
          </w:tcPr>
          <w:p>
            <w:pPr>
              <w:pStyle w:val="LumisTabela"/>
            </w:pPr>
            <w:r>
              <w:t>CEO</w:t>
            </w:r>
          </w:p>
        </w:tc>
        <w:tc>
          <w:tcPr>
            <w:tcW w:type="dxa" w:w="3515"/>
            <w:shd w:val="clear" w:color="auto" w:fill="F1F6F4"/>
          </w:tcPr>
          <w:p>
            <w:pPr>
              <w:pStyle w:val="LumisTabela"/>
            </w:pPr>
            <w:r>
              <w:t>Parecer obrigatório do Head of AI Management e da DPO</w:t>
            </w:r>
          </w:p>
        </w:tc>
      </w:tr>
      <w:tr>
        <w:trPr>
          <w:cantSplit/>
        </w:trPr>
        <w:tc>
          <w:tcPr>
            <w:tcW w:type="dxa" w:w="3345"/>
          </w:tcPr>
          <w:p>
            <w:pPr>
              <w:pStyle w:val="LumisTabela"/>
            </w:pPr>
            <w:r>
              <w:t>Liberar versão nova ou atualização do fornecedor</w:t>
            </w:r>
          </w:p>
        </w:tc>
        <w:tc>
          <w:tcPr>
            <w:tcW w:type="dxa" w:w="2211"/>
          </w:tcPr>
          <w:p>
            <w:pPr>
              <w:pStyle w:val="LumisTabela"/>
            </w:pPr>
            <w:r>
              <w:t>CTO</w:t>
            </w:r>
          </w:p>
        </w:tc>
        <w:tc>
          <w:tcPr>
            <w:tcW w:type="dxa" w:w="3515"/>
          </w:tcPr>
          <w:p>
            <w:pPr>
              <w:pStyle w:val="LumisTabela"/>
            </w:pPr>
            <w:r>
              <w:t>Head of AI Management confere o teste por grupo e pode barrar</w:t>
            </w:r>
          </w:p>
        </w:tc>
      </w:tr>
      <w:tr>
        <w:trPr>
          <w:cantSplit/>
        </w:trPr>
        <w:tc>
          <w:tcPr>
            <w:tcW w:type="dxa" w:w="3345"/>
            <w:shd w:val="clear" w:color="auto" w:fill="F1F6F4"/>
          </w:tcPr>
          <w:p>
            <w:pPr>
              <w:pStyle w:val="LumisTabela"/>
            </w:pPr>
            <w:r>
              <w:t>Medir o erro por grupo e cruzar as reclamações</w:t>
            </w:r>
          </w:p>
        </w:tc>
        <w:tc>
          <w:tcPr>
            <w:tcW w:type="dxa" w:w="2211"/>
            <w:shd w:val="clear" w:color="auto" w:fill="F1F6F4"/>
          </w:tcPr>
          <w:p>
            <w:pPr>
              <w:pStyle w:val="LumisTabela"/>
            </w:pPr>
            <w:r>
              <w:t>Responsável por Dados</w:t>
            </w:r>
          </w:p>
        </w:tc>
        <w:tc>
          <w:tcPr>
            <w:tcW w:type="dxa" w:w="3515"/>
            <w:shd w:val="clear" w:color="auto" w:fill="F1F6F4"/>
          </w:tcPr>
          <w:p>
            <w:pPr>
              <w:pStyle w:val="LumisTabela"/>
            </w:pPr>
            <w:r>
              <w:t>Auditor externo, contratado pela CEO, refaz a conta</w:t>
            </w:r>
          </w:p>
        </w:tc>
      </w:tr>
      <w:tr>
        <w:trPr>
          <w:cantSplit/>
        </w:trPr>
        <w:tc>
          <w:tcPr>
            <w:tcW w:type="dxa" w:w="3345"/>
          </w:tcPr>
          <w:p>
            <w:pPr>
              <w:pStyle w:val="LumisTabela"/>
            </w:pPr>
            <w:r>
              <w:t>Acompanhar e confirmar o alerta</w:t>
            </w:r>
          </w:p>
        </w:tc>
        <w:tc>
          <w:tcPr>
            <w:tcW w:type="dxa" w:w="2211"/>
          </w:tcPr>
          <w:p>
            <w:pPr>
              <w:pStyle w:val="LumisTabela"/>
            </w:pPr>
            <w:r>
              <w:t>Head of AI Management</w:t>
            </w:r>
          </w:p>
        </w:tc>
        <w:tc>
          <w:tcPr>
            <w:tcW w:type="dxa" w:w="3515"/>
          </w:tcPr>
          <w:p>
            <w:pPr>
              <w:pStyle w:val="LumisTabela"/>
            </w:pPr>
            <w:r>
              <w:t>DPO como suplente</w:t>
            </w:r>
          </w:p>
        </w:tc>
      </w:tr>
      <w:tr>
        <w:trPr>
          <w:cantSplit/>
        </w:trPr>
        <w:tc>
          <w:tcPr>
            <w:tcW w:type="dxa" w:w="3345"/>
            <w:shd w:val="clear" w:color="auto" w:fill="F1F6F4"/>
          </w:tcPr>
          <w:p>
            <w:pPr>
              <w:pStyle w:val="LumisTabela"/>
            </w:pPr>
            <w:r>
              <w:t>Suspender ou restringir</w:t>
            </w:r>
          </w:p>
        </w:tc>
        <w:tc>
          <w:tcPr>
            <w:tcW w:type="dxa" w:w="2211"/>
            <w:shd w:val="clear" w:color="auto" w:fill="F1F6F4"/>
          </w:tcPr>
          <w:p>
            <w:pPr>
              <w:pStyle w:val="LumisTabela"/>
            </w:pPr>
            <w:r>
              <w:t>Head of AI Management</w:t>
            </w:r>
          </w:p>
        </w:tc>
        <w:tc>
          <w:tcPr>
            <w:tcW w:type="dxa" w:w="3515"/>
            <w:shd w:val="clear" w:color="auto" w:fill="F1F6F4"/>
          </w:tcPr>
          <w:p>
            <w:pPr>
              <w:pStyle w:val="LumisTabela"/>
            </w:pPr>
            <w:r>
              <w:t>CTO e DPO também podem suspender</w:t>
            </w:r>
          </w:p>
        </w:tc>
      </w:tr>
      <w:tr>
        <w:trPr>
          <w:cantSplit/>
        </w:trPr>
        <w:tc>
          <w:tcPr>
            <w:tcW w:type="dxa" w:w="3345"/>
          </w:tcPr>
          <w:p>
            <w:pPr>
              <w:pStyle w:val="LumisTabela"/>
            </w:pPr>
            <w:r>
              <w:t>Executar a suspensão</w:t>
            </w:r>
          </w:p>
        </w:tc>
        <w:tc>
          <w:tcPr>
            <w:tcW w:type="dxa" w:w="2211"/>
          </w:tcPr>
          <w:p>
            <w:pPr>
              <w:pStyle w:val="LumisTabela"/>
            </w:pPr>
            <w:r>
              <w:t>CTO</w:t>
            </w:r>
          </w:p>
        </w:tc>
        <w:tc>
          <w:tcPr>
            <w:tcW w:type="dxa" w:w="3515"/>
          </w:tcPr>
          <w:p>
            <w:pPr>
              <w:pStyle w:val="LumisTabela"/>
            </w:pPr>
            <w:r>
              <w:t>Responsável por Dados como suplente</w:t>
            </w:r>
          </w:p>
        </w:tc>
      </w:tr>
      <w:tr>
        <w:trPr>
          <w:cantSplit/>
        </w:trPr>
        <w:tc>
          <w:tcPr>
            <w:tcW w:type="dxa" w:w="3345"/>
            <w:shd w:val="clear" w:color="auto" w:fill="F1F6F4"/>
          </w:tcPr>
          <w:p>
            <w:pPr>
              <w:pStyle w:val="LumisTabela"/>
            </w:pPr>
            <w:r>
              <w:t>Religar</w:t>
            </w:r>
          </w:p>
        </w:tc>
        <w:tc>
          <w:tcPr>
            <w:tcW w:type="dxa" w:w="2211"/>
            <w:shd w:val="clear" w:color="auto" w:fill="F1F6F4"/>
          </w:tcPr>
          <w:p>
            <w:pPr>
              <w:pStyle w:val="LumisTabela"/>
            </w:pPr>
            <w:r>
              <w:t>CTO e Head of AI Management, juntos</w:t>
            </w:r>
          </w:p>
        </w:tc>
        <w:tc>
          <w:tcPr>
            <w:tcW w:type="dxa" w:w="3515"/>
            <w:shd w:val="clear" w:color="auto" w:fill="F1F6F4"/>
          </w:tcPr>
          <w:p>
            <w:pPr>
              <w:pStyle w:val="LumisTabela"/>
            </w:pPr>
            <w:r>
              <w:t>Sem acordo, segue suspenso e a CEO leva o caso ao conselho</w:t>
            </w:r>
          </w:p>
        </w:tc>
      </w:tr>
      <w:tr>
        <w:trPr>
          <w:cantSplit/>
        </w:trPr>
        <w:tc>
          <w:tcPr>
            <w:tcW w:type="dxa" w:w="3345"/>
          </w:tcPr>
          <w:p>
            <w:pPr>
              <w:pStyle w:val="LumisTabela"/>
            </w:pPr>
            <w:r>
              <w:t>Aprovar os números divulgados ao mercado</w:t>
            </w:r>
          </w:p>
        </w:tc>
        <w:tc>
          <w:tcPr>
            <w:tcW w:type="dxa" w:w="2211"/>
          </w:tcPr>
          <w:p>
            <w:pPr>
              <w:pStyle w:val="LumisTabela"/>
            </w:pPr>
            <w:r>
              <w:t>Head of AI Management</w:t>
            </w:r>
          </w:p>
        </w:tc>
        <w:tc>
          <w:tcPr>
            <w:tcW w:type="dxa" w:w="3515"/>
          </w:tcPr>
          <w:p>
            <w:pPr>
              <w:pStyle w:val="LumisTabela"/>
            </w:pPr>
            <w:r>
              <w:t>Responsável Comercial corrige o material</w:t>
            </w:r>
          </w:p>
        </w:tc>
      </w:tr>
      <w:tr>
        <w:trPr>
          <w:cantSplit/>
        </w:trPr>
        <w:tc>
          <w:tcPr>
            <w:tcW w:type="dxa" w:w="3345"/>
            <w:shd w:val="clear" w:color="auto" w:fill="F1F6F4"/>
          </w:tcPr>
          <w:p>
            <w:pPr>
              <w:pStyle w:val="LumisTabela"/>
            </w:pPr>
            <w:r>
              <w:t>Proteger dados pessoais e direito de uso</w:t>
            </w:r>
          </w:p>
        </w:tc>
        <w:tc>
          <w:tcPr>
            <w:tcW w:type="dxa" w:w="2211"/>
            <w:shd w:val="clear" w:color="auto" w:fill="F1F6F4"/>
          </w:tcPr>
          <w:p>
            <w:pPr>
              <w:pStyle w:val="LumisTabela"/>
            </w:pPr>
            <w:r>
              <w:t>DPO</w:t>
            </w:r>
          </w:p>
        </w:tc>
        <w:tc>
          <w:tcPr>
            <w:tcW w:type="dxa" w:w="3515"/>
            <w:shd w:val="clear" w:color="auto" w:fill="F1F6F4"/>
          </w:tcPr>
          <w:p>
            <w:pPr>
              <w:pStyle w:val="LumisTabela"/>
            </w:pPr>
            <w:r>
              <w:t>Responsável por Dados retira o dado sem autorização</w:t>
            </w:r>
          </w:p>
        </w:tc>
      </w:tr>
      <w:tr>
        <w:trPr>
          <w:cantSplit/>
        </w:trPr>
        <w:tc>
          <w:tcPr>
            <w:tcW w:type="dxa" w:w="3345"/>
          </w:tcPr>
          <w:p>
            <w:pPr>
              <w:pStyle w:val="LumisTabela"/>
              <w:keepNext/>
            </w:pPr>
            <w:r>
              <w:t>Prestar contas ao conselho</w:t>
            </w:r>
          </w:p>
        </w:tc>
        <w:tc>
          <w:tcPr>
            <w:tcW w:type="dxa" w:w="2211"/>
          </w:tcPr>
          <w:p>
            <w:pPr>
              <w:pStyle w:val="LumisTabela"/>
              <w:keepNext/>
            </w:pPr>
            <w:r>
              <w:t>CEO</w:t>
            </w:r>
          </w:p>
        </w:tc>
        <w:tc>
          <w:tcPr>
            <w:tcW w:type="dxa" w:w="3515"/>
          </w:tcPr>
          <w:p>
            <w:pPr>
              <w:pStyle w:val="LumisTabela"/>
              <w:keepNext/>
            </w:pPr>
            <w:r>
              <w:t>Head of AI Management relata as suspensões diretamente</w:t>
            </w:r>
          </w:p>
        </w:tc>
      </w:tr>
    </w:tbl>
    <w:p>
      <w:pPr>
        <w:pStyle w:val="Caption"/>
      </w:pPr>
      <w:r>
        <w:t>Tabela 5. Quem responde por cada etapa. Proposta da equipe sobre os cargos do Cap. 2, Quadro 13.</w:t>
      </w:r>
    </w:p>
    <w:p>
      <w:pPr/>
      <w:r>
        <w:t>A linha vale para as quatro decisões de alto impacto; muda só o sinal de alerta de cada uma (Tabela 17, Apêndice B), lido a cada quinze dias. Queixa de cliente, contestação de paciente ou incidente dispara o alerta na hora.</w:t>
      </w:r>
    </w:p>
    <w:p>
      <w:pPr/>
      <w:r>
        <w:rPr>
          <w:b/>
        </w:rPr>
        <w:t>Prazo para suspender.</w:t>
      </w:r>
      <w:r>
        <w:t xml:space="preserve"> Confirmado o alerta, a decisão sai em até 24 horas e a execução em mais 24, sem esperar nova leitura; com dano clínico em curso, a execução é imediata. O teto de 48 horas, o mesmo prometido para revisar um caso contestado, vale como meta até o primeiro teste.</w:t>
      </w:r>
    </w:p>
    <w:p>
      <w:pPr/>
      <w:r>
        <w:rPr>
          <w:b/>
        </w:rPr>
        <w:t>O que fazemos já.</w:t>
      </w:r>
      <w:r>
        <w:t xml:space="preserve"> Executar a restrição da seção 2.5; subir para 10% a revisão no grupo de 18 a 59 anos de CEP D/E, que está em alerta; testar a suspensão em até 30 dias, por cliente e por grupo, e repetir a cada trimestre; e exigir nos contratos um cargo do cliente que assine a autorização de uso (cláusula da DPO).</w:t>
      </w:r>
    </w:p>
    <w:p>
      <w:pPr>
        <w:pStyle w:val="Heading2"/>
      </w:pPr>
      <w:r>
        <w:t>3.4 Quando a revisão humana é obrigatória</w:t>
      </w:r>
    </w:p>
    <w:p>
      <w:pPr>
        <w:pStyle w:val="ListBullet"/>
      </w:pPr>
      <w:r>
        <w:rPr>
          <w:b/>
        </w:rPr>
        <w:t>Priorização em grupo acima de 2 vezes o erro do melhor:</w:t>
      </w:r>
      <w:r>
        <w:t xml:space="preserve"> todos os casos voltam à triagem do hospital; acima de 1,5 e até 2 vezes, a revisão sobe de 2% para 10%. Critério: o compromisso de Não Amplificação de Danos.</w:t>
      </w:r>
    </w:p>
    <w:p>
      <w:pPr>
        <w:pStyle w:val="ListBullet"/>
      </w:pPr>
      <w:r>
        <w:rPr>
          <w:b/>
        </w:rPr>
        <w:t>Toda contestação de paciente, profissional ou cliente:</w:t>
      </w:r>
      <w:r>
        <w:t xml:space="preserve"> imediata na urgência e em até 48 horas nos demais casos. Critério: o compromisso de Reversibilidade.</w:t>
      </w:r>
    </w:p>
    <w:p>
      <w:pPr>
        <w:pStyle w:val="ListBullet"/>
      </w:pPr>
      <w:r>
        <w:rPr>
          <w:b/>
        </w:rPr>
        <w:t>Toda sugestão de protocolo clínico,</w:t>
      </w:r>
      <w:r>
        <w:t xml:space="preserve"> agora com registro de aceite, alteração ou rejeição pelo médico. Critério: revisão sem registro não pode ser auditada.</w:t>
      </w:r>
    </w:p>
    <w:p>
      <w:pPr>
        <w:pStyle w:val="ListBullet"/>
      </w:pPr>
      <w:r>
        <w:rPr>
          <w:b/>
        </w:rPr>
        <w:t>Classificação de sinistro que leve a negativa ou atraso,</w:t>
      </w:r>
      <w:r>
        <w:t xml:space="preserve"> no lugar do corte de R$ 50 mil. Critério: o efeito sobre a pessoa.</w:t>
      </w:r>
    </w:p>
    <w:p>
      <w:pPr>
        <w:pStyle w:val="ListBullet"/>
      </w:pPr>
      <w:r>
        <w:rPr>
          <w:b/>
        </w:rPr>
        <w:t>Toda sinalização de risco de crédito,</w:t>
      </w:r>
      <w:r>
        <w:t xml:space="preserve"> como já ocorre. Critério: acesso a serviço essencial.</w:t>
      </w:r>
    </w:p>
    <w:p>
      <w:pPr>
        <w:pStyle w:val="ListBullet"/>
      </w:pPr>
      <w:r>
        <w:rPr>
          <w:b/>
        </w:rPr>
        <w:t>Fonte de dados, cliente ou versão nova:</w:t>
      </w:r>
      <w:r>
        <w:t xml:space="preserve"> revisão de 10% até uma leitura quinzenal sem piora em nenhum grupo. Critério: dois dos quatro incidentes começaram assim.</w:t>
      </w:r>
    </w:p>
    <w:p>
      <w:pPr>
        <w:pStyle w:val="Heading2"/>
      </w:pPr>
      <w:r>
        <w:t>3.5 O que muda num setor novo</w:t>
      </w:r>
    </w:p>
    <w:p>
      <w:pPr/>
      <w:r>
        <w:t>Num setor novo, como o veterinário, a plataforma ou os países que o Vetor propõe, a Lumis não sabe reconhecer o erro típico nem tem dado local para medi-lo. Por isso:</w:t>
      </w:r>
    </w:p>
    <w:p>
      <w:pPr>
        <w:pStyle w:val="ListBullet"/>
      </w:pPr>
      <w:r>
        <w:rPr>
          <w:b/>
        </w:rPr>
        <w:t>Portão de entrada:</w:t>
      </w:r>
      <w:r>
        <w:t xml:space="preserve"> o Responsável por Produto leva o pedido, a CEO decide, com parecer obrigatório do Head of AI Management e da DPO (seção 4.3).</w:t>
      </w:r>
    </w:p>
    <w:p>
      <w:pPr>
        <w:pStyle w:val="ListBullet"/>
      </w:pPr>
      <w:r>
        <w:rPr>
          <w:b/>
        </w:rPr>
        <w:t>Modo sombra e responsável do domínio:</w:t>
      </w:r>
      <w:r>
        <w:t xml:space="preserve"> roda em paralelo até haver erro medido por grupo; um especialista do setor assina o que conta como erro grave.</w:t>
      </w:r>
    </w:p>
    <w:p>
      <w:pPr>
        <w:pStyle w:val="ListBullet"/>
      </w:pPr>
      <w:r>
        <w:rPr>
          <w:b/>
        </w:rPr>
        <w:t>Medição e suspensão prontas:</w:t>
      </w:r>
      <w:r>
        <w:t xml:space="preserve"> antes da entrada, o Responsável por Dados indica quem mede o erro no mercado, o Head of AI Management aprova, e a suspensão é testada.</w:t>
      </w:r>
    </w:p>
    <w:p>
      <w:pPr>
        <w:pStyle w:val="Heading1"/>
        <w:pageBreakBefore/>
      </w:pPr>
      <w:r>
        <w:t>Entrega 4 · Cultura e funil de inovação</w:t>
      </w:r>
    </w:p>
    <w:p>
      <w:pPr>
        <w:pStyle w:val="LumisDestaque"/>
      </w:pPr>
      <w: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pPr/>
      <w:r>
        <w:t>O backlog soma 97 meses-pessoa, mais de três vezes os 30 disponíveis no semestre, e não tem critério de risco, de prova ou de encerramento.</w:t>
      </w:r>
    </w:p>
    <w:p>
      <w:pPr>
        <w:pStyle w:val="Heading2"/>
      </w:pPr>
      <w:r>
        <w:t>4.1 A cultura em três camadas</w:t>
      </w:r>
    </w:p>
    <w:p>
      <w:pPr/>
      <w:r>
        <w:t>Lemos a cultura pelas três camadas de Schein</w:t>
      </w:r>
      <w:r>
        <w:t>¹⁰</w:t>
      </w:r>
      <w:r>
        <w:t xml:space="preserve"> (Tabela 18 e Figura 8, Apêndice B):</w:t>
      </w:r>
    </w:p>
    <w:p>
      <w:pPr>
        <w:pStyle w:val="ListBullet"/>
      </w:pPr>
      <w:r>
        <w:rPr>
          <w:b/>
        </w:rPr>
        <w:t>O que se vê:</w:t>
      </w:r>
      <w:r>
        <w:t xml:space="preserve"> o número de vitrine (94%) segue no material, contra 87,6% em campo; o erro de 01/2026 seguiu no material comercial; quem mediu o erro por grupo foi o hospital; o backlog registra quem pediu, e não o risco. A rotatividade em doze meses foi de 27% no time de dados, contra 19% na empresa.</w:t>
      </w:r>
    </w:p>
    <w:p>
      <w:pPr>
        <w:pStyle w:val="ListBullet"/>
      </w:pPr>
      <w:r>
        <w:rPr>
          <w:b/>
        </w:rPr>
        <w:t>O que se diz:</w:t>
      </w:r>
      <w:r>
        <w:t xml:space="preserve"> o técnico diz que o comercial promete o que o produto não entrega; o comercial diz que o técnico atrasa tudo em nome de um rigor que o cliente não pede.</w:t>
      </w:r>
    </w:p>
    <w:p>
      <w:pPr>
        <w:pStyle w:val="ListBullet"/>
      </w:pPr>
      <w:r>
        <w:rPr>
          <w:b/>
        </w:rPr>
        <w:t>O que se dá como óbvio</w:t>
      </w:r>
      <w:r>
        <w:t xml:space="preserve"> </w:t>
      </w:r>
      <w:r>
        <w:rPr>
          <w:rStyle w:val="TagHipótese"/>
        </w:rPr>
        <w:t>[hipótese]</w:t>
      </w:r>
      <w:r>
        <w:t>: "aqui, modelo validado é modelo bom: a qualidade se prova antes de o produto ir a campo, pela média, e depois disso o número vale".</w:t>
      </w:r>
    </w:p>
    <w:p>
      <w:pPr/>
      <w:r>
        <w:t>Se a qualidade se resolve antes, só resta discutir quanto tempo gastar antes, e sem número de campo por grupo a discussão não tem árbitro. A crença também explica por que o comercial tem mais voz (63% do comercial dizem que a área é ouvida nas decisões de produto, contra 34% do técnico): depois do lançamento, a única informação nova que circula é a do cliente que compra, e quem a traz é o comercial. Inferimos o pressuposto dos quadros, sem entrevistas; a mesa de campo e a pesquisa de 01/2027 servem para testá-lo.</w:t>
      </w:r>
    </w:p>
    <w:p>
      <w:pPr>
        <w:pStyle w:val="Heading2"/>
      </w:pPr>
      <w:r>
        <w:t>4.2 Duas intervenções</w:t>
      </w:r>
    </w:p>
    <w:p>
      <w:pPr/>
      <w:r>
        <w:t>Comunicado interno quase nunca resolve pressuposto. As duas intervenções mudam o que se mede e quem decide.</w:t>
      </w:r>
    </w:p>
    <w:p>
      <w:pPr>
        <w:pStyle w:val="ListBullet"/>
      </w:pPr>
      <w:r>
        <w:rPr>
          <w:b/>
        </w:rPr>
        <w:t>A. Regra única de prova.</w:t>
      </w:r>
      <w:r>
        <w:t xml:space="preserve"> Nenhum número de desempenho sai da empresa sem o resultado de campo aberto por grupo, com amostra e data. Vale para material, proposta, aditivo e liberação de versão, e incidente só fecha com o material corrigido. Responsável: Head of AI Management; o Responsável Comercial aplica. Prazo: 30 dias para as cinco afirmações do painel. Sinal de que funcionou: as cinco afirmações públicas auditáveis ou retiradas (hoje, nenhuma é auditável).</w:t>
      </w:r>
    </w:p>
    <w:p>
      <w:pPr>
        <w:pStyle w:val="ListBullet"/>
      </w:pPr>
      <w:r>
        <w:rPr>
          <w:b/>
        </w:rPr>
        <w:t>B. Mesa de campo quinzenal.</w:t>
      </w:r>
      <w:r>
        <w:t xml:space="preserve"> Técnico, comercial, dados, produto, DPO e Head of AI Management leem juntos o erro por grupo e as reclamações por faixa de CEP e idade. A mesa propõe o prazo de validação, que o CTO decide, e responde com data aos pedidos do comercial. Responsável: Responsável por Produto. Prazo: primeira reunião em 15 dias; prazos de validação publicados em 60. Sinal de que funcionou: reclamações cruzadas com o desempenho toda quinzena (hoje, nunca).</w:t>
      </w:r>
    </w:p>
    <w:p>
      <w:pPr/>
      <w:r>
        <w:t>As duas áreas ganham: o técnico, prazo de validação com regra; o comercial, prazo conhecido e um número que resiste a uma due diligence. A mesa é também a semente do comitê de risco e ética que a Lumis não tem. Para medir a percepção, repetimos as afirmações da pesquisa de clima numa pesquisa curta em 01/2027, aplicada por terceiro, e esperamos pelo menos 10 pontos a mais no técnico e em "sei a quem escalar" (hoje, cerca de 26%). O resultado é julgado na pesquisa de 07/2027.</w:t>
      </w:r>
    </w:p>
    <w:p>
      <w:pPr>
        <w:pStyle w:val="Heading2"/>
      </w:pPr>
      <w:r>
        <w:t>4.3 Funil de inovação</w:t>
      </w:r>
    </w:p>
    <w:p>
      <w:pPr/>
      <w:r>
        <w:t>Cada passagem é um portão com quatro saídas, como no Stage-Gate</w:t>
      </w:r>
      <w:r>
        <w:t>¹¹</w:t>
      </w:r>
      <w:r>
        <w:t>: seguir, encerrar, pausar com data ou voltar. Os critérios são eliminatórios, sem nota somada, para que receita não compense risco aos pacientes. Pipeline, explicabilidade e ISO/IEC 42001 seguem a priorização do Responsável por Produto, com parecer do Head of AI Management.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247"/>
        <w:gridCol w:w="2154"/>
        <w:gridCol w:w="4025"/>
        <w:gridCol w:w="1644"/>
      </w:tblGrid>
      <w:tr>
        <w:trPr>
          <w:cantSplit/>
          <w:tblHeader w:val="true"/>
        </w:trPr>
        <w:tc>
          <w:tcPr>
            <w:tcW w:type="dxa" w:w="1247"/>
            <w:shd w:val="clear" w:color="auto" w:fill="0F2D3A"/>
          </w:tcPr>
          <w:p>
            <w:pPr>
              <w:pStyle w:val="LumisTabela"/>
              <w:keepNext/>
            </w:pPr>
            <w:r>
              <w:rPr>
                <w:b/>
                <w:color w:val="FFFFFF"/>
              </w:rPr>
              <w:t>Etapa</w:t>
            </w:r>
          </w:p>
        </w:tc>
        <w:tc>
          <w:tcPr>
            <w:tcW w:type="dxa" w:w="2154"/>
            <w:shd w:val="clear" w:color="auto" w:fill="0F2D3A"/>
          </w:tcPr>
          <w:p>
            <w:pPr>
              <w:pStyle w:val="LumisTabela"/>
              <w:keepNext/>
            </w:pPr>
            <w:r>
              <w:rPr>
                <w:b/>
                <w:color w:val="FFFFFF"/>
              </w:rPr>
              <w:t>Entra quando</w:t>
            </w:r>
          </w:p>
        </w:tc>
        <w:tc>
          <w:tcPr>
            <w:tcW w:type="dxa" w:w="4025"/>
            <w:shd w:val="clear" w:color="auto" w:fill="0F2D3A"/>
          </w:tcPr>
          <w:p>
            <w:pPr>
              <w:pStyle w:val="LumisTabela"/>
              <w:keepNext/>
            </w:pPr>
            <w:r>
              <w:rPr>
                <w:b/>
                <w:color w:val="FFFFFF"/>
              </w:rPr>
              <w:t>Avança quando</w:t>
            </w:r>
          </w:p>
        </w:tc>
        <w:tc>
          <w:tcPr>
            <w:tcW w:type="dxa" w:w="1644"/>
            <w:shd w:val="clear" w:color="auto" w:fill="0F2D3A"/>
          </w:tcPr>
          <w:p>
            <w:pPr>
              <w:pStyle w:val="LumisTabela"/>
              <w:keepNext/>
            </w:pPr>
            <w:r>
              <w:rPr>
                <w:b/>
                <w:color w:val="FFFFFF"/>
              </w:rPr>
              <w:t>Encerra quando</w:t>
            </w:r>
          </w:p>
        </w:tc>
      </w:tr>
      <w:tr>
        <w:trPr>
          <w:cantSplit/>
        </w:trPr>
        <w:tc>
          <w:tcPr>
            <w:tcW w:type="dxa" w:w="1247"/>
            <w:shd w:val="clear" w:color="auto" w:fill="F1F6F4"/>
          </w:tcPr>
          <w:p>
            <w:pPr>
              <w:pStyle w:val="LumisTabela"/>
            </w:pPr>
            <w:r>
              <w:t>Entrada</w:t>
            </w:r>
          </w:p>
        </w:tc>
        <w:tc>
          <w:tcPr>
            <w:tcW w:type="dxa" w:w="2154"/>
            <w:shd w:val="clear" w:color="auto" w:fill="F1F6F4"/>
          </w:tcPr>
          <w:p>
            <w:pPr>
              <w:pStyle w:val="LumisTabela"/>
            </w:pPr>
            <w:r>
              <w:t>Ficha com problema, cliente nomeado, base legal dos dados e métrica de sucesso</w:t>
            </w:r>
          </w:p>
        </w:tc>
        <w:tc>
          <w:tcPr>
            <w:tcW w:type="dxa" w:w="4025"/>
            <w:shd w:val="clear" w:color="auto" w:fill="F1F6F4"/>
          </w:tcPr>
          <w:p>
            <w:pPr>
              <w:pStyle w:val="LumisTabela"/>
            </w:pPr>
            <w:r>
              <w:t>Cliente no foco da Entrega 1 ou exceção registrada; nenhuma dependência nova de fornecedor único; nada contra os compromissos; responsável com cargo</w:t>
            </w:r>
          </w:p>
        </w:tc>
        <w:tc>
          <w:tcPr>
            <w:tcW w:type="dxa" w:w="1644"/>
            <w:shd w:val="clear" w:color="auto" w:fill="F1F6F4"/>
          </w:tcPr>
          <w:p>
            <w:pPr>
              <w:pStyle w:val="LumisTabela"/>
            </w:pPr>
            <w:r>
              <w:t>Falha em qualquer critério</w:t>
            </w:r>
          </w:p>
        </w:tc>
      </w:tr>
      <w:tr>
        <w:trPr>
          <w:cantSplit/>
        </w:trPr>
        <w:tc>
          <w:tcPr>
            <w:tcW w:type="dxa" w:w="1247"/>
          </w:tcPr>
          <w:p>
            <w:pPr>
              <w:pStyle w:val="LumisTabela"/>
            </w:pPr>
            <w:r>
              <w:t>Descoberta (até 10% do esforço)</w:t>
            </w:r>
          </w:p>
        </w:tc>
        <w:tc>
          <w:tcPr>
            <w:tcW w:type="dxa" w:w="2154"/>
          </w:tcPr>
          <w:p>
            <w:pPr>
              <w:pStyle w:val="LumisTabela"/>
            </w:pPr>
            <w:r>
              <w:t>Aprovada na Entrada</w:t>
            </w:r>
          </w:p>
        </w:tc>
        <w:tc>
          <w:tcPr>
            <w:tcW w:type="dxa" w:w="4025"/>
          </w:tcPr>
          <w:p>
            <w:pPr>
              <w:pStyle w:val="LumisTabela"/>
            </w:pPr>
            <w:r>
              <w:t>Cliente com intenção de compra e dados autorizados por escrito; amostra para medir o erro em todo grupo; responsável do domínio nomeado</w:t>
            </w:r>
          </w:p>
        </w:tc>
        <w:tc>
          <w:tcPr>
            <w:tcW w:type="dxa" w:w="1644"/>
          </w:tcPr>
          <w:p>
            <w:pPr>
              <w:pStyle w:val="LumisTabela"/>
            </w:pPr>
            <w:r>
              <w:t>A fatia ou o prazo acabam e falta algum item</w:t>
            </w:r>
          </w:p>
        </w:tc>
      </w:tr>
      <w:tr>
        <w:trPr>
          <w:cantSplit/>
        </w:trPr>
        <w:tc>
          <w:tcPr>
            <w:tcW w:type="dxa" w:w="1247"/>
            <w:shd w:val="clear" w:color="auto" w:fill="F1F6F4"/>
          </w:tcPr>
          <w:p>
            <w:pPr>
              <w:pStyle w:val="LumisTabela"/>
            </w:pPr>
            <w:r>
              <w:t>Modo sombra (até mais 30%)</w:t>
            </w:r>
          </w:p>
        </w:tc>
        <w:tc>
          <w:tcPr>
            <w:tcW w:type="dxa" w:w="2154"/>
            <w:shd w:val="clear" w:color="auto" w:fill="F1F6F4"/>
          </w:tcPr>
          <w:p>
            <w:pPr>
              <w:pStyle w:val="LumisTabela"/>
            </w:pPr>
            <w:r>
              <w:t>Roda em paralelo, sem decidir</w:t>
            </w:r>
          </w:p>
        </w:tc>
        <w:tc>
          <w:tcPr>
            <w:tcW w:type="dxa" w:w="4025"/>
            <w:shd w:val="clear" w:color="auto" w:fill="F1F6F4"/>
          </w:tcPr>
          <w:p>
            <w:pPr>
              <w:pStyle w:val="LumisTabela"/>
            </w:pPr>
            <w:r>
              <w:t>Quatro leituras quinzenais com o pior grupo até 1,5 vez o erro do melhor (no crédito, aprovação por faixa de CEP de pelo menos 0,8 da melhor)</w:t>
            </w:r>
          </w:p>
        </w:tc>
        <w:tc>
          <w:tcPr>
            <w:tcW w:type="dxa" w:w="1644"/>
            <w:shd w:val="clear" w:color="auto" w:fill="F1F6F4"/>
          </w:tcPr>
          <w:p>
            <w:pPr>
              <w:pStyle w:val="LumisTabela"/>
            </w:pPr>
            <w:r>
              <w:t>Seis leituras com algum grupo acima de 2 vezes</w:t>
            </w:r>
          </w:p>
        </w:tc>
      </w:tr>
      <w:tr>
        <w:trPr>
          <w:cantSplit/>
        </w:trPr>
        <w:tc>
          <w:tcPr>
            <w:tcW w:type="dxa" w:w="1247"/>
          </w:tcPr>
          <w:p>
            <w:pPr>
              <w:pStyle w:val="LumisTabela"/>
            </w:pPr>
            <w:r>
              <w:t>Produção limitada</w:t>
            </w:r>
          </w:p>
        </w:tc>
        <w:tc>
          <w:tcPr>
            <w:tcW w:type="dxa" w:w="2154"/>
          </w:tcPr>
          <w:p>
            <w:pPr>
              <w:pStyle w:val="LumisTabela"/>
            </w:pPr>
            <w:r>
              <w:t>Condições de frente nova (Tabela 7); autorização da CEO por cliente</w:t>
            </w:r>
          </w:p>
        </w:tc>
        <w:tc>
          <w:tcPr>
            <w:tcW w:type="dxa" w:w="4025"/>
          </w:tcPr>
          <w:p>
            <w:pPr>
              <w:pStyle w:val="LumisTabela"/>
            </w:pPr>
            <w:r>
              <w:t>Leitura sem piora em nenhum grupo; número publicado</w:t>
            </w:r>
          </w:p>
        </w:tc>
        <w:tc>
          <w:tcPr>
            <w:tcW w:type="dxa" w:w="1644"/>
          </w:tcPr>
          <w:p>
            <w:pPr>
              <w:pStyle w:val="LumisTabela"/>
            </w:pPr>
            <w:r>
              <w:t>Sem correção em seis leituras</w:t>
            </w:r>
          </w:p>
        </w:tc>
      </w:tr>
      <w:tr>
        <w:trPr>
          <w:cantSplit/>
        </w:trPr>
        <w:tc>
          <w:tcPr>
            <w:tcW w:type="dxa" w:w="1247"/>
            <w:shd w:val="clear" w:color="auto" w:fill="F1F6F4"/>
          </w:tcPr>
          <w:p>
            <w:pPr>
              <w:pStyle w:val="LumisTabela"/>
              <w:keepNext/>
            </w:pPr>
            <w:r>
              <w:t>Escala</w:t>
            </w:r>
          </w:p>
        </w:tc>
        <w:tc>
          <w:tcPr>
            <w:tcW w:type="dxa" w:w="2154"/>
            <w:shd w:val="clear" w:color="auto" w:fill="F1F6F4"/>
          </w:tcPr>
          <w:p>
            <w:pPr>
              <w:pStyle w:val="LumisTabela"/>
              <w:keepNext/>
            </w:pPr>
            <w:r>
              <w:t>Auditoria independente contratada</w:t>
            </w:r>
          </w:p>
        </w:tc>
        <w:tc>
          <w:tcPr>
            <w:tcW w:type="dxa" w:w="4025"/>
            <w:shd w:val="clear" w:color="auto" w:fill="F1F6F4"/>
          </w:tcPr>
          <w:p>
            <w:pPr>
              <w:pStyle w:val="LumisTabela"/>
              <w:keepNext/>
            </w:pPr>
            <w:r>
              <w:t>Indicadores contínuos</w:t>
            </w:r>
          </w:p>
        </w:tc>
        <w:tc>
          <w:tcPr>
            <w:tcW w:type="dxa" w:w="1644"/>
            <w:shd w:val="clear" w:color="auto" w:fill="F1F6F4"/>
          </w:tcPr>
          <w:p>
            <w:pPr>
              <w:pStyle w:val="LumisTabela"/>
              <w:keepNext/>
            </w:pPr>
            <w:r>
              <w:t>Suspensão pela seção 3.3</w:t>
            </w:r>
          </w:p>
        </w:tc>
      </w:tr>
    </w:tbl>
    <w:p>
      <w:pPr>
        <w:pStyle w:val="Caption"/>
      </w:pPr>
      <w:r>
        <w:t>Tabela 6. Critérios de cada etapa. Fatias e número de leituras: proposta da equipe; limites de erro das Entregas 2, 3 e 5.</w:t>
      </w:r>
    </w:p>
    <w:p>
      <w:pPr/>
      <w:r>
        <w:t>Em cada etapa, o comercial só diz o que ela já provou: "em estudo" na Entrada e na Descoberta, "em teste", sem número, no modo sombra, e o erro por grupo medido em campo na produção limitada e na escala.</w:t>
      </w:r>
    </w:p>
    <w:p>
      <w:pPr>
        <w:pStyle w:val="ListBullet"/>
      </w:pPr>
      <w:r>
        <w:rPr>
          <w:b/>
        </w:rPr>
        <w:t>Quem pediu não decide.</w:t>
      </w:r>
      <w:r>
        <w:t xml:space="preserve"> Os pedidos do sócio-fundador, do investidor e do comercial passam pelo mesmo portão. A CEO pode decidir contra um parecer contrário, mas só por escrito, e o caso vai ao conselho.</w:t>
      </w:r>
    </w:p>
    <w:p>
      <w:pPr>
        <w:pStyle w:val="ListBullet"/>
      </w:pPr>
      <w:r>
        <w:rPr>
          <w:b/>
        </w:rPr>
        <w:t>Recurso por etapa e encerramento definido antes.</w:t>
      </w:r>
      <w:r>
        <w:t xml:space="preserve"> Nenhuma iniciativa passa de 10 meses-pessoa sem nova decisão. Encerra a que gastar a fatia sem evidência nova, não obtiver o direito de uso dos dados até a data marcada ou tiver a estimativa de esforço aumentada em mais de 50%.</w:t>
      </w:r>
    </w:p>
    <w:p>
      <w:pPr>
        <w:pStyle w:val="Heading2"/>
      </w:pPr>
      <w:r>
        <w:t>4.4 Distribuição dos 30 meses-pessoa</w:t>
      </w:r>
    </w:p>
    <w:p>
      <w:pPr/>
      <w:r>
        <w:t>Financiamos etapas, e a proporção resulta da ordem de prioridade: compromisso já assumido, depois o ativo da seção 1.4, depois a receita por esforço. Uma proporção fixa não serviria: na divisão 70/20/10 de Nagji e Tuff</w:t>
      </w:r>
      <w:r>
        <w:t>¹²</w:t>
      </w:r>
      <w:r>
        <w:t>, a faixa adjacente teria 6 meses-pessoa, e a menor iniciativa adjacente pede 11.</w:t>
      </w:r>
    </w:p>
    <w:p>
      <w:pPr>
        <w:pStyle w:val="ListBullet"/>
      </w:pPr>
      <w:r>
        <w:rPr>
          <w:b/>
        </w:rPr>
        <w:t>Melhoria do produto atual, 23,4 meses-pessoa (78%):</w:t>
      </w:r>
      <w:r>
        <w:t xml:space="preserve"> compromissos já assumidos (3,0), correção do viés (3,5), explicabilidade (9,0), primeira fatia do pipeline (7,2) e diagnóstico da ISO/IEC 42001 (0,7). Expandir antes de resolver a base de dados é "replicação de um problema em escala maior" (Cap. 2, seção 2.6).</w:t>
      </w:r>
    </w:p>
    <w:p>
      <w:pPr>
        <w:pStyle w:val="ListBullet"/>
      </w:pPr>
      <w:r>
        <w:rPr>
          <w:b/>
        </w:rPr>
        <w:t>Expansão adjacente, 5,6 (19%):</w:t>
      </w:r>
      <w:r>
        <w:t xml:space="preserve"> crédito para os bancos já clientes, até o modo sombra. Tem a maior receita por esforço, R$ 0,6 milhão por mês-pessoa, 5 bancos já clientes e um terreno onde a Aster não chega.</w:t>
      </w:r>
    </w:p>
    <w:p>
      <w:pPr>
        <w:pStyle w:val="ListBullet"/>
      </w:pPr>
      <w:r>
        <w:rPr>
          <w:b/>
        </w:rPr>
        <w:t>Transformação, 1,0 (3%):</w:t>
      </w:r>
      <w:r>
        <w:t xml:space="preserve"> testar se a prova de desempenho por grupo, o ativo da seção 1.4, vira oferta. É a nossa resposta à plataforma que o Vetor propõe.</w:t>
      </w:r>
    </w:p>
    <w:p>
      <w:pPr>
        <w:pStyle w:val="Heading2"/>
      </w:pPr>
      <w:r>
        <w:t>4.5 O que recusamos</w:t>
      </w:r>
    </w:p>
    <w:p>
      <w:pPr>
        <w:pStyle w:val="ListBullet"/>
      </w:pPr>
      <w:r>
        <w:rPr>
          <w:b/>
        </w:rPr>
        <w:t>Módulo veterinário, pedido pelo sócio-fundador: recusado.</w:t>
      </w:r>
      <w:r>
        <w:t xml:space="preserve"> Domínio cujos dados e erros a Lumis não conhece, sem responsável do domínio e fora do foco. Ocuparia 53% da capacidade por 11% da receita listada. Só volta com parceiro de dados autorizados, responsável do domínio e o erro por grupo dentro do limite no Brasil.</w:t>
      </w:r>
    </w:p>
    <w:p>
      <w:pPr>
        <w:pStyle w:val="ListBullet"/>
      </w:pPr>
      <w:r>
        <w:rPr>
          <w:b/>
        </w:rPr>
        <w:t>Agente de triagem, pedido pelo comercial: recusado neste ciclo.</w:t>
      </w:r>
      <w:r>
        <w:t xml:space="preserve"> Automatizaria de novo a etapa do erro de 31,8%. Volta ao portão com o pior grupo até 1,5 vez o melhor e a explicabilidade pronta.</w:t>
      </w:r>
    </w:p>
    <w:p>
      <w:pPr>
        <w:pStyle w:val="ListBullet"/>
      </w:pPr>
      <w:r>
        <w:rPr>
          <w:b/>
        </w:rPr>
        <w:t>México, pedido pelo investidor: fora desta janela.</w:t>
      </w:r>
      <w:r>
        <w:t xml:space="preserve"> Ocuparia 73% da capacidade, sem dado local para medir o erro por grupo. É reavaliado ao fim da janela de seis meses.</w:t>
      </w:r>
    </w:p>
    <w:p>
      <w:pPr/>
      <w:r>
        <w:t xml:space="preserve">As recusas vêm de lados diferentes e abrem mão de R$ 11,3 milhões dos R$ 19,7 milhões de receita potencial em 12 meses do backlog (57,4%), um teto sem garantia de realização. Triplicar o time técnico antes de as intervenções rodarem levaria gente nova para o mesmo pressuposto </w:t>
      </w:r>
      <w:r>
        <w:rPr>
          <w:rStyle w:val="TagHipótese"/>
        </w:rPr>
        <w:t>[hipótese]</w:t>
      </w:r>
      <w:r>
        <w:t>; por isso propomos contratar em ondas. Há ainda um risco de pessoa-chave: o Responsável por Dados aparece em quase todos os portões, num time com rotatividade de 27%.</w:t>
      </w:r>
    </w:p>
    <w:p>
      <w:pPr>
        <w:pStyle w:val="Heading1"/>
        <w:pageBreakBefore/>
      </w:pPr>
      <w:r>
        <w:t>O que precisa estar resolvido antes</w:t>
      </w:r>
    </w:p>
    <w:p>
      <w:pPr/>
      <w:r>
        <w:t>Das cinco entregas saem doze condições prévias: cinco antes de fechar com o Vetor, uma no vencimento dos contratos de dados e seis antes de cada frente nova.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4762"/>
        <w:gridCol w:w="2721"/>
        <w:gridCol w:w="1587"/>
      </w:tblGrid>
      <w:tr>
        <w:trPr>
          <w:cantSplit/>
          <w:tblHeader w:val="true"/>
        </w:trPr>
        <w:tc>
          <w:tcPr>
            <w:tcW w:type="dxa" w:w="4762"/>
            <w:shd w:val="clear" w:color="auto" w:fill="0F2D3A"/>
          </w:tcPr>
          <w:p>
            <w:pPr>
              <w:pStyle w:val="LumisTabela"/>
              <w:keepNext/>
            </w:pPr>
            <w:r>
              <w:rPr>
                <w:b/>
                <w:color w:val="FFFFFF"/>
              </w:rPr>
              <w:t>Condição</w:t>
            </w:r>
          </w:p>
        </w:tc>
        <w:tc>
          <w:tcPr>
            <w:tcW w:type="dxa" w:w="2721"/>
            <w:shd w:val="clear" w:color="auto" w:fill="0F2D3A"/>
          </w:tcPr>
          <w:p>
            <w:pPr>
              <w:pStyle w:val="LumisTabela"/>
              <w:keepNext/>
            </w:pPr>
            <w:r>
              <w:rPr>
                <w:b/>
                <w:color w:val="FFFFFF"/>
              </w:rPr>
              <w:t>Quem responde</w:t>
            </w:r>
          </w:p>
        </w:tc>
        <w:tc>
          <w:tcPr>
            <w:tcW w:type="dxa" w:w="1587"/>
            <w:shd w:val="clear" w:color="auto" w:fill="0F2D3A"/>
          </w:tcPr>
          <w:p>
            <w:pPr>
              <w:pStyle w:val="LumisTabela"/>
              <w:keepNext/>
            </w:pPr>
            <w:r>
              <w:rPr>
                <w:b/>
                <w:color w:val="FFFFFF"/>
              </w:rPr>
              <w:t>Prazo</w:t>
            </w:r>
          </w:p>
        </w:tc>
      </w:tr>
      <w:tr>
        <w:trPr>
          <w:cantSplit/>
        </w:trPr>
        <w:tc>
          <w:tcPr>
            <w:tcW w:type="dxa" w:w="9070"/>
            <w:gridSpan w:val="3"/>
            <w:shd w:val="clear" w:color="auto" w:fill="EEF7F3"/>
          </w:tcPr>
          <w:p>
            <w:pPr>
              <w:pStyle w:val="LumisTabela"/>
              <w:keepNext/>
            </w:pPr>
            <w:r>
              <w:rPr>
                <w:b/>
                <w:color w:val="1E8C6B"/>
              </w:rPr>
              <w:t>Em até 30 dias, antes de fechar com o Vetor</w:t>
            </w:r>
          </w:p>
        </w:tc>
      </w:tr>
      <w:tr>
        <w:trPr>
          <w:cantSplit/>
        </w:trPr>
        <w:tc>
          <w:tcPr>
            <w:tcW w:type="dxa" w:w="4762"/>
          </w:tcPr>
          <w:p>
            <w:pPr>
              <w:pStyle w:val="LumisTabela"/>
            </w:pPr>
            <w:r>
              <w:t>1. Recomendação automática restrita para idosos de CEP C e D/E, com o modelo em paralelo (2.5 e 3.3)</w:t>
            </w:r>
          </w:p>
        </w:tc>
        <w:tc>
          <w:tcPr>
            <w:tcW w:type="dxa" w:w="2721"/>
          </w:tcPr>
          <w:p>
            <w:pPr>
              <w:pStyle w:val="LumisTabela"/>
            </w:pPr>
            <w:r>
              <w:t>Head of AI Management ordena; CTO executa</w:t>
            </w:r>
          </w:p>
        </w:tc>
        <w:tc>
          <w:tcPr>
            <w:tcW w:type="dxa" w:w="1587"/>
          </w:tcPr>
          <w:p>
            <w:pPr>
              <w:pStyle w:val="LumisTabela"/>
            </w:pPr>
            <w:r>
              <w:t>Já</w:t>
            </w:r>
          </w:p>
        </w:tc>
      </w:tr>
      <w:tr>
        <w:trPr>
          <w:cantSplit/>
        </w:trPr>
        <w:tc>
          <w:tcPr>
            <w:tcW w:type="dxa" w:w="4762"/>
            <w:shd w:val="clear" w:color="auto" w:fill="F1F6F4"/>
          </w:tcPr>
          <w:p>
            <w:pPr>
              <w:pStyle w:val="LumisTabela"/>
            </w:pPr>
            <w:r>
              <w:t>2. As cinco afirmações do painel comercial retiradas ou tornadas auditáveis pela regra única de prova (2.4 e 4.2)</w:t>
            </w:r>
          </w:p>
        </w:tc>
        <w:tc>
          <w:tcPr>
            <w:tcW w:type="dxa" w:w="2721"/>
            <w:shd w:val="clear" w:color="auto" w:fill="F1F6F4"/>
          </w:tcPr>
          <w:p>
            <w:pPr>
              <w:pStyle w:val="LumisTabela"/>
            </w:pPr>
            <w:r>
              <w:t>Head of AI Management; Responsável Comercial aplica</w:t>
            </w:r>
          </w:p>
        </w:tc>
        <w:tc>
          <w:tcPr>
            <w:tcW w:type="dxa" w:w="1587"/>
            <w:shd w:val="clear" w:color="auto" w:fill="F1F6F4"/>
          </w:tcPr>
          <w:p>
            <w:pPr>
              <w:pStyle w:val="LumisTabela"/>
            </w:pPr>
            <w:r>
              <w:t>30 dias</w:t>
            </w:r>
          </w:p>
        </w:tc>
      </w:tr>
      <w:tr>
        <w:trPr>
          <w:cantSplit/>
        </w:trPr>
        <w:tc>
          <w:tcPr>
            <w:tcW w:type="dxa" w:w="4762"/>
          </w:tcPr>
          <w:p>
            <w:pPr>
              <w:pStyle w:val="LumisTabela"/>
            </w:pPr>
            <w:r>
              <w:t>3. Linha de responsabilidade aprovada e suspensão testada por cliente e por grupo (3.3)</w:t>
            </w:r>
          </w:p>
        </w:tc>
        <w:tc>
          <w:tcPr>
            <w:tcW w:type="dxa" w:w="2721"/>
          </w:tcPr>
          <w:p>
            <w:pPr>
              <w:pStyle w:val="LumisTabela"/>
            </w:pPr>
            <w:r>
              <w:t>CEO aprova; Head of AI Management conduz o teste; CTO executa</w:t>
            </w:r>
          </w:p>
        </w:tc>
        <w:tc>
          <w:tcPr>
            <w:tcW w:type="dxa" w:w="1587"/>
          </w:tcPr>
          <w:p>
            <w:pPr>
              <w:pStyle w:val="LumisTabela"/>
            </w:pPr>
            <w:r>
              <w:t>30 dias; depois, a cada trimestre</w:t>
            </w:r>
          </w:p>
        </w:tc>
      </w:tr>
      <w:tr>
        <w:trPr>
          <w:cantSplit/>
        </w:trPr>
        <w:tc>
          <w:tcPr>
            <w:tcW w:type="dxa" w:w="4762"/>
            <w:shd w:val="clear" w:color="auto" w:fill="F1F6F4"/>
          </w:tcPr>
          <w:p>
            <w:pPr>
              <w:pStyle w:val="LumisTabela"/>
            </w:pPr>
            <w:r>
              <w:t>4. Mesa de campo quinzenal funcionando, com o erro por grupo cruzado com as reclamações (4.2 e 5.2)</w:t>
            </w:r>
          </w:p>
        </w:tc>
        <w:tc>
          <w:tcPr>
            <w:tcW w:type="dxa" w:w="2721"/>
            <w:shd w:val="clear" w:color="auto" w:fill="F1F6F4"/>
          </w:tcPr>
          <w:p>
            <w:pPr>
              <w:pStyle w:val="LumisTabela"/>
            </w:pPr>
            <w:r>
              <w:t>Responsável por Produto; o cruzamento é do Responsável por Dados</w:t>
            </w:r>
          </w:p>
        </w:tc>
        <w:tc>
          <w:tcPr>
            <w:tcW w:type="dxa" w:w="1587"/>
            <w:shd w:val="clear" w:color="auto" w:fill="F1F6F4"/>
          </w:tcPr>
          <w:p>
            <w:pPr>
              <w:pStyle w:val="LumisTabela"/>
            </w:pPr>
            <w:r>
              <w:t>Primeira reunião em 15 dias</w:t>
            </w:r>
          </w:p>
        </w:tc>
      </w:tr>
      <w:tr>
        <w:trPr>
          <w:cantSplit/>
        </w:trPr>
        <w:tc>
          <w:tcPr>
            <w:tcW w:type="dxa" w:w="4762"/>
          </w:tcPr>
          <w:p>
            <w:pPr>
              <w:pStyle w:val="LumisTabela"/>
            </w:pPr>
            <w:r>
              <w:t>5. Parecer da DPO sobre os seis instrumentos de dados; registro sem base sai do treino (2.1 e 5.3)</w:t>
            </w:r>
          </w:p>
        </w:tc>
        <w:tc>
          <w:tcPr>
            <w:tcW w:type="dxa" w:w="2721"/>
          </w:tcPr>
          <w:p>
            <w:pPr>
              <w:pStyle w:val="LumisTabela"/>
            </w:pPr>
            <w:r>
              <w:t>DPO</w:t>
            </w:r>
          </w:p>
        </w:tc>
        <w:tc>
          <w:tcPr>
            <w:tcW w:type="dxa" w:w="1587"/>
          </w:tcPr>
          <w:p>
            <w:pPr>
              <w:pStyle w:val="LumisTabela"/>
            </w:pPr>
            <w:r>
              <w:t>Antes do próximo treino</w:t>
            </w:r>
          </w:p>
        </w:tc>
      </w:tr>
      <w:tr>
        <w:trPr>
          <w:cantSplit/>
        </w:trPr>
        <w:tc>
          <w:tcPr>
            <w:tcW w:type="dxa" w:w="9070"/>
            <w:gridSpan w:val="3"/>
            <w:shd w:val="clear" w:color="auto" w:fill="EEF7F3"/>
          </w:tcPr>
          <w:p>
            <w:pPr>
              <w:pStyle w:val="LumisTabela"/>
              <w:keepNext/>
            </w:pPr>
            <w:r>
              <w:rPr>
                <w:b/>
                <w:color w:val="1E8C6B"/>
              </w:rPr>
              <w:t>Antes do vencimento dos contratos</w:t>
            </w:r>
          </w:p>
        </w:tc>
      </w:tr>
      <w:tr>
        <w:trPr>
          <w:cantSplit/>
        </w:trPr>
        <w:tc>
          <w:tcPr>
            <w:tcW w:type="dxa" w:w="4762"/>
          </w:tcPr>
          <w:p>
            <w:pPr>
              <w:pStyle w:val="LumisTabela"/>
            </w:pPr>
            <w:r>
              <w:t>6. Aditivos de direito de uso da Prisma e do Vila Ipê, incluindo o histórico (1.4 e 2.1)</w:t>
            </w:r>
          </w:p>
        </w:tc>
        <w:tc>
          <w:tcPr>
            <w:tcW w:type="dxa" w:w="2721"/>
          </w:tcPr>
          <w:p>
            <w:pPr>
              <w:pStyle w:val="LumisTabela"/>
            </w:pPr>
            <w:r>
              <w:t>DPO</w:t>
            </w:r>
          </w:p>
        </w:tc>
        <w:tc>
          <w:tcPr>
            <w:tcW w:type="dxa" w:w="1587"/>
          </w:tcPr>
          <w:p>
            <w:pPr>
              <w:pStyle w:val="LumisTabela"/>
            </w:pPr>
            <w:r>
              <w:t>Prisma: 12/2026. Vila Ipê: 03/2027</w:t>
            </w:r>
          </w:p>
        </w:tc>
      </w:tr>
      <w:tr>
        <w:trPr>
          <w:cantSplit/>
        </w:trPr>
        <w:tc>
          <w:tcPr>
            <w:tcW w:type="dxa" w:w="9070"/>
            <w:gridSpan w:val="3"/>
            <w:shd w:val="clear" w:color="auto" w:fill="EEF7F3"/>
          </w:tcPr>
          <w:p>
            <w:pPr>
              <w:pStyle w:val="LumisTabela"/>
              <w:keepNext/>
            </w:pPr>
            <w:r>
              <w:rPr>
                <w:b/>
                <w:color w:val="1E8C6B"/>
              </w:rPr>
              <w:t>Antes de cada frente nova</w:t>
            </w:r>
          </w:p>
        </w:tc>
      </w:tr>
      <w:tr>
        <w:trPr>
          <w:cantSplit/>
        </w:trPr>
        <w:tc>
          <w:tcPr>
            <w:tcW w:type="dxa" w:w="4762"/>
          </w:tcPr>
          <w:p>
            <w:pPr>
              <w:pStyle w:val="LumisTabela"/>
            </w:pPr>
            <w:r>
              <w:t>7. Política de privacidade para dados de saúde aprovada (5.3)</w:t>
            </w:r>
          </w:p>
        </w:tc>
        <w:tc>
          <w:tcPr>
            <w:tcW w:type="dxa" w:w="2721"/>
          </w:tcPr>
          <w:p>
            <w:pPr>
              <w:pStyle w:val="LumisTabela"/>
            </w:pPr>
            <w:r>
              <w:t>DPO</w:t>
            </w:r>
          </w:p>
        </w:tc>
        <w:tc>
          <w:tcPr>
            <w:tcW w:type="dxa" w:w="1587"/>
          </w:tcPr>
          <w:p>
            <w:pPr>
              <w:pStyle w:val="LumisTabela"/>
            </w:pPr>
            <w:r>
              <w:t>Antes de qualquer frente nova</w:t>
            </w:r>
          </w:p>
        </w:tc>
      </w:tr>
      <w:tr>
        <w:trPr>
          <w:cantSplit/>
        </w:trPr>
        <w:tc>
          <w:tcPr>
            <w:tcW w:type="dxa" w:w="4762"/>
            <w:shd w:val="clear" w:color="auto" w:fill="F1F6F4"/>
          </w:tcPr>
          <w:p>
            <w:pPr>
              <w:pStyle w:val="LumisTabela"/>
            </w:pPr>
            <w:r>
              <w:t>8. Erro por grupo dentro do limite no Brasil e métrica pública de falso negativo por grupo já publicada (5.2 e 5.4)</w:t>
            </w:r>
          </w:p>
        </w:tc>
        <w:tc>
          <w:tcPr>
            <w:tcW w:type="dxa" w:w="2721"/>
            <w:shd w:val="clear" w:color="auto" w:fill="F1F6F4"/>
          </w:tcPr>
          <w:p>
            <w:pPr>
              <w:pStyle w:val="LumisTabela"/>
            </w:pPr>
            <w:r>
              <w:t>Head of AI Management; Responsável por Dados apura</w:t>
            </w:r>
          </w:p>
        </w:tc>
        <w:tc>
          <w:tcPr>
            <w:tcW w:type="dxa" w:w="1587"/>
            <w:shd w:val="clear" w:color="auto" w:fill="F1F6F4"/>
          </w:tcPr>
          <w:p>
            <w:pPr>
              <w:pStyle w:val="LumisTabela"/>
            </w:pPr>
            <w:r>
              <w:t>Antes da produção</w:t>
            </w:r>
          </w:p>
        </w:tc>
      </w:tr>
      <w:tr>
        <w:trPr>
          <w:cantSplit/>
        </w:trPr>
        <w:tc>
          <w:tcPr>
            <w:tcW w:type="dxa" w:w="4762"/>
          </w:tcPr>
          <w:p>
            <w:pPr>
              <w:pStyle w:val="LumisTabela"/>
            </w:pPr>
            <w:r>
              <w:t>9. Validação local por grupo, com amostra suficiente, e lei de dados do país conferida (3.5, 5.2 e 5.3)</w:t>
            </w:r>
          </w:p>
        </w:tc>
        <w:tc>
          <w:tcPr>
            <w:tcW w:type="dxa" w:w="2721"/>
          </w:tcPr>
          <w:p>
            <w:pPr>
              <w:pStyle w:val="LumisTabela"/>
            </w:pPr>
            <w:r>
              <w:t>Responsável por Dados indica quem mede; Head of AI Management aprova; DPO confere a lei</w:t>
            </w:r>
          </w:p>
        </w:tc>
        <w:tc>
          <w:tcPr>
            <w:tcW w:type="dxa" w:w="1587"/>
          </w:tcPr>
          <w:p>
            <w:pPr>
              <w:pStyle w:val="LumisTabela"/>
            </w:pPr>
            <w:r>
              <w:t>Antes da entrada; depois, anual</w:t>
            </w:r>
          </w:p>
        </w:tc>
      </w:tr>
      <w:tr>
        <w:trPr>
          <w:cantSplit/>
        </w:trPr>
        <w:tc>
          <w:tcPr>
            <w:tcW w:type="dxa" w:w="4762"/>
            <w:shd w:val="clear" w:color="auto" w:fill="F1F6F4"/>
          </w:tcPr>
          <w:p>
            <w:pPr>
              <w:pStyle w:val="LumisTabela"/>
            </w:pPr>
            <w:r>
              <w:t>10. Relatório de impacto à proteção de dados (LGPD, art. 38) da plataforma e de cada país (5.3)</w:t>
            </w:r>
          </w:p>
        </w:tc>
        <w:tc>
          <w:tcPr>
            <w:tcW w:type="dxa" w:w="2721"/>
            <w:shd w:val="clear" w:color="auto" w:fill="F1F6F4"/>
          </w:tcPr>
          <w:p>
            <w:pPr>
              <w:pStyle w:val="LumisTabela"/>
            </w:pPr>
            <w:r>
              <w:t>DPO</w:t>
            </w:r>
          </w:p>
        </w:tc>
        <w:tc>
          <w:tcPr>
            <w:tcW w:type="dxa" w:w="1587"/>
            <w:shd w:val="clear" w:color="auto" w:fill="F1F6F4"/>
          </w:tcPr>
          <w:p>
            <w:pPr>
              <w:pStyle w:val="LumisTabela"/>
            </w:pPr>
            <w:r>
              <w:t>Antes da produção</w:t>
            </w:r>
          </w:p>
        </w:tc>
      </w:tr>
      <w:tr>
        <w:trPr>
          <w:cantSplit/>
        </w:trPr>
        <w:tc>
          <w:tcPr>
            <w:tcW w:type="dxa" w:w="4762"/>
          </w:tcPr>
          <w:p>
            <w:pPr>
              <w:pStyle w:val="LumisTabela"/>
            </w:pPr>
            <w:r>
              <w:t>11. No novo módulo de crédito, dado de saúde fora do modelo e aprovação por faixa de CEP de pelo menos 0,8 da melhor (4.3, 5.2 e 5.3)</w:t>
            </w:r>
          </w:p>
        </w:tc>
        <w:tc>
          <w:tcPr>
            <w:tcW w:type="dxa" w:w="2721"/>
          </w:tcPr>
          <w:p>
            <w:pPr>
              <w:pStyle w:val="LumisTabela"/>
            </w:pPr>
            <w:r>
              <w:t>DPO; Responsável por Dados mede a aprovação; Head of AI Management decide</w:t>
            </w:r>
          </w:p>
        </w:tc>
        <w:tc>
          <w:tcPr>
            <w:tcW w:type="dxa" w:w="1587"/>
          </w:tcPr>
          <w:p>
            <w:pPr>
              <w:pStyle w:val="LumisTabela"/>
            </w:pPr>
            <w:r>
              <w:t>Desde o primeiro dia</w:t>
            </w:r>
          </w:p>
        </w:tc>
      </w:tr>
      <w:tr>
        <w:trPr>
          <w:cantSplit/>
        </w:trPr>
        <w:tc>
          <w:tcPr>
            <w:tcW w:type="dxa" w:w="4762"/>
            <w:shd w:val="clear" w:color="auto" w:fill="F1F6F4"/>
          </w:tcPr>
          <w:p>
            <w:pPr>
              <w:pStyle w:val="LumisTabela"/>
              <w:keepNext/>
            </w:pPr>
            <w:r>
              <w:t>12. Portão de entrada; modo sombra até quatro leituras quinzenais com o pior grupo até 1,5 vez o melhor; responsável do domínio e suspensão testada no mercado (3.5 e 4.3)</w:t>
            </w:r>
          </w:p>
        </w:tc>
        <w:tc>
          <w:tcPr>
            <w:tcW w:type="dxa" w:w="2721"/>
            <w:shd w:val="clear" w:color="auto" w:fill="F1F6F4"/>
          </w:tcPr>
          <w:p>
            <w:pPr>
              <w:pStyle w:val="LumisTabela"/>
              <w:keepNext/>
            </w:pPr>
            <w:r>
              <w:t>CEO decide, com parecer do Head of AI Management e da DPO; teste como na condição 3</w:t>
            </w:r>
          </w:p>
        </w:tc>
        <w:tc>
          <w:tcPr>
            <w:tcW w:type="dxa" w:w="1587"/>
            <w:shd w:val="clear" w:color="auto" w:fill="F1F6F4"/>
          </w:tcPr>
          <w:p>
            <w:pPr>
              <w:pStyle w:val="LumisTabela"/>
              <w:keepNext/>
            </w:pPr>
            <w:r>
              <w:t>Antes da entrada</w:t>
            </w:r>
          </w:p>
        </w:tc>
      </w:tr>
    </w:tbl>
    <w:p>
      <w:pPr>
        <w:pStyle w:val="Caption"/>
      </w:pPr>
      <w:r>
        <w:t>Tabela 7. Condições prévias; entre parênteses, a seção de onde vêm. Cargos e prazos propostos pela equipe.</w:t>
      </w:r>
    </w:p>
    <w:p>
      <w:pPr/>
      <w:r>
        <w:t>As mesmas condições marcam as etapas de liberação do aporte e de cada uso dele:</w:t>
      </w:r>
    </w:p>
    <w:p>
      <w:pPr>
        <w:pStyle w:val="ListBullet"/>
      </w:pPr>
      <w:r>
        <w:rPr>
          <w:b/>
        </w:rPr>
        <w:t>Time técnico:</w:t>
      </w:r>
      <w:r>
        <w:t xml:space="preserve"> contratar em ondas, no lugar de triplicar de uma vez, depois que as condições 2 e 4 estiverem rodando. As ondas são revistas em 01/2027, com a pesquisa curta de clima.</w:t>
      </w:r>
    </w:p>
    <w:p>
      <w:pPr>
        <w:pStyle w:val="ListBullet"/>
      </w:pPr>
      <w:r>
        <w:rPr>
          <w:b/>
        </w:rPr>
        <w:t>Novos países:</w:t>
      </w:r>
      <w:r>
        <w:t xml:space="preserve"> nenhum nesta janela de seis meses. O México é reavaliado ao fim dela e só entra com as doze condições cumpridas.</w:t>
      </w:r>
    </w:p>
    <w:p>
      <w:pPr>
        <w:pStyle w:val="ListBullet"/>
      </w:pPr>
      <w:r>
        <w:rPr>
          <w:b/>
        </w:rPr>
        <w:t>Plataforma:</w:t>
      </w:r>
      <w:r>
        <w:t xml:space="preserve"> só 1,0 mês-pessoa para testar se a prova de desempenho por grupo vira oferta (seção 4.3); produção só nas condições dos países.</w:t>
      </w:r>
    </w:p>
    <w:p>
      <w:pPr/>
      <w:r>
        <w:t>Se o Vetor exigir países ou plataforma em produção antes das condições, recomendamos não aceitar o aporte nesses termos.</w:t>
      </w:r>
    </w:p>
    <w:p>
      <w:pPr>
        <w:pStyle w:val="Heading2"/>
      </w:pPr>
      <w:r>
        <w:t>Coerência com a Declaração de Intenção</w:t>
      </w:r>
    </w:p>
    <w:p>
      <w:pPr/>
      <w:r>
        <w:t>Os cinco compromissos da Declaração de Intenção da Fase 1 continuam com o texto atual e ganham cargo ou limite:</w:t>
      </w:r>
    </w:p>
    <w:p>
      <w:pPr>
        <w:pStyle w:val="ListBullet"/>
      </w:pPr>
      <w:r>
        <w:rPr>
          <w:b/>
        </w:rPr>
        <w:t>Transparência:</w:t>
      </w:r>
      <w:r>
        <w:t xml:space="preserve"> o Head of AI Management responde pela regra única de prova, pela aprovação dos números divulgados ao mercado e pela métrica pública trimestral.</w:t>
      </w:r>
    </w:p>
    <w:p>
      <w:pPr>
        <w:pStyle w:val="ListBullet"/>
      </w:pPr>
      <w:r>
        <w:rPr>
          <w:b/>
        </w:rPr>
        <w:t>Não Amplificação de Danos:</w:t>
      </w:r>
      <w:r>
        <w:t xml:space="preserve"> restrição imediata acima de 2 vezes o erro do melhor grupo, sem esperar nova leitura; leitura quinzenal com alerta; modo sombra antes de frente nova.</w:t>
      </w:r>
    </w:p>
    <w:p>
      <w:pPr>
        <w:pStyle w:val="ListBullet"/>
      </w:pPr>
      <w:r>
        <w:rPr>
          <w:b/>
        </w:rPr>
        <w:t>Reversibilidade:</w:t>
      </w:r>
      <w:r>
        <w:t xml:space="preserve"> contestação revista em até 48 horas e registro de aceite e alteração no protocolo clínico; as 48 horas viram também o teto da suspensão.</w:t>
      </w:r>
    </w:p>
    <w:p>
      <w:pPr>
        <w:pStyle w:val="ListBullet"/>
      </w:pPr>
      <w:r>
        <w:rPr>
          <w:b/>
        </w:rPr>
        <w:t>Responsabilidade e Prestação de Contas:</w:t>
      </w:r>
      <w:r>
        <w:t xml:space="preserve"> o poder de suspender, que na Fase 1 ficou com a liderança em conjunto e sem prazo, passa ao Head of AI Management. A CEO autoriza cada uso e decide no portão do funil o que entra.</w:t>
      </w:r>
    </w:p>
    <w:p>
      <w:pPr>
        <w:pStyle w:val="ListBullet"/>
      </w:pPr>
      <w:r>
        <w:rPr>
          <w:b/>
        </w:rPr>
        <w:t>Segurança e Privacidade:</w:t>
      </w:r>
      <w:r>
        <w:t xml:space="preserve"> a DPO responde pelos acessos revistos a cada 90 dias, pelos incidentes de privacidade medidos e pelo dado de saúde fora do crédito.</w:t>
      </w:r>
    </w:p>
    <w:p>
      <w:pPr/>
      <w:r>
        <w:t>A restrição imediata e as três recusas seguem a regra que assumimos na Fase 1: no conflito entre a continuidade do negócio e a segurança dos afetados, a segurança vem primeiro.</w:t>
      </w:r>
    </w:p>
    <w:p>
      <w:pPr>
        <w:pStyle w:val="Heading2"/>
      </w:pPr>
      <w:r>
        <w:t>O que o Anexo A não informa</w:t>
      </w:r>
    </w:p>
    <w:p>
      <w:pPr/>
      <w:r>
        <w:t>Identificar o que falta também é resultado da análise. Nenhuma destas lacunas muda a direção recomendada, mas algumas mudam o tamanho de um risco e precisam ser levantadas antes da etapa que depende delas.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6123"/>
        <w:gridCol w:w="2948"/>
      </w:tblGrid>
      <w:tr>
        <w:trPr>
          <w:cantSplit/>
          <w:tblHeader w:val="true"/>
        </w:trPr>
        <w:tc>
          <w:tcPr>
            <w:tcW w:type="dxa" w:w="6123"/>
            <w:shd w:val="clear" w:color="auto" w:fill="0F2D3A"/>
          </w:tcPr>
          <w:p>
            <w:pPr>
              <w:pStyle w:val="LumisTabela"/>
              <w:keepNext/>
            </w:pPr>
            <w:r>
              <w:rPr>
                <w:b/>
                <w:color w:val="FFFFFF"/>
              </w:rPr>
              <w:t>O que não sabemos</w:t>
            </w:r>
          </w:p>
        </w:tc>
        <w:tc>
          <w:tcPr>
            <w:tcW w:type="dxa" w:w="2948"/>
            <w:shd w:val="clear" w:color="auto" w:fill="0F2D3A"/>
          </w:tcPr>
          <w:p>
            <w:pPr>
              <w:pStyle w:val="LumisTabela"/>
              <w:keepNext/>
            </w:pPr>
            <w:r>
              <w:rPr>
                <w:b/>
                <w:color w:val="FFFFFF"/>
              </w:rPr>
              <w:t>Onde pesa</w:t>
            </w:r>
          </w:p>
        </w:tc>
      </w:tr>
      <w:tr>
        <w:trPr>
          <w:cantSplit/>
        </w:trPr>
        <w:tc>
          <w:tcPr>
            <w:tcW w:type="dxa" w:w="9071"/>
            <w:gridSpan w:val="2"/>
            <w:shd w:val="clear" w:color="auto" w:fill="EEF7F3"/>
          </w:tcPr>
          <w:p>
            <w:pPr>
              <w:pStyle w:val="LumisTabela"/>
              <w:keepNext/>
            </w:pPr>
            <w:r>
              <w:rPr>
                <w:b/>
                <w:color w:val="1E8C6B"/>
              </w:rPr>
              <w:t>Mercado e caixa</w:t>
            </w:r>
          </w:p>
        </w:tc>
      </w:tr>
      <w:tr>
        <w:trPr>
          <w:cantSplit/>
        </w:trPr>
        <w:tc>
          <w:tcPr>
            <w:tcW w:type="dxa" w:w="6123"/>
          </w:tcPr>
          <w:p>
            <w:pPr>
              <w:pStyle w:val="LumisTabela"/>
            </w:pPr>
            <w:r>
              <w:t>Quantas das 38 contas são de porte médio</w:t>
            </w:r>
          </w:p>
        </w:tc>
        <w:tc>
          <w:tcPr>
            <w:tcW w:type="dxa" w:w="2948"/>
          </w:tcPr>
          <w:p>
            <w:pPr>
              <w:pStyle w:val="LumisTabela"/>
            </w:pPr>
            <w:r>
              <w:t>Foco da tese (1.4)</w:t>
            </w:r>
          </w:p>
        </w:tc>
      </w:tr>
      <w:tr>
        <w:trPr>
          <w:cantSplit/>
        </w:trPr>
        <w:tc>
          <w:tcPr>
            <w:tcW w:type="dxa" w:w="6123"/>
            <w:shd w:val="clear" w:color="auto" w:fill="F1F6F4"/>
          </w:tcPr>
          <w:p>
            <w:pPr>
              <w:pStyle w:val="LumisTabela"/>
            </w:pPr>
            <w:r>
              <w:t>Se a Lumis já tem proteção cambial</w:t>
            </w:r>
          </w:p>
        </w:tc>
        <w:tc>
          <w:tcPr>
            <w:tcW w:type="dxa" w:w="2948"/>
            <w:shd w:val="clear" w:color="auto" w:fill="F1F6F4"/>
          </w:tcPr>
          <w:p>
            <w:pPr>
              <w:pStyle w:val="LumisTabela"/>
            </w:pPr>
            <w:r>
              <w:t>Margem (1.3)</w:t>
            </w:r>
          </w:p>
        </w:tc>
      </w:tr>
      <w:tr>
        <w:trPr>
          <w:cantSplit/>
        </w:trPr>
        <w:tc>
          <w:tcPr>
            <w:tcW w:type="dxa" w:w="6123"/>
          </w:tcPr>
          <w:p>
            <w:pPr>
              <w:pStyle w:val="LumisTabela"/>
            </w:pPr>
            <w:r>
              <w:t>Outra fonte de capital, se o aporte não sair</w:t>
            </w:r>
          </w:p>
        </w:tc>
        <w:tc>
          <w:tcPr>
            <w:tcW w:type="dxa" w:w="2948"/>
          </w:tcPr>
          <w:p>
            <w:pPr>
              <w:pStyle w:val="LumisTabela"/>
            </w:pPr>
            <w:r>
              <w:t>Cláusula de saída</w:t>
            </w:r>
          </w:p>
        </w:tc>
      </w:tr>
      <w:tr>
        <w:trPr>
          <w:cantSplit/>
        </w:trPr>
        <w:tc>
          <w:tcPr>
            <w:tcW w:type="dxa" w:w="6123"/>
            <w:shd w:val="clear" w:color="auto" w:fill="F1F6F4"/>
          </w:tcPr>
          <w:p>
            <w:pPr>
              <w:pStyle w:val="LumisTabela"/>
            </w:pPr>
            <w:r>
              <w:t>Valor de cada etapa do aporte e custo das contratações em ondas</w:t>
            </w:r>
          </w:p>
        </w:tc>
        <w:tc>
          <w:tcPr>
            <w:tcW w:type="dxa" w:w="2948"/>
            <w:shd w:val="clear" w:color="auto" w:fill="F1F6F4"/>
          </w:tcPr>
          <w:p>
            <w:pPr>
              <w:pStyle w:val="LumisTabela"/>
            </w:pPr>
            <w:r>
              <w:t>Uso do aporte</w:t>
            </w:r>
          </w:p>
        </w:tc>
      </w:tr>
      <w:tr>
        <w:trPr>
          <w:cantSplit/>
        </w:trPr>
        <w:tc>
          <w:tcPr>
            <w:tcW w:type="dxa" w:w="9071"/>
            <w:gridSpan w:val="2"/>
            <w:shd w:val="clear" w:color="auto" w:fill="EEF7F3"/>
          </w:tcPr>
          <w:p>
            <w:pPr>
              <w:pStyle w:val="LumisTabela"/>
              <w:keepNext/>
            </w:pPr>
            <w:r>
              <w:rPr>
                <w:b/>
                <w:color w:val="1E8C6B"/>
              </w:rPr>
              <w:t>Dados e privacidade</w:t>
            </w:r>
          </w:p>
        </w:tc>
      </w:tr>
      <w:tr>
        <w:trPr>
          <w:cantSplit/>
        </w:trPr>
        <w:tc>
          <w:tcPr>
            <w:tcW w:type="dxa" w:w="6123"/>
          </w:tcPr>
          <w:p>
            <w:pPr>
              <w:pStyle w:val="LumisTabela"/>
            </w:pPr>
            <w:r>
              <w:t>Sob que cláusula chegaram os registros anteriores à fundação da empresa</w:t>
            </w:r>
          </w:p>
        </w:tc>
        <w:tc>
          <w:tcPr>
            <w:tcW w:type="dxa" w:w="2948"/>
          </w:tcPr>
          <w:p>
            <w:pPr>
              <w:pStyle w:val="LumisTabela"/>
            </w:pPr>
            <w:r>
              <w:t>Direito de uso (2.1)</w:t>
            </w:r>
          </w:p>
        </w:tc>
      </w:tr>
      <w:tr>
        <w:trPr>
          <w:cantSplit/>
        </w:trPr>
        <w:tc>
          <w:tcPr>
            <w:tcW w:type="dxa" w:w="6123"/>
            <w:shd w:val="clear" w:color="auto" w:fill="F1F6F4"/>
          </w:tcPr>
          <w:p>
            <w:pPr>
              <w:pStyle w:val="LumisTabela"/>
            </w:pPr>
            <w:r>
              <w:t>Se a anonimização dos dados da Rede Sanare é irreversível e de onde vêm os dados sintéticos</w:t>
            </w:r>
          </w:p>
        </w:tc>
        <w:tc>
          <w:tcPr>
            <w:tcW w:type="dxa" w:w="2948"/>
            <w:shd w:val="clear" w:color="auto" w:fill="F1F6F4"/>
          </w:tcPr>
          <w:p>
            <w:pPr>
              <w:pStyle w:val="LumisTabela"/>
            </w:pPr>
            <w:r>
              <w:t>Base legal (5.3)</w:t>
            </w:r>
          </w:p>
        </w:tc>
      </w:tr>
      <w:tr>
        <w:trPr>
          <w:cantSplit/>
        </w:trPr>
        <w:tc>
          <w:tcPr>
            <w:tcW w:type="dxa" w:w="6123"/>
          </w:tcPr>
          <w:p>
            <w:pPr>
              <w:pStyle w:val="LumisTabela"/>
            </w:pPr>
            <w:r>
              <w:t>Se a Lumis já tem relatório de impacto à proteção de dados e se os acessos a dados de pacientes são revistos hoje</w:t>
            </w:r>
          </w:p>
        </w:tc>
        <w:tc>
          <w:tcPr>
            <w:tcW w:type="dxa" w:w="2948"/>
          </w:tcPr>
          <w:p>
            <w:pPr>
              <w:pStyle w:val="LumisTabela"/>
            </w:pPr>
            <w:r>
              <w:t>Privacidade (5.3)</w:t>
            </w:r>
          </w:p>
        </w:tc>
      </w:tr>
      <w:tr>
        <w:trPr>
          <w:cantSplit/>
        </w:trPr>
        <w:tc>
          <w:tcPr>
            <w:tcW w:type="dxa" w:w="6123"/>
            <w:shd w:val="clear" w:color="auto" w:fill="F1F6F4"/>
          </w:tcPr>
          <w:p>
            <w:pPr>
              <w:pStyle w:val="LumisTabela"/>
            </w:pPr>
            <w:r>
              <w:t>Previsão de aprovação da política para dados de saúde</w:t>
            </w:r>
          </w:p>
        </w:tc>
        <w:tc>
          <w:tcPr>
            <w:tcW w:type="dxa" w:w="2948"/>
            <w:shd w:val="clear" w:color="auto" w:fill="F1F6F4"/>
          </w:tcPr>
          <w:p>
            <w:pPr>
              <w:pStyle w:val="LumisTabela"/>
            </w:pPr>
            <w:r>
              <w:t>Condição 7</w:t>
            </w:r>
          </w:p>
        </w:tc>
      </w:tr>
      <w:tr>
        <w:trPr>
          <w:cantSplit/>
        </w:trPr>
        <w:tc>
          <w:tcPr>
            <w:tcW w:type="dxa" w:w="6123"/>
          </w:tcPr>
          <w:p>
            <w:pPr>
              <w:pStyle w:val="LumisTabela"/>
            </w:pPr>
            <w:r>
              <w:t>Lei de dados e perfil de acesso à saúde no México; qual seria o segundo país</w:t>
            </w:r>
          </w:p>
        </w:tc>
        <w:tc>
          <w:tcPr>
            <w:tcW w:type="dxa" w:w="2948"/>
          </w:tcPr>
          <w:p>
            <w:pPr>
              <w:pStyle w:val="LumisTabela"/>
            </w:pPr>
            <w:r>
              <w:t>Novos países (5.2 e 5.3)</w:t>
            </w:r>
          </w:p>
        </w:tc>
      </w:tr>
      <w:tr>
        <w:trPr>
          <w:cantSplit/>
        </w:trPr>
        <w:tc>
          <w:tcPr>
            <w:tcW w:type="dxa" w:w="9071"/>
            <w:gridSpan w:val="2"/>
            <w:shd w:val="clear" w:color="auto" w:fill="EEF7F3"/>
          </w:tcPr>
          <w:p>
            <w:pPr>
              <w:pStyle w:val="LumisTabela"/>
              <w:keepNext/>
            </w:pPr>
            <w:r>
              <w:rPr>
                <w:b/>
                <w:color w:val="1E8C6B"/>
              </w:rPr>
              <w:t>Desempenho e equidade</w:t>
            </w:r>
          </w:p>
        </w:tc>
      </w:tr>
      <w:tr>
        <w:trPr>
          <w:cantSplit/>
        </w:trPr>
        <w:tc>
          <w:tcPr>
            <w:tcW w:type="dxa" w:w="6123"/>
          </w:tcPr>
          <w:p>
            <w:pPr>
              <w:pStyle w:val="LumisTabela"/>
            </w:pPr>
            <w:r>
              <w:t>Desempenho por sexo, raça ou cor e deficiência</w:t>
            </w:r>
          </w:p>
        </w:tc>
        <w:tc>
          <w:tcPr>
            <w:tcW w:type="dxa" w:w="2948"/>
          </w:tcPr>
          <w:p>
            <w:pPr>
              <w:pStyle w:val="LumisTabela"/>
            </w:pPr>
            <w:r>
              <w:t>Equidade (5.2)</w:t>
            </w:r>
          </w:p>
        </w:tc>
      </w:tr>
      <w:tr>
        <w:trPr>
          <w:cantSplit/>
        </w:trPr>
        <w:tc>
          <w:tcPr>
            <w:tcW w:type="dxa" w:w="6123"/>
            <w:shd w:val="clear" w:color="auto" w:fill="F1F6F4"/>
          </w:tcPr>
          <w:p>
            <w:pPr>
              <w:pStyle w:val="LumisTabela"/>
            </w:pPr>
            <w:r>
              <w:t>Reclamações por idade e parcela de pacientes marcados como prioridade</w:t>
            </w:r>
          </w:p>
        </w:tc>
        <w:tc>
          <w:tcPr>
            <w:tcW w:type="dxa" w:w="2948"/>
            <w:shd w:val="clear" w:color="auto" w:fill="F1F6F4"/>
          </w:tcPr>
          <w:p>
            <w:pPr>
              <w:pStyle w:val="LumisTabela"/>
            </w:pPr>
            <w:r>
              <w:t>Indicador de reclamações e métrica pública (5.2 e 5.4)</w:t>
            </w:r>
          </w:p>
        </w:tc>
      </w:tr>
      <w:tr>
        <w:trPr>
          <w:cantSplit/>
        </w:trPr>
        <w:tc>
          <w:tcPr>
            <w:tcW w:type="dxa" w:w="6123"/>
          </w:tcPr>
          <w:p>
            <w:pPr>
              <w:pStyle w:val="LumisTabela"/>
            </w:pPr>
            <w:r>
              <w:t>Por que o erro é maior nos idosos</w:t>
            </w:r>
          </w:p>
        </w:tc>
        <w:tc>
          <w:tcPr>
            <w:tcW w:type="dxa" w:w="2948"/>
          </w:tcPr>
          <w:p>
            <w:pPr>
              <w:pStyle w:val="LumisTabela"/>
            </w:pPr>
            <w:r>
              <w:t>Correção do viés (2.2)</w:t>
            </w:r>
          </w:p>
        </w:tc>
      </w:tr>
      <w:tr>
        <w:trPr>
          <w:cantSplit/>
        </w:trPr>
        <w:tc>
          <w:tcPr>
            <w:tcW w:type="dxa" w:w="6123"/>
            <w:shd w:val="clear" w:color="auto" w:fill="F1F6F4"/>
          </w:tcPr>
          <w:p>
            <w:pPr>
              <w:pStyle w:val="LumisTabela"/>
            </w:pPr>
            <w:r>
              <w:t>Carga em cada hospital e receita afetada pela restrição</w:t>
            </w:r>
          </w:p>
        </w:tc>
        <w:tc>
          <w:tcPr>
            <w:tcW w:type="dxa" w:w="2948"/>
            <w:shd w:val="clear" w:color="auto" w:fill="F1F6F4"/>
          </w:tcPr>
          <w:p>
            <w:pPr>
              <w:pStyle w:val="LumisTabela"/>
            </w:pPr>
            <w:r>
              <w:t>Restrição imediata (2.5)</w:t>
            </w:r>
          </w:p>
        </w:tc>
      </w:tr>
      <w:tr>
        <w:trPr>
          <w:cantSplit/>
        </w:trPr>
        <w:tc>
          <w:tcPr>
            <w:tcW w:type="dxa" w:w="9071"/>
            <w:gridSpan w:val="2"/>
            <w:shd w:val="clear" w:color="auto" w:fill="EEF7F3"/>
          </w:tcPr>
          <w:p>
            <w:pPr>
              <w:pStyle w:val="LumisTabela"/>
              <w:keepNext/>
            </w:pPr>
            <w:r>
              <w:rPr>
                <w:b/>
                <w:color w:val="1E8C6B"/>
              </w:rPr>
              <w:t>Responsabilidade e execução</w:t>
            </w:r>
          </w:p>
        </w:tc>
      </w:tr>
      <w:tr>
        <w:trPr>
          <w:cantSplit/>
        </w:trPr>
        <w:tc>
          <w:tcPr>
            <w:tcW w:type="dxa" w:w="6123"/>
          </w:tcPr>
          <w:p>
            <w:pPr>
              <w:pStyle w:val="LumisTabela"/>
            </w:pPr>
            <w:r>
              <w:t>Quais casos têm revisão obrigatória depois do plano de contenção e se há aprovação interna no protocolo, no sinistro e no crédito</w:t>
            </w:r>
          </w:p>
        </w:tc>
        <w:tc>
          <w:tcPr>
            <w:tcW w:type="dxa" w:w="2948"/>
          </w:tcPr>
          <w:p>
            <w:pPr>
              <w:pStyle w:val="LumisTabela"/>
            </w:pPr>
            <w:r>
              <w:t>Mapa de decisões (3.1)</w:t>
            </w:r>
          </w:p>
        </w:tc>
      </w:tr>
      <w:tr>
        <w:trPr>
          <w:cantSplit/>
        </w:trPr>
        <w:tc>
          <w:tcPr>
            <w:tcW w:type="dxa" w:w="6123"/>
            <w:shd w:val="clear" w:color="auto" w:fill="F1F6F4"/>
          </w:tcPr>
          <w:p>
            <w:pPr>
              <w:pStyle w:val="LumisTabela"/>
            </w:pPr>
            <w:r>
              <w:t>Quem pode suspender o sistema hoje, em quanto tempo, e se a atualização do fornecedor de 09/2025 passou pela liberação do CTO</w:t>
            </w:r>
          </w:p>
        </w:tc>
        <w:tc>
          <w:tcPr>
            <w:tcW w:type="dxa" w:w="2948"/>
            <w:shd w:val="clear" w:color="auto" w:fill="F1F6F4"/>
          </w:tcPr>
          <w:p>
            <w:pPr>
              <w:pStyle w:val="LumisTabela"/>
            </w:pPr>
            <w:r>
              <w:t>Prazo de suspensão (3.2 e 3.3)</w:t>
            </w:r>
          </w:p>
        </w:tc>
      </w:tr>
      <w:tr>
        <w:trPr>
          <w:cantSplit/>
        </w:trPr>
        <w:tc>
          <w:tcPr>
            <w:tcW w:type="dxa" w:w="6123"/>
          </w:tcPr>
          <w:p>
            <w:pPr>
              <w:pStyle w:val="LumisTabela"/>
              <w:keepNext/>
            </w:pPr>
            <w:r>
              <w:t>Se a capacidade de 30 meses-pessoa já desconta o trabalho dos compromissos</w:t>
            </w:r>
          </w:p>
        </w:tc>
        <w:tc>
          <w:tcPr>
            <w:tcW w:type="dxa" w:w="2948"/>
          </w:tcPr>
          <w:p>
            <w:pPr>
              <w:pStyle w:val="LumisTabela"/>
              <w:keepNext/>
            </w:pPr>
            <w:r>
              <w:t>Distribuição (4.4)</w:t>
            </w:r>
          </w:p>
        </w:tc>
      </w:tr>
    </w:tbl>
    <w:p>
      <w:pPr>
        <w:pStyle w:val="Caption"/>
      </w:pPr>
      <w:r>
        <w:t>Tabela 8. Informações que não constam do Anexo A e onde pesam no dossiê.</w:t>
      </w:r>
    </w:p>
    <w:p>
      <w:pPr>
        <w:pStyle w:val="Heading1"/>
      </w:pPr>
      <w:r>
        <w:t>Referências</w:t>
      </w:r>
    </w:p>
    <w:p>
      <w:pPr>
        <w:pStyle w:val="LumisNota"/>
      </w:pPr>
      <w:r>
        <w:t>1. ESTADOS UNIDOS. 29 CFR § 1607.4: Information on impact (Uniform Guidelines on Employee Selection Procedures). Disponível em: https://www.law.cornell.edu/cfr/text/29/1607.4. Acesso em: 7 out. 2026. Usada por analogia: a regra foi criada para seleção de emprego.</w:t>
      </w:r>
    </w:p>
    <w:p>
      <w:pPr>
        <w:pStyle w:val="LumisNota"/>
      </w:pPr>
      <w:r>
        <w:t>2. BRASIL. Lei nº 13.709, de 14 de agosto de 2018. Lei Geral de Proteção de Dados Pessoais (LGPD). Texto compilado. Disponível em: https://www.planalto.gov.br/ccivil_03/_ato2015-2018/2018/lei/l13709.htm. Acesso em: 7 out. 2026.</w:t>
      </w:r>
    </w:p>
    <w:p>
      <w:pPr>
        <w:pStyle w:val="LumisNota"/>
      </w:pPr>
      <w:r>
        <w:t>3. SHAPIRO, C.; VARIAN, H. R. Information Rules: A Strategic Guide to the Network Economy. Boston: Harvard Business School Press, 1999.</w:t>
      </w:r>
    </w:p>
    <w:p>
      <w:pPr>
        <w:pStyle w:val="LumisNota"/>
      </w:pPr>
      <w:r>
        <w:t>4. MV. MV se torna a 5ª maior fornecedora global de prontuário eletrônico hospitalar (dados KLAS 2025). 4 ago. 2025. Disponível em: https://mv.com.br/imprensa/mv-se-torna-a-5a-maior-fornecedora-global-de-prontuario-eletronico-hospitalar. Acesso em: 5 out. 2026.</w:t>
      </w:r>
    </w:p>
    <w:p>
      <w:pPr>
        <w:pStyle w:val="LumisNota"/>
      </w:pPr>
      <w:r>
        <w:t>5. CONVERGÊNCIA DIGITAL. Hospital Israelita Albert Einstein: algoritmos, IA e inovação salvam vidas. 8 jan. 2025. Disponível em: https://convergenciadigital.com.br/mercado/hospital-israelita-albert-einstein-algoritmos-ia-e-inovacao-salvam-vidas/. Acesso em: 5 out. 2026.</w:t>
      </w:r>
    </w:p>
    <w:p>
      <w:pPr>
        <w:pStyle w:val="LumisNota"/>
      </w:pPr>
      <w:r>
        <w:t>6. WONG, A. et al. External Validation of a Widely Implemented Proprietary Sepsis Prediction Model in Hospitalized Patients. JAMA Internal Medicine, v. 181, n. 8, p. 1065-1070, 2021.</w:t>
      </w:r>
    </w:p>
    <w:p>
      <w:pPr>
        <w:pStyle w:val="LumisNota"/>
      </w:pPr>
      <w:r>
        <w:t>7. TECHCRUNCH. Anthropic hikes the price of its Haiku model. 4 nov. 2024. Disponível em: https://techcrunch.com/2024/11/04/anthropic-hikes-the-price-of-its-haiku-model. Acesso em: 5 out. 2026.</w:t>
      </w:r>
    </w:p>
    <w:p>
      <w:pPr>
        <w:pStyle w:val="LumisNota"/>
      </w:pPr>
      <w:r>
        <w:t>8. ANPD. Guia Orientativo para Definições dos Agentes de Tratamento de Dados Pessoais e do Encarregado. Versão 2.0, 2022.</w:t>
      </w:r>
    </w:p>
    <w:p>
      <w:pPr>
        <w:pStyle w:val="LumisNota"/>
      </w:pPr>
      <w:r>
        <w:t>9. OBERMEYER, Z. et al. Dissecting racial bias in an algorithm used to manage the health of populations. Science, v. 366, n. 6464, p. 447-453, 2019.</w:t>
      </w:r>
    </w:p>
    <w:p>
      <w:pPr>
        <w:pStyle w:val="LumisNota"/>
      </w:pPr>
      <w:r>
        <w:t>10. SCHEIN, E. H.; SCHEIN, P. A. Organizational Culture and Leadership. 5. ed. Hoboken: Wiley, 2017. A bibliografia do curso registra a edição como de 2016.</w:t>
      </w:r>
    </w:p>
    <w:p>
      <w:pPr>
        <w:pStyle w:val="LumisNota"/>
      </w:pPr>
      <w:r>
        <w:t>11. COOPER, R. G. Stage-gate systems: a new tool for managing new products. Business Horizons, v. 33, n. 3, p. 44-54, 1990.</w:t>
      </w:r>
    </w:p>
    <w:p>
      <w:pPr>
        <w:pStyle w:val="LumisNota"/>
      </w:pPr>
      <w:r>
        <w:t>12. NAGJI, B.; TUFF, G. Managing Your Innovation Portfolio. Harvard Business Review, maio 2012. Disponível em: https://hbr.org/2012/05/managing-your-innovation-portfolio.</w:t>
      </w:r>
    </w:p>
    <w:p>
      <w:pPr>
        <w:pStyle w:val="LumisNota"/>
      </w:pPr>
      <w:r>
        <w:t>Dados da Lumis: Cap. 2, Anexo A. Cálculos, classificações, limites, metas, prazos e cargos propostos são da equipe. As empresas, os estudos e as normas reais citados são contexto externo, usados como análogo ou referência, e não fazem parte do caso Lumis.</w:t>
      </w:r>
    </w:p>
    <w:p>
      <w:pPr>
        <w:pStyle w:val="LumisNota"/>
      </w:pPr>
      <w:r>
        <w:t>A IA generativa (Claude Code, Anthropic) apoiou a pesquisa, a conferência das fontes e a redação, com revisão da equipe. O uso na pesquisa de mercado da Entrega 1 está documentado no Apêndice A.</w:t>
      </w:r>
    </w:p>
    <w:p>
      <w:pPr>
        <w:pStyle w:val="Heading1"/>
        <w:pageBreakBefore/>
      </w:pPr>
      <w:r>
        <w:t>Apêndice A: Prompts da pesquisa de mercado (Entrega 1)</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Heading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Heading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Heading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p>
      <w:pPr>
        <w:pStyle w:val="Heading1"/>
        <w:pageBreakBefore/>
      </w:pPr>
      <w:r>
        <w:t>Apêndice B: Quadros de apoio</w:t>
      </w:r>
    </w:p>
    <w:p>
      <w:pPr/>
      <w:r>
        <w:t>Os quadros e figuras que sustentam as análises do dossiê, na ordem das entregas. A fonte de cada um está na legenda.</w:t>
      </w:r>
    </w:p>
    <w:p>
      <w:pPr>
        <w:pStyle w:val="Heading2"/>
      </w:pPr>
      <w:r>
        <w:t>Entrega 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Tema</w:t>
            </w:r>
          </w:p>
        </w:tc>
        <w:tc>
          <w:tcPr>
            <w:tcW w:type="dxa" w:w="7030"/>
            <w:shd w:val="clear" w:color="auto" w:fill="0F2D3A"/>
          </w:tcPr>
          <w:p>
            <w:pPr>
              <w:pStyle w:val="LumisTabela"/>
              <w:keepNext/>
            </w:pPr>
            <w:r>
              <w:rPr>
                <w:b/>
                <w:color w:val="FFFFFF"/>
              </w:rPr>
              <w:t>Evidência principal</w:t>
            </w:r>
          </w:p>
        </w:tc>
      </w:tr>
      <w:tr>
        <w:trPr>
          <w:cantSplit/>
        </w:trPr>
        <w:tc>
          <w:tcPr>
            <w:tcW w:type="dxa" w:w="2041"/>
            <w:shd w:val="clear" w:color="auto" w:fill="F1F6F4"/>
          </w:tcPr>
          <w:p>
            <w:pPr>
              <w:pStyle w:val="LumisTabela"/>
            </w:pPr>
            <w:r>
              <w:t>T1 Equidade no acesso</w:t>
            </w:r>
          </w:p>
        </w:tc>
        <w:tc>
          <w:tcPr>
            <w:tcW w:type="dxa" w:w="7030"/>
            <w:shd w:val="clear" w:color="auto" w:fill="F1F6F4"/>
          </w:tcPr>
          <w:p>
            <w:pPr>
              <w:pStyle w:val="LumisTabela"/>
            </w:pPr>
            <w:r>
              <w:t>Falso negativo de 31,8% em 60+ de CEP D/E; a faixa D/E concentra 64% das reclamações</w:t>
            </w:r>
          </w:p>
        </w:tc>
      </w:tr>
      <w:tr>
        <w:trPr>
          <w:cantSplit/>
        </w:trPr>
        <w:tc>
          <w:tcPr>
            <w:tcW w:type="dxa" w:w="2041"/>
          </w:tcPr>
          <w:p>
            <w:pPr>
              <w:pStyle w:val="LumisTabela"/>
            </w:pPr>
            <w:r>
              <w:t>T2 Privacidade e dados de saúde</w:t>
            </w:r>
          </w:p>
        </w:tc>
        <w:tc>
          <w:tcPr>
            <w:tcW w:type="dxa" w:w="7030"/>
          </w:tcPr>
          <w:p>
            <w:pPr>
              <w:pStyle w:val="LumisTabela"/>
            </w:pPr>
            <w:r>
              <w:t>35,4% dos dados de clientes com autorização fraca ou nenhuma; política para dados de saúde em elaboração desde 2024, sem versão aprovada</w:t>
            </w:r>
          </w:p>
        </w:tc>
      </w:tr>
      <w:tr>
        <w:trPr>
          <w:cantSplit/>
        </w:trPr>
        <w:tc>
          <w:tcPr>
            <w:tcW w:type="dxa" w:w="2041"/>
            <w:shd w:val="clear" w:color="auto" w:fill="F1F6F4"/>
          </w:tcPr>
          <w:p>
            <w:pPr>
              <w:pStyle w:val="LumisTabela"/>
            </w:pPr>
            <w:r>
              <w:t>T3 Transparência</w:t>
            </w:r>
          </w:p>
        </w:tc>
        <w:tc>
          <w:tcPr>
            <w:tcW w:type="dxa" w:w="7030"/>
            <w:shd w:val="clear" w:color="auto" w:fill="F1F6F4"/>
          </w:tcPr>
          <w:p>
            <w:pPr>
              <w:pStyle w:val="LumisTabela"/>
            </w:pPr>
            <w:r>
              <w:t>640 mil priorizações por mês com revisão humana de 2%; 94% divulgado contra 87,6% em campo</w:t>
            </w:r>
          </w:p>
        </w:tc>
      </w:tr>
      <w:tr>
        <w:trPr>
          <w:cantSplit/>
        </w:trPr>
        <w:tc>
          <w:tcPr>
            <w:tcW w:type="dxa" w:w="2041"/>
          </w:tcPr>
          <w:p>
            <w:pPr>
              <w:pStyle w:val="LumisTabela"/>
            </w:pPr>
            <w:r>
              <w:t>T4 Governança da IA</w:t>
            </w:r>
          </w:p>
        </w:tc>
        <w:tc>
          <w:tcPr>
            <w:tcW w:type="dxa" w:w="7030"/>
          </w:tcPr>
          <w:p>
            <w:pPr>
              <w:pStyle w:val="LumisTabela"/>
            </w:pPr>
            <w:r>
              <w:t>Sem comitê de ética ou de risco; só o CTO libera versões; 2 de 4 incidentes detectados pelo cliente</w:t>
            </w:r>
          </w:p>
        </w:tc>
      </w:tr>
      <w:tr>
        <w:trPr>
          <w:cantSplit/>
        </w:trPr>
        <w:tc>
          <w:tcPr>
            <w:tcW w:type="dxa" w:w="2041"/>
            <w:shd w:val="clear" w:color="auto" w:fill="F1F6F4"/>
          </w:tcPr>
          <w:p>
            <w:pPr>
              <w:pStyle w:val="LumisTabela"/>
            </w:pPr>
            <w:r>
              <w:t>T5 Clima e retenção</w:t>
            </w:r>
          </w:p>
        </w:tc>
        <w:tc>
          <w:tcPr>
            <w:tcW w:type="dxa" w:w="7030"/>
            <w:shd w:val="clear" w:color="auto" w:fill="F1F6F4"/>
          </w:tcPr>
          <w:p>
            <w:pPr>
              <w:pStyle w:val="LumisTabela"/>
            </w:pPr>
            <w:r>
              <w:t>eNPS de −31 no time técnico; rotatividade de 27% no time de dados</w:t>
            </w:r>
          </w:p>
        </w:tc>
      </w:tr>
      <w:tr>
        <w:trPr>
          <w:cantSplit/>
        </w:trPr>
        <w:tc>
          <w:tcPr>
            <w:tcW w:type="dxa" w:w="2041"/>
          </w:tcPr>
          <w:p>
            <w:pPr>
              <w:pStyle w:val="LumisTabela"/>
            </w:pPr>
            <w:r>
              <w:t>T6 Diversidade</w:t>
            </w:r>
          </w:p>
        </w:tc>
        <w:tc>
          <w:tcPr>
            <w:tcW w:type="dxa" w:w="7030"/>
          </w:tcPr>
          <w:p>
            <w:pPr>
              <w:pStyle w:val="LumisTabela"/>
            </w:pPr>
            <w:r>
              <w:t>Mulheres são 12% e pessoas negras 6% da liderança. Sem nota Alta; o Anexo A não liga o tema a dano ou perda já ocorridos</w:t>
            </w:r>
          </w:p>
        </w:tc>
      </w:tr>
      <w:tr>
        <w:trPr>
          <w:cantSplit/>
        </w:trPr>
        <w:tc>
          <w:tcPr>
            <w:tcW w:type="dxa" w:w="2041"/>
            <w:shd w:val="clear" w:color="auto" w:fill="F1F6F4"/>
          </w:tcPr>
          <w:p>
            <w:pPr>
              <w:pStyle w:val="LumisTabela"/>
              <w:keepNext/>
            </w:pPr>
            <w:r>
              <w:t>T7 Energia</w:t>
            </w:r>
          </w:p>
        </w:tc>
        <w:tc>
          <w:tcPr>
            <w:tcW w:type="dxa" w:w="7030"/>
            <w:shd w:val="clear" w:color="auto" w:fill="F1F6F4"/>
          </w:tcPr>
          <w:p>
            <w:pPr>
              <w:pStyle w:val="LumisTabela"/>
              <w:keepNext/>
            </w:pPr>
            <w:r>
              <w:t xml:space="preserve">1.240 MWh por ano, 75% em inferência; 62% de fonte renovável. Sem nota Alta; o consumo cresce com a inferência </w:t>
            </w:r>
            <w:r>
              <w:rPr>
                <w:rStyle w:val="TagHipótese"/>
              </w:rPr>
              <w:t>[hipótese]</w:t>
            </w:r>
          </w:p>
        </w:tc>
      </w:tr>
    </w:tbl>
    <w:p>
      <w:pPr>
        <w:pStyle w:val="Caption"/>
      </w:pPr>
      <w:r>
        <w:t>Tabela 9. Evidência principal de cada tema da matriz de materialidade (Figura 1). Fonte: Cap. 2, Quadros 7, 9, 10, 11, 12, 14, 15 e 17.</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417"/>
        <w:gridCol w:w="2664"/>
        <w:gridCol w:w="4989"/>
      </w:tblGrid>
      <w:tr>
        <w:trPr>
          <w:cantSplit/>
          <w:tblHeader w:val="true"/>
        </w:trPr>
        <w:tc>
          <w:tcPr>
            <w:tcW w:type="dxa" w:w="1417"/>
            <w:shd w:val="clear" w:color="auto" w:fill="0F2D3A"/>
          </w:tcPr>
          <w:p>
            <w:pPr>
              <w:pStyle w:val="LumisTabela"/>
              <w:keepNext/>
            </w:pPr>
            <w:r>
              <w:rPr>
                <w:b/>
                <w:color w:val="FFFFFF"/>
              </w:rPr>
              <w:t>Frente</w:t>
            </w:r>
          </w:p>
        </w:tc>
        <w:tc>
          <w:tcPr>
            <w:tcW w:type="dxa" w:w="2665"/>
            <w:shd w:val="clear" w:color="auto" w:fill="0F2D3A"/>
          </w:tcPr>
          <w:p>
            <w:pPr>
              <w:pStyle w:val="LumisTabela"/>
              <w:keepNext/>
            </w:pPr>
            <w:r>
              <w:rPr>
                <w:b/>
                <w:color w:val="FFFFFF"/>
              </w:rPr>
              <w:t>Grupo em risco</w:t>
            </w:r>
          </w:p>
        </w:tc>
        <w:tc>
          <w:tcPr>
            <w:tcW w:type="dxa" w:w="4989"/>
            <w:shd w:val="clear" w:color="auto" w:fill="0F2D3A"/>
          </w:tcPr>
          <w:p>
            <w:pPr>
              <w:pStyle w:val="LumisTabela"/>
              <w:keepNext/>
            </w:pPr>
            <w:r>
              <w:rPr>
                <w:b/>
                <w:color w:val="FFFFFF"/>
              </w:rPr>
              <w:t>Por quê</w:t>
            </w:r>
          </w:p>
        </w:tc>
      </w:tr>
      <w:tr>
        <w:trPr>
          <w:cantSplit/>
        </w:trPr>
        <w:tc>
          <w:tcPr>
            <w:tcW w:type="dxa" w:w="1417"/>
            <w:shd w:val="clear" w:color="auto" w:fill="F1F6F4"/>
          </w:tcPr>
          <w:p>
            <w:pPr>
              <w:pStyle w:val="LumisTabela"/>
            </w:pPr>
            <w:r>
              <w:t>Plataforma e novos países</w:t>
            </w:r>
          </w:p>
        </w:tc>
        <w:tc>
          <w:tcPr>
            <w:tcW w:type="dxa" w:w="2665"/>
            <w:shd w:val="clear" w:color="auto" w:fill="F1F6F4"/>
          </w:tcPr>
          <w:p>
            <w:pPr>
              <w:pStyle w:val="LumisTabela"/>
            </w:pPr>
            <w:r>
              <w:t>Pessoas de baixa renda e com pouco acesso à rede de saúde</w:t>
            </w:r>
          </w:p>
        </w:tc>
        <w:tc>
          <w:tcPr>
            <w:tcW w:type="dxa" w:w="4989"/>
            <w:shd w:val="clear" w:color="auto" w:fill="F1F6F4"/>
          </w:tcPr>
          <w:p>
            <w:pPr>
              <w:pStyle w:val="LumisTabela"/>
            </w:pPr>
            <w:r>
              <w:t xml:space="preserve">As variáveis de acesso penalizam quem usa menos o sistema (seção 2.2) </w:t>
            </w:r>
            <w:r>
              <w:rPr>
                <w:rStyle w:val="TagHipótese"/>
              </w:rPr>
              <w:t>[hipótese]</w:t>
            </w:r>
            <w:r>
              <w:t xml:space="preserve">. Perfil de acesso no país de destino: </w:t>
            </w:r>
            <w:r>
              <w:rPr>
                <w:rStyle w:val="TagNãoconsta"/>
              </w:rPr>
              <w:t>[não consta]</w:t>
            </w:r>
          </w:p>
        </w:tc>
      </w:tr>
      <w:tr>
        <w:trPr>
          <w:cantSplit/>
        </w:trPr>
        <w:tc>
          <w:tcPr>
            <w:tcW w:type="dxa" w:w="1417"/>
          </w:tcPr>
          <w:p>
            <w:pPr>
              <w:pStyle w:val="LumisTabela"/>
            </w:pPr>
            <w:r>
              <w:t>México</w:t>
            </w:r>
          </w:p>
        </w:tc>
        <w:tc>
          <w:tcPr>
            <w:tcW w:type="dxa" w:w="2665"/>
          </w:tcPr>
          <w:p>
            <w:pPr>
              <w:pStyle w:val="LumisTabela"/>
            </w:pPr>
            <w:r>
              <w:t>Grupos que a Lumis ainda não consegue identificar</w:t>
            </w:r>
          </w:p>
        </w:tc>
        <w:tc>
          <w:tcPr>
            <w:tcW w:type="dxa" w:w="4989"/>
          </w:tcPr>
          <w:p>
            <w:pPr>
              <w:pStyle w:val="LumisTabela"/>
            </w:pPr>
            <w:r>
              <w:t>Sem dado local de desfecho, a Lumis não sabe onde vai errar</w:t>
            </w:r>
          </w:p>
        </w:tc>
      </w:tr>
      <w:tr>
        <w:trPr>
          <w:cantSplit/>
        </w:trPr>
        <w:tc>
          <w:tcPr>
            <w:tcW w:type="dxa" w:w="1417"/>
            <w:shd w:val="clear" w:color="auto" w:fill="F1F6F4"/>
          </w:tcPr>
          <w:p>
            <w:pPr>
              <w:pStyle w:val="LumisTabela"/>
              <w:keepNext/>
            </w:pPr>
            <w:r>
              <w:t>Crédito para bancos</w:t>
            </w:r>
          </w:p>
        </w:tc>
        <w:tc>
          <w:tcPr>
            <w:tcW w:type="dxa" w:w="2665"/>
            <w:shd w:val="clear" w:color="auto" w:fill="F1F6F4"/>
          </w:tcPr>
          <w:p>
            <w:pPr>
              <w:pStyle w:val="LumisTabela"/>
              <w:keepNext/>
            </w:pPr>
            <w:r>
              <w:t>Moradores de CEP de baixa renda e pessoas com pouco histórico financeiro</w:t>
            </w:r>
          </w:p>
        </w:tc>
        <w:tc>
          <w:tcPr>
            <w:tcW w:type="dxa" w:w="4989"/>
            <w:shd w:val="clear" w:color="auto" w:fill="F1F6F4"/>
          </w:tcPr>
          <w:p>
            <w:pPr>
              <w:pStyle w:val="LumisTabela"/>
              <w:keepNext/>
            </w:pPr>
            <w:r>
              <w:t xml:space="preserve">CEP e cobertura pesam 16,3% no modelo de saúde; reaproveitados, podem negar crédito por endereço </w:t>
            </w:r>
            <w:r>
              <w:rPr>
                <w:rStyle w:val="TagHipótese"/>
              </w:rPr>
              <w:t>[hipótese]</w:t>
            </w:r>
          </w:p>
        </w:tc>
      </w:tr>
    </w:tbl>
    <w:p>
      <w:pPr>
        <w:pStyle w:val="Caption"/>
      </w:pPr>
      <w:r>
        <w:t>Tabela 10. Grupos em risco em cada frente da expansão. Fonte: Cap. 2, Anexo A;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061"/>
        <w:gridCol w:w="2494"/>
        <w:gridCol w:w="3515"/>
      </w:tblGrid>
      <w:tr>
        <w:trPr>
          <w:cantSplit/>
          <w:tblHeader w:val="true"/>
        </w:trPr>
        <w:tc>
          <w:tcPr>
            <w:tcW w:type="dxa" w:w="3061"/>
            <w:shd w:val="clear" w:color="auto" w:fill="0F2D3A"/>
          </w:tcPr>
          <w:p>
            <w:pPr>
              <w:pStyle w:val="LumisTabela"/>
              <w:keepNext/>
            </w:pPr>
            <w:r>
              <w:rPr>
                <w:b/>
                <w:color w:val="FFFFFF"/>
              </w:rPr>
              <w:t>Medida</w:t>
            </w:r>
          </w:p>
        </w:tc>
        <w:tc>
          <w:tcPr>
            <w:tcW w:type="dxa" w:w="2494"/>
            <w:shd w:val="clear" w:color="auto" w:fill="0F2D3A"/>
          </w:tcPr>
          <w:p>
            <w:pPr>
              <w:pStyle w:val="LumisTabela"/>
              <w:keepNext/>
            </w:pPr>
            <w:r>
              <w:rPr>
                <w:b/>
                <w:color w:val="FFFFFF"/>
              </w:rPr>
              <w:t>Limite proposto</w:t>
            </w:r>
          </w:p>
        </w:tc>
        <w:tc>
          <w:tcPr>
            <w:tcW w:type="dxa" w:w="3515"/>
            <w:shd w:val="clear" w:color="auto" w:fill="0F2D3A"/>
          </w:tcPr>
          <w:p>
            <w:pPr>
              <w:pStyle w:val="LumisTabela"/>
              <w:keepNext/>
            </w:pPr>
            <w:r>
              <w:rPr>
                <w:b/>
                <w:color w:val="FFFFFF"/>
              </w:rPr>
              <w:t>Se passar do limite</w:t>
            </w:r>
          </w:p>
        </w:tc>
      </w:tr>
      <w:tr>
        <w:trPr>
          <w:cantSplit/>
        </w:trPr>
        <w:tc>
          <w:tcPr>
            <w:tcW w:type="dxa" w:w="3061"/>
            <w:shd w:val="clear" w:color="auto" w:fill="F1F6F4"/>
          </w:tcPr>
          <w:p>
            <w:pPr>
              <w:pStyle w:val="LumisTabela"/>
            </w:pPr>
            <w:r>
              <w:t>Erro por grupo: falso negativo de cada grupo e razão entre o pior e o melhor (indicador 1 da Entrega 2)</w:t>
            </w:r>
          </w:p>
        </w:tc>
        <w:tc>
          <w:tcPr>
            <w:tcW w:type="dxa" w:w="2494"/>
            <w:shd w:val="clear" w:color="auto" w:fill="F1F6F4"/>
          </w:tcPr>
          <w:p>
            <w:pPr>
              <w:pStyle w:val="LumisTabela"/>
            </w:pPr>
            <w:r>
              <w:t>Meta: até 1,5 vez em 12 meses. Limite: 2 vezes (hoje: 3,0)</w:t>
            </w:r>
          </w:p>
        </w:tc>
        <w:tc>
          <w:tcPr>
            <w:tcW w:type="dxa" w:w="3515"/>
            <w:shd w:val="clear" w:color="auto" w:fill="F1F6F4"/>
          </w:tcPr>
          <w:p>
            <w:pPr>
              <w:pStyle w:val="LumisTabela"/>
            </w:pPr>
            <w:r>
              <w:t>Acima de 1,5 e até 2 vezes, alerta e revisão humana de 10% dos casos. Acima de 2 vezes, restrição imediata da recomendação automática no grupo</w:t>
            </w:r>
          </w:p>
        </w:tc>
      </w:tr>
      <w:tr>
        <w:trPr>
          <w:cantSplit/>
        </w:trPr>
        <w:tc>
          <w:tcPr>
            <w:tcW w:type="dxa" w:w="3061"/>
          </w:tcPr>
          <w:p>
            <w:pPr>
              <w:pStyle w:val="LumisTabela"/>
            </w:pPr>
            <w:r>
              <w:t>Reclamações cruzadas com o erro por grupo: parcela das reclamações dividida pela de pacientes, por faixa de CEP e idade, em 90 dias (indicador 3 da Entrega 2)</w:t>
            </w:r>
          </w:p>
        </w:tc>
        <w:tc>
          <w:tcPr>
            <w:tcW w:type="dxa" w:w="2494"/>
          </w:tcPr>
          <w:p>
            <w:pPr>
              <w:pStyle w:val="LumisTabela"/>
            </w:pPr>
            <w:r>
              <w:t xml:space="preserve">Alerta: 1,5 vez. Limite: 2 vezes (hoje, faixa D/E: 2,5, com as reclamações de 12 meses; por idade </w:t>
            </w:r>
            <w:r>
              <w:rPr>
                <w:rStyle w:val="TagNãoconsta"/>
              </w:rPr>
              <w:t>[não consta]</w:t>
            </w:r>
            <w:r>
              <w:t>)</w:t>
            </w:r>
          </w:p>
        </w:tc>
        <w:tc>
          <w:tcPr>
            <w:tcW w:type="dxa" w:w="3515"/>
          </w:tcPr>
          <w:p>
            <w:pPr>
              <w:pStyle w:val="LumisTabela"/>
            </w:pPr>
            <w:r>
              <w:t>A partir de 1,5 vez, revisão clínica dos casos. Acima de 2 vezes, também auditoria de equidade e investigação da causa</w:t>
            </w:r>
          </w:p>
        </w:tc>
      </w:tr>
      <w:tr>
        <w:trPr>
          <w:cantSplit/>
        </w:trPr>
        <w:tc>
          <w:tcPr>
            <w:tcW w:type="dxa" w:w="3061"/>
            <w:shd w:val="clear" w:color="auto" w:fill="F1F6F4"/>
          </w:tcPr>
          <w:p>
            <w:pPr>
              <w:pStyle w:val="LumisTabela"/>
            </w:pPr>
            <w:r>
              <w:t>Reversão humana por grupo no protocolo clínico (registro de revisões)</w:t>
            </w:r>
          </w:p>
        </w:tc>
        <w:tc>
          <w:tcPr>
            <w:tcW w:type="dxa" w:w="2494"/>
            <w:shd w:val="clear" w:color="auto" w:fill="F1F6F4"/>
          </w:tcPr>
          <w:p>
            <w:pPr>
              <w:pStyle w:val="LumisTabela"/>
            </w:pPr>
            <w:r>
              <w:t>Diferença de até 2 vezes entre grupos</w:t>
            </w:r>
          </w:p>
        </w:tc>
        <w:tc>
          <w:tcPr>
            <w:tcW w:type="dxa" w:w="3515"/>
            <w:shd w:val="clear" w:color="auto" w:fill="F1F6F4"/>
          </w:tcPr>
          <w:p>
            <w:pPr>
              <w:pStyle w:val="LumisTabela"/>
            </w:pPr>
            <w:r>
              <w:t>Revisão das variáveis de acesso</w:t>
            </w:r>
          </w:p>
        </w:tc>
      </w:tr>
      <w:tr>
        <w:trPr>
          <w:cantSplit/>
        </w:trPr>
        <w:tc>
          <w:tcPr>
            <w:tcW w:type="dxa" w:w="3061"/>
          </w:tcPr>
          <w:p>
            <w:pPr>
              <w:pStyle w:val="LumisTabela"/>
            </w:pPr>
            <w:r>
              <w:t>Representatividade dos dados no novo mercado</w:t>
            </w:r>
          </w:p>
        </w:tc>
        <w:tc>
          <w:tcPr>
            <w:tcW w:type="dxa" w:w="2494"/>
          </w:tcPr>
          <w:p>
            <w:pPr>
              <w:pStyle w:val="LumisTabela"/>
            </w:pPr>
            <w:r>
              <w:t>Amostra suficiente para medir o erro de cada grupo</w:t>
            </w:r>
          </w:p>
        </w:tc>
        <w:tc>
          <w:tcPr>
            <w:tcW w:type="dxa" w:w="3515"/>
          </w:tcPr>
          <w:p>
            <w:pPr>
              <w:pStyle w:val="LumisTabela"/>
            </w:pPr>
            <w:r>
              <w:t>O mercado não entra em produção</w:t>
            </w:r>
          </w:p>
        </w:tc>
      </w:tr>
      <w:tr>
        <w:trPr>
          <w:cantSplit/>
        </w:trPr>
        <w:tc>
          <w:tcPr>
            <w:tcW w:type="dxa" w:w="3061"/>
            <w:shd w:val="clear" w:color="auto" w:fill="F1F6F4"/>
          </w:tcPr>
          <w:p>
            <w:pPr>
              <w:pStyle w:val="LumisTabela"/>
              <w:keepNext/>
            </w:pPr>
            <w:r>
              <w:t>Aprovação no crédito por faixa de CEP</w:t>
            </w:r>
          </w:p>
        </w:tc>
        <w:tc>
          <w:tcPr>
            <w:tcW w:type="dxa" w:w="2494"/>
            <w:shd w:val="clear" w:color="auto" w:fill="F1F6F4"/>
          </w:tcPr>
          <w:p>
            <w:pPr>
              <w:pStyle w:val="LumisTabela"/>
              <w:keepNext/>
            </w:pPr>
            <w:r>
              <w:t>Mínimo de 0,8 da taxa da faixa com mais aprovações</w:t>
            </w:r>
          </w:p>
        </w:tc>
        <w:tc>
          <w:tcPr>
            <w:tcW w:type="dxa" w:w="3515"/>
            <w:shd w:val="clear" w:color="auto" w:fill="F1F6F4"/>
          </w:tcPr>
          <w:p>
            <w:pPr>
              <w:pStyle w:val="LumisTabela"/>
              <w:keepNext/>
            </w:pPr>
            <w:r>
              <w:t>Revisão humana e retirada de CEP e cobertura do modelo</w:t>
            </w:r>
          </w:p>
        </w:tc>
      </w:tr>
    </w:tbl>
    <w:p>
      <w:pPr>
        <w:pStyle w:val="Caption"/>
      </w:pPr>
      <w:r>
        <w:t>Tabela 11. Medidas de equidade, lidas a cada quinze dias, salvo a representatividade (antes da entrada; depois, anual); as reclamações, na mesa de campo da seção 4.2. Limites da equipe; linhas de base: Cap. 2, Quadros 10 e 17, e conta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360"/>
        <w:gridCol w:w="3628"/>
        <w:gridCol w:w="4082"/>
      </w:tblGrid>
      <w:tr>
        <w:trPr>
          <w:cantSplit/>
          <w:tblHeader w:val="true"/>
        </w:trPr>
        <w:tc>
          <w:tcPr>
            <w:tcW w:type="dxa" w:w="1361"/>
            <w:shd w:val="clear" w:color="auto" w:fill="0F2D3A"/>
          </w:tcPr>
          <w:p>
            <w:pPr>
              <w:pStyle w:val="LumisTabela"/>
              <w:keepNext/>
            </w:pPr>
            <w:r>
              <w:rPr>
                <w:b/>
                <w:color w:val="FFFFFF"/>
              </w:rPr>
              <w:t>LGPD</w:t>
            </w:r>
          </w:p>
        </w:tc>
        <w:tc>
          <w:tcPr>
            <w:tcW w:type="dxa" w:w="3628"/>
            <w:shd w:val="clear" w:color="auto" w:fill="0F2D3A"/>
          </w:tcPr>
          <w:p>
            <w:pPr>
              <w:pStyle w:val="LumisTabela"/>
              <w:keepNext/>
            </w:pPr>
            <w:r>
              <w:rPr>
                <w:b/>
                <w:color w:val="FFFFFF"/>
              </w:rPr>
              <w:t>O que diz</w:t>
            </w:r>
          </w:p>
        </w:tc>
        <w:tc>
          <w:tcPr>
            <w:tcW w:type="dxa" w:w="4082"/>
            <w:shd w:val="clear" w:color="auto" w:fill="0F2D3A"/>
          </w:tcPr>
          <w:p>
            <w:pPr>
              <w:pStyle w:val="LumisTabela"/>
              <w:keepNext/>
            </w:pPr>
            <w:r>
              <w:rPr>
                <w:b/>
                <w:color w:val="FFFFFF"/>
              </w:rPr>
              <w:t>Onde a Lumis fica exposta</w:t>
            </w:r>
          </w:p>
        </w:tc>
      </w:tr>
      <w:tr>
        <w:trPr>
          <w:cantSplit/>
        </w:trPr>
        <w:tc>
          <w:tcPr>
            <w:tcW w:type="dxa" w:w="1361"/>
            <w:shd w:val="clear" w:color="auto" w:fill="F1F6F4"/>
          </w:tcPr>
          <w:p>
            <w:pPr>
              <w:pStyle w:val="LumisTabela"/>
            </w:pPr>
            <w:r>
              <w:t>Art. 11, § 4º</w:t>
            </w:r>
          </w:p>
        </w:tc>
        <w:tc>
          <w:tcPr>
            <w:tcW w:type="dxa" w:w="3628"/>
            <w:shd w:val="clear" w:color="auto" w:fill="F1F6F4"/>
          </w:tcPr>
          <w:p>
            <w:pPr>
              <w:pStyle w:val="LumisTabela"/>
            </w:pPr>
            <w:r>
              <w:t>Vedado o uso compartilhado de dado de saúde entre controladores para obter vantagem econômica, salvo na prestação de serviços de saúde</w:t>
            </w:r>
          </w:p>
        </w:tc>
        <w:tc>
          <w:tcPr>
            <w:tcW w:type="dxa" w:w="4082"/>
            <w:shd w:val="clear" w:color="auto" w:fill="F1F6F4"/>
          </w:tcPr>
          <w:p>
            <w:pPr>
              <w:pStyle w:val="LumisTabela"/>
            </w:pPr>
            <w:r>
              <w:t xml:space="preserve">Plataforma que aprende com vários clientes e modelo de crédito treinado com dado de saúde </w:t>
            </w:r>
            <w:r>
              <w:rPr>
                <w:rStyle w:val="TagHipótese"/>
              </w:rPr>
              <w:t>[hipótese]</w:t>
            </w:r>
          </w:p>
        </w:tc>
      </w:tr>
      <w:tr>
        <w:trPr>
          <w:cantSplit/>
        </w:trPr>
        <w:tc>
          <w:tcPr>
            <w:tcW w:type="dxa" w:w="1361"/>
          </w:tcPr>
          <w:p>
            <w:pPr>
              <w:pStyle w:val="LumisTabela"/>
            </w:pPr>
            <w:r>
              <w:t>Art. 11, § 5º</w:t>
            </w:r>
          </w:p>
        </w:tc>
        <w:tc>
          <w:tcPr>
            <w:tcW w:type="dxa" w:w="3628"/>
          </w:tcPr>
          <w:p>
            <w:pPr>
              <w:pStyle w:val="LumisTabela"/>
            </w:pPr>
            <w:r>
              <w:t>Operadoras de planos de saúde não podem usar dado de saúde para selecionar riscos</w:t>
            </w:r>
          </w:p>
        </w:tc>
        <w:tc>
          <w:tcPr>
            <w:tcW w:type="dxa" w:w="4082"/>
          </w:tcPr>
          <w:p>
            <w:pPr>
              <w:pStyle w:val="LumisTabela"/>
            </w:pPr>
            <w:r>
              <w:t xml:space="preserve">Classificação de sinistros para 9 seguradoras, 74 mil decisões por mês, se alguma for operadora de saúde </w:t>
            </w:r>
            <w:r>
              <w:rPr>
                <w:rStyle w:val="TagHipótese"/>
              </w:rPr>
              <w:t>[hipótese]</w:t>
            </w:r>
          </w:p>
        </w:tc>
      </w:tr>
      <w:tr>
        <w:trPr>
          <w:cantSplit/>
        </w:trPr>
        <w:tc>
          <w:tcPr>
            <w:tcW w:type="dxa" w:w="1361"/>
            <w:shd w:val="clear" w:color="auto" w:fill="F1F6F4"/>
          </w:tcPr>
          <w:p>
            <w:pPr>
              <w:pStyle w:val="LumisTabela"/>
            </w:pPr>
            <w:r>
              <w:t>Art. 33</w:t>
            </w:r>
          </w:p>
        </w:tc>
        <w:tc>
          <w:tcPr>
            <w:tcW w:type="dxa" w:w="3628"/>
            <w:shd w:val="clear" w:color="auto" w:fill="F1F6F4"/>
          </w:tcPr>
          <w:p>
            <w:pPr>
              <w:pStyle w:val="LumisTabela"/>
            </w:pPr>
            <w:r>
              <w:t>Transferência internacional só nas hipóteses do artigo, como proteção adequada no destino, cláusulas contratuais ou consentimento específico</w:t>
            </w:r>
          </w:p>
        </w:tc>
        <w:tc>
          <w:tcPr>
            <w:tcW w:type="dxa" w:w="4082"/>
            <w:shd w:val="clear" w:color="auto" w:fill="F1F6F4"/>
          </w:tcPr>
          <w:p>
            <w:pPr>
              <w:pStyle w:val="LumisTabela"/>
            </w:pPr>
            <w:r>
              <w:t xml:space="preserve">Todo novo país. Lei aplicável no México: </w:t>
            </w:r>
            <w:r>
              <w:rPr>
                <w:rStyle w:val="TagNãoconsta"/>
              </w:rPr>
              <w:t>[não consta]</w:t>
            </w:r>
          </w:p>
        </w:tc>
      </w:tr>
      <w:tr>
        <w:trPr>
          <w:cantSplit/>
        </w:trPr>
        <w:tc>
          <w:tcPr>
            <w:tcW w:type="dxa" w:w="1361"/>
          </w:tcPr>
          <w:p>
            <w:pPr>
              <w:pStyle w:val="LumisTabela"/>
              <w:keepNext/>
            </w:pPr>
            <w:r>
              <w:t>Art. 38</w:t>
            </w:r>
          </w:p>
        </w:tc>
        <w:tc>
          <w:tcPr>
            <w:tcW w:type="dxa" w:w="3628"/>
          </w:tcPr>
          <w:p>
            <w:pPr>
              <w:pStyle w:val="LumisTabela"/>
              <w:keepNext/>
            </w:pPr>
            <w:r>
              <w:t>A ANPD pode exigir relatório de impacto à proteção de dados, inclusive de dados sensíveis</w:t>
            </w:r>
          </w:p>
        </w:tc>
        <w:tc>
          <w:tcPr>
            <w:tcW w:type="dxa" w:w="4082"/>
          </w:tcPr>
          <w:p>
            <w:pPr>
              <w:pStyle w:val="LumisTabela"/>
              <w:keepNext/>
            </w:pPr>
            <w:r>
              <w:t xml:space="preserve">A plataforma e cada novo país. Se a Lumis já tem esse relatório </w:t>
            </w:r>
            <w:r>
              <w:rPr>
                <w:rStyle w:val="TagNãoconsta"/>
              </w:rPr>
              <w:t>[não consta]</w:t>
            </w:r>
          </w:p>
        </w:tc>
      </w:tr>
    </w:tbl>
    <w:p>
      <w:pPr>
        <w:pStyle w:val="Caption"/>
      </w:pPr>
      <w:r>
        <w:t>Tabela 12. Pontos da LGPD que pesam na expansão. Fonte: Lei 13.709/2018; leitura da equipe, a confirmar com a DPO.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402"/>
        <w:gridCol w:w="2268"/>
        <w:gridCol w:w="2268"/>
        <w:gridCol w:w="1134"/>
      </w:tblGrid>
      <w:tr>
        <w:trPr>
          <w:cantSplit/>
          <w:tblHeader w:val="true"/>
        </w:trPr>
        <w:tc>
          <w:tcPr>
            <w:tcW w:type="dxa" w:w="3402"/>
            <w:shd w:val="clear" w:color="auto" w:fill="0F2D3A"/>
          </w:tcPr>
          <w:p>
            <w:pPr>
              <w:pStyle w:val="LumisTabela"/>
              <w:keepNext/>
            </w:pPr>
            <w:r>
              <w:rPr>
                <w:b/>
                <w:color w:val="FFFFFF"/>
              </w:rPr>
              <w:t>Medida</w:t>
            </w:r>
          </w:p>
        </w:tc>
        <w:tc>
          <w:tcPr>
            <w:tcW w:type="dxa" w:w="2268"/>
            <w:shd w:val="clear" w:color="auto" w:fill="0F2D3A"/>
          </w:tcPr>
          <w:p>
            <w:pPr>
              <w:pStyle w:val="LumisTabela"/>
              <w:keepNext/>
            </w:pPr>
            <w:r>
              <w:rPr>
                <w:b/>
                <w:color w:val="FFFFFF"/>
              </w:rPr>
              <w:t>Hoje</w:t>
            </w:r>
          </w:p>
        </w:tc>
        <w:tc>
          <w:tcPr>
            <w:tcW w:type="dxa" w:w="2268"/>
            <w:shd w:val="clear" w:color="auto" w:fill="0F2D3A"/>
          </w:tcPr>
          <w:p>
            <w:pPr>
              <w:pStyle w:val="LumisTabela"/>
              <w:keepNext/>
            </w:pPr>
            <w:r>
              <w:rPr>
                <w:b/>
                <w:color w:val="FFFFFF"/>
              </w:rPr>
              <w:t>Meta</w:t>
            </w:r>
          </w:p>
        </w:tc>
        <w:tc>
          <w:tcPr>
            <w:tcW w:type="dxa" w:w="1134"/>
            <w:shd w:val="clear" w:color="auto" w:fill="0F2D3A"/>
          </w:tcPr>
          <w:p>
            <w:pPr>
              <w:pStyle w:val="LumisTabela"/>
              <w:keepNext/>
            </w:pPr>
            <w:r>
              <w:rPr>
                <w:b/>
                <w:color w:val="FFFFFF"/>
              </w:rPr>
              <w:t>Frequência</w:t>
            </w:r>
          </w:p>
        </w:tc>
      </w:tr>
      <w:tr>
        <w:trPr>
          <w:cantSplit/>
        </w:trPr>
        <w:tc>
          <w:tcPr>
            <w:tcW w:type="dxa" w:w="3402"/>
            <w:shd w:val="clear" w:color="auto" w:fill="F1F6F4"/>
          </w:tcPr>
          <w:p>
            <w:pPr>
              <w:pStyle w:val="LumisTabela"/>
            </w:pPr>
            <w:r>
              <w:t>Direito de uso da base (indicador 2 da Entrega 2, contado em registros): registros de clientes no treino com autorização explícita e revisão jurídica</w:t>
            </w:r>
          </w:p>
        </w:tc>
        <w:tc>
          <w:tcPr>
            <w:tcW w:type="dxa" w:w="2268"/>
            <w:shd w:val="clear" w:color="auto" w:fill="F1F6F4"/>
          </w:tcPr>
          <w:p>
            <w:pPr>
              <w:pStyle w:val="LumisTabela"/>
            </w:pPr>
            <w:r>
              <w:t>0% com revisão jurídica; 64,6% com autorização explícita</w:t>
            </w:r>
          </w:p>
        </w:tc>
        <w:tc>
          <w:tcPr>
            <w:tcW w:type="dxa" w:w="2268"/>
            <w:shd w:val="clear" w:color="auto" w:fill="F1F6F4"/>
          </w:tcPr>
          <w:p>
            <w:pPr>
              <w:pStyle w:val="LumisTabela"/>
            </w:pPr>
            <w:r>
              <w:t>100% antes de qualquer frente nova; registro sem base sai do treino</w:t>
            </w:r>
          </w:p>
        </w:tc>
        <w:tc>
          <w:tcPr>
            <w:tcW w:type="dxa" w:w="1134"/>
            <w:shd w:val="clear" w:color="auto" w:fill="F1F6F4"/>
          </w:tcPr>
          <w:p>
            <w:pPr>
              <w:pStyle w:val="LumisTabela"/>
            </w:pPr>
            <w:r>
              <w:t>Trimestral</w:t>
            </w:r>
          </w:p>
        </w:tc>
      </w:tr>
      <w:tr>
        <w:trPr>
          <w:cantSplit/>
        </w:trPr>
        <w:tc>
          <w:tcPr>
            <w:tcW w:type="dxa" w:w="3402"/>
          </w:tcPr>
          <w:p>
            <w:pPr>
              <w:pStyle w:val="LumisTabela"/>
            </w:pPr>
            <w:r>
              <w:t>Acessos a dados de pacientes revisados em 90 dias</w:t>
            </w:r>
          </w:p>
        </w:tc>
        <w:tc>
          <w:tcPr>
            <w:tcW w:type="dxa" w:w="2268"/>
          </w:tcPr>
          <w:p>
            <w:pPr>
              <w:pStyle w:val="LumisTabela"/>
            </w:pPr>
            <w:r>
              <w:rPr>
                <w:rStyle w:val="TagNãoconsta"/>
              </w:rPr>
              <w:t>[não consta]</w:t>
            </w:r>
          </w:p>
        </w:tc>
        <w:tc>
          <w:tcPr>
            <w:tcW w:type="dxa" w:w="2268"/>
          </w:tcPr>
          <w:p>
            <w:pPr>
              <w:pStyle w:val="LumisTabela"/>
            </w:pPr>
            <w:r>
              <w:t>100%</w:t>
            </w:r>
          </w:p>
        </w:tc>
        <w:tc>
          <w:tcPr>
            <w:tcW w:type="dxa" w:w="1134"/>
          </w:tcPr>
          <w:p>
            <w:pPr>
              <w:pStyle w:val="LumisTabela"/>
            </w:pPr>
            <w:r>
              <w:t>A cada 90 dias</w:t>
            </w:r>
          </w:p>
        </w:tc>
      </w:tr>
      <w:tr>
        <w:trPr>
          <w:cantSplit/>
        </w:trPr>
        <w:tc>
          <w:tcPr>
            <w:tcW w:type="dxa" w:w="3402"/>
            <w:shd w:val="clear" w:color="auto" w:fill="F1F6F4"/>
          </w:tcPr>
          <w:p>
            <w:pPr>
              <w:pStyle w:val="LumisTabela"/>
              <w:keepNext/>
            </w:pPr>
            <w:r>
              <w:t>Incidentes de privacidade e dias até a ação corretiva</w:t>
            </w:r>
          </w:p>
        </w:tc>
        <w:tc>
          <w:tcPr>
            <w:tcW w:type="dxa" w:w="2268"/>
            <w:shd w:val="clear" w:color="auto" w:fill="F1F6F4"/>
          </w:tcPr>
          <w:p>
            <w:pPr>
              <w:pStyle w:val="LumisTabela"/>
              <w:keepNext/>
            </w:pPr>
            <w:r>
              <w:t>Sem categoria própria no registro de incidentes</w:t>
            </w:r>
          </w:p>
        </w:tc>
        <w:tc>
          <w:tcPr>
            <w:tcW w:type="dxa" w:w="2268"/>
            <w:shd w:val="clear" w:color="auto" w:fill="F1F6F4"/>
          </w:tcPr>
          <w:p>
            <w:pPr>
              <w:pStyle w:val="LumisTabela"/>
              <w:keepNext/>
            </w:pPr>
            <w:r>
              <w:t>Registro no dia em que é identificado; ação corretiva documentada</w:t>
            </w:r>
          </w:p>
        </w:tc>
        <w:tc>
          <w:tcPr>
            <w:tcW w:type="dxa" w:w="1134"/>
            <w:shd w:val="clear" w:color="auto" w:fill="F1F6F4"/>
          </w:tcPr>
          <w:p>
            <w:pPr>
              <w:pStyle w:val="LumisTabela"/>
              <w:keepNext/>
            </w:pPr>
            <w:r>
              <w:t>Mensal</w:t>
            </w:r>
          </w:p>
        </w:tc>
      </w:tr>
    </w:tbl>
    <w:p>
      <w:pPr>
        <w:pStyle w:val="Caption"/>
      </w:pPr>
      <w:r>
        <w:t>Tabela 13. Privacidade: o indicador 2 da Entrega 2 e dois controles do compromisso de Segurança e Privacidade. Responsável: DPO. Base: Cap. 2, Quadros 7 e 14; conta da equipe.</w:t>
      </w:r>
    </w:p>
    <w:p>
      <w:pPr>
        <w:pStyle w:val="Heading2"/>
      </w:pPr>
      <w:r>
        <w:t>Entrega 1</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4309"/>
        <w:gridCol w:w="2835"/>
      </w:tblGrid>
      <w:tr>
        <w:trPr>
          <w:cantSplit/>
          <w:tblHeader w:val="true"/>
        </w:trPr>
        <w:tc>
          <w:tcPr>
            <w:tcW w:type="dxa" w:w="1928"/>
            <w:shd w:val="clear" w:color="auto" w:fill="0F2D3A"/>
          </w:tcPr>
          <w:p>
            <w:pPr>
              <w:pStyle w:val="LumisTabela"/>
              <w:keepNext/>
            </w:pPr>
            <w:r>
              <w:rPr>
                <w:b/>
                <w:color w:val="FFFFFF"/>
              </w:rPr>
              <w:t>Ameaça</w:t>
            </w:r>
          </w:p>
        </w:tc>
        <w:tc>
          <w:tcPr>
            <w:tcW w:type="dxa" w:w="4309"/>
            <w:shd w:val="clear" w:color="auto" w:fill="0F2D3A"/>
          </w:tcPr>
          <w:p>
            <w:pPr>
              <w:pStyle w:val="LumisTabela"/>
              <w:keepNext/>
            </w:pPr>
            <w:r>
              <w:rPr>
                <w:b/>
                <w:color w:val="FFFFFF"/>
              </w:rPr>
              <w:t>Por que preocupa</w:t>
            </w:r>
          </w:p>
        </w:tc>
        <w:tc>
          <w:tcPr>
            <w:tcW w:type="dxa" w:w="2835"/>
            <w:shd w:val="clear" w:color="auto" w:fill="0F2D3A"/>
          </w:tcPr>
          <w:p>
            <w:pPr>
              <w:pStyle w:val="LumisTabela"/>
              <w:keepNext/>
            </w:pPr>
            <w:r>
              <w:rPr>
                <w:b/>
                <w:color w:val="FFFFFF"/>
              </w:rPr>
              <w:t>O que joga a favor da Lumis</w:t>
            </w:r>
          </w:p>
        </w:tc>
      </w:tr>
      <w:tr>
        <w:trPr>
          <w:cantSplit/>
        </w:trPr>
        <w:tc>
          <w:tcPr>
            <w:tcW w:type="dxa" w:w="1928"/>
            <w:shd w:val="clear" w:color="auto" w:fill="F1F6F4"/>
          </w:tcPr>
          <w:p>
            <w:pPr>
              <w:pStyle w:val="LumisTabela"/>
            </w:pPr>
            <w:r>
              <w:t>1. Dentro do hospital: Aster Health (direto)</w:t>
            </w:r>
          </w:p>
        </w:tc>
        <w:tc>
          <w:tcPr>
            <w:tcW w:type="dxa" w:w="4309"/>
            <w:shd w:val="clear" w:color="auto" w:fill="F1F6F4"/>
          </w:tcPr>
          <w:p>
            <w:pPr>
              <w:pStyle w:val="LumisTabela"/>
            </w:pPr>
            <w:r>
              <w:t>Vende a IA como módulo, por R$ 340 mil a mais, sobre o contrato que o hospital já tem, num sistema usado em 210 hospitais. O padrão já existe no Brasil com os prontuários da MV e da Philips (Tasy)</w:t>
            </w:r>
            <w:r>
              <w:t>⁴</w:t>
            </w:r>
            <w:r>
              <w:t>.</w:t>
            </w:r>
          </w:p>
        </w:tc>
        <w:tc>
          <w:tcPr>
            <w:tcW w:type="dxa" w:w="2835"/>
            <w:shd w:val="clear" w:color="auto" w:fill="F1F6F4"/>
          </w:tcPr>
          <w:p>
            <w:pPr>
              <w:pStyle w:val="LumisTabela"/>
            </w:pPr>
            <w:r>
              <w:t>A Aster não chega a seguradoras e bancos, que são 14 das 38 contas.</w:t>
            </w:r>
          </w:p>
        </w:tc>
      </w:tr>
      <w:tr>
        <w:trPr>
          <w:cantSplit/>
        </w:trPr>
        <w:tc>
          <w:tcPr>
            <w:tcW w:type="dxa" w:w="1928"/>
          </w:tcPr>
          <w:p>
            <w:pPr>
              <w:pStyle w:val="LumisTabela"/>
            </w:pPr>
            <w:r>
              <w:t>2. O próprio cliente: grandes clientes (potencial)</w:t>
            </w:r>
          </w:p>
        </w:tc>
        <w:tc>
          <w:tcPr>
            <w:tcW w:type="dxa" w:w="4309"/>
          </w:tcPr>
          <w:p>
            <w:pPr>
              <w:pStyle w:val="LumisTabela"/>
            </w:pPr>
            <w:r>
              <w:t>São os que mais conseguem fazer a própria IA. O Einstein, por exemplo, já usa perto de 120 algoritmos próprios</w:t>
            </w:r>
            <w:r>
              <w:t>⁵</w:t>
            </w:r>
            <w:r>
              <w:t>.</w:t>
            </w:r>
          </w:p>
        </w:tc>
        <w:tc>
          <w:tcPr>
            <w:tcW w:type="dxa" w:w="2835"/>
          </w:tcPr>
          <w:p>
            <w:pPr>
              <w:pStyle w:val="LumisTabela"/>
            </w:pPr>
            <w:r>
              <w:t xml:space="preserve">Clientes médios, sem time próprio de IA, dependem mais de fornecedores externos </w:t>
            </w:r>
            <w:r>
              <w:rPr>
                <w:rStyle w:val="TagHipótese"/>
              </w:rPr>
              <w:t>[hipótese]</w:t>
            </w:r>
            <w:r>
              <w:t>.</w:t>
            </w:r>
          </w:p>
        </w:tc>
      </w:tr>
      <w:tr>
        <w:trPr>
          <w:cantSplit/>
        </w:trPr>
        <w:tc>
          <w:tcPr>
            <w:tcW w:type="dxa" w:w="1928"/>
            <w:shd w:val="clear" w:color="auto" w:fill="F1F6F4"/>
          </w:tcPr>
          <w:p>
            <w:pPr>
              <w:pStyle w:val="LumisTabela"/>
            </w:pPr>
            <w:r>
              <w:t>3. De cima: os próprios fornecedores (potencial)</w:t>
            </w:r>
          </w:p>
        </w:tc>
        <w:tc>
          <w:tcPr>
            <w:tcW w:type="dxa" w:w="4309"/>
            <w:shd w:val="clear" w:color="auto" w:fill="F1F6F4"/>
          </w:tcPr>
          <w:p>
            <w:pPr>
              <w:pStyle w:val="LumisTabela"/>
            </w:pPr>
            <w:r>
              <w:t xml:space="preserve">O fornecedor de modelo anunciou um módulo próprio para saúde e passa a concorrer na aplicação. Nuvem e bases clínicas podem seguir o mesmo caminho </w:t>
            </w:r>
            <w:r>
              <w:rPr>
                <w:rStyle w:val="TagHipótese"/>
              </w:rPr>
              <w:t>[hipótese]</w:t>
            </w:r>
            <w:r>
              <w:t>.</w:t>
            </w:r>
          </w:p>
        </w:tc>
        <w:tc>
          <w:tcPr>
            <w:tcW w:type="dxa" w:w="2835"/>
            <w:shd w:val="clear" w:color="auto" w:fill="F1F6F4"/>
          </w:tcPr>
          <w:p>
            <w:pPr>
              <w:pStyle w:val="LumisTabela"/>
            </w:pPr>
            <w:r>
              <w:t xml:space="preserve">Nenhum deles tem hoje o fluxo clínico dentro do hospital </w:t>
            </w:r>
            <w:r>
              <w:rPr>
                <w:rStyle w:val="TagHipótese"/>
              </w:rPr>
              <w:t>[hipótese]</w:t>
            </w:r>
            <w:r>
              <w:t>.</w:t>
            </w:r>
          </w:p>
        </w:tc>
      </w:tr>
      <w:tr>
        <w:trPr>
          <w:cantSplit/>
        </w:trPr>
        <w:tc>
          <w:tcPr>
            <w:tcW w:type="dxa" w:w="1928"/>
          </w:tcPr>
          <w:p>
            <w:pPr>
              <w:pStyle w:val="LumisTabela"/>
            </w:pPr>
            <w:r>
              <w:t>4. Por fora: Núcleo Saúde Analytics (indireto)</w:t>
            </w:r>
          </w:p>
        </w:tc>
        <w:tc>
          <w:tcPr>
            <w:tcW w:type="dxa" w:w="4309"/>
          </w:tcPr>
          <w:p>
            <w:pPr>
              <w:pStyle w:val="LumisTabela"/>
            </w:pPr>
            <w:r>
              <w:t>Já tem 74 contas de BI hospitalar, quase o dobro da Lumis, e só falta a camada preditiva.</w:t>
            </w:r>
          </w:p>
        </w:tc>
        <w:tc>
          <w:tcPr>
            <w:tcW w:type="dxa" w:w="2835"/>
          </w:tcPr>
          <w:p>
            <w:pPr>
              <w:pStyle w:val="LumisTabela"/>
            </w:pPr>
            <w:r>
              <w:t>A Lumis já entrega a camada preditiva que falta à Núcleo.</w:t>
            </w:r>
          </w:p>
        </w:tc>
      </w:tr>
      <w:tr>
        <w:trPr>
          <w:cantSplit/>
        </w:trPr>
        <w:tc>
          <w:tcPr>
            <w:tcW w:type="dxa" w:w="1928"/>
            <w:shd w:val="clear" w:color="auto" w:fill="F1F6F4"/>
          </w:tcPr>
          <w:p>
            <w:pPr>
              <w:pStyle w:val="LumisTabela"/>
              <w:keepNext/>
            </w:pPr>
            <w:r>
              <w:t>4. Por fora: consultorias e integradores (indireto)</w:t>
            </w:r>
          </w:p>
        </w:tc>
        <w:tc>
          <w:tcPr>
            <w:tcW w:type="dxa" w:w="4309"/>
            <w:shd w:val="clear" w:color="auto" w:fill="F1F6F4"/>
          </w:tcPr>
          <w:p>
            <w:pPr>
              <w:pStyle w:val="LumisTabela"/>
              <w:keepNext/>
            </w:pPr>
            <w:r>
              <w:t>Vendem projetos sob medida aos clientes grandes, sobre a mesma infraestrutura e os mesmos modelos.</w:t>
            </w:r>
          </w:p>
        </w:tc>
        <w:tc>
          <w:tcPr>
            <w:tcW w:type="dxa" w:w="2835"/>
            <w:shd w:val="clear" w:color="auto" w:fill="F1F6F4"/>
          </w:tcPr>
          <w:p>
            <w:pPr>
              <w:pStyle w:val="LumisTabela"/>
              <w:keepNext/>
            </w:pPr>
            <w:r>
              <w:t>Produto pronto, com ticket médio anual de R$ 1,084 mi, contra R$ 1,5 a 4,0 mi por projeto.</w:t>
            </w:r>
          </w:p>
        </w:tc>
      </w:tr>
    </w:tbl>
    <w:p>
      <w:pPr>
        <w:pStyle w:val="Caption"/>
      </w:pPr>
      <w:r>
        <w:t>Tabela 14. As ameaças, da mais forte para a mais fraca. Fonte: Cap. 2, Quadros 3 e 6;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30"/>
        <w:gridCol w:w="1644"/>
        <w:gridCol w:w="3231"/>
        <w:gridCol w:w="2664"/>
      </w:tblGrid>
      <w:tr>
        <w:trPr>
          <w:cantSplit/>
          <w:tblHeader w:val="true"/>
        </w:trPr>
        <w:tc>
          <w:tcPr>
            <w:tcW w:type="dxa" w:w="1531"/>
            <w:shd w:val="clear" w:color="auto" w:fill="0F2D3A"/>
          </w:tcPr>
          <w:p>
            <w:pPr>
              <w:pStyle w:val="LumisTabela"/>
              <w:keepNext/>
            </w:pPr>
            <w:r>
              <w:rPr>
                <w:b/>
                <w:color w:val="FFFFFF"/>
              </w:rPr>
              <w:t>Dependência</w:t>
            </w:r>
          </w:p>
        </w:tc>
        <w:tc>
          <w:tcPr>
            <w:tcW w:type="dxa" w:w="1644"/>
            <w:shd w:val="clear" w:color="auto" w:fill="0F2D3A"/>
          </w:tcPr>
          <w:p>
            <w:pPr>
              <w:pStyle w:val="LumisTabela"/>
              <w:keepNext/>
            </w:pPr>
            <w:r>
              <w:rPr>
                <w:b/>
                <w:color w:val="FFFFFF"/>
              </w:rPr>
              <w:t>Prazo</w:t>
            </w:r>
          </w:p>
        </w:tc>
        <w:tc>
          <w:tcPr>
            <w:tcW w:type="dxa" w:w="3231"/>
            <w:shd w:val="clear" w:color="auto" w:fill="0F2D3A"/>
          </w:tcPr>
          <w:p>
            <w:pPr>
              <w:pStyle w:val="LumisTabela"/>
              <w:keepNext/>
            </w:pPr>
            <w:r>
              <w:rPr>
                <w:b/>
                <w:color w:val="FFFFFF"/>
              </w:rPr>
              <w:t>O que pode acontecer</w:t>
            </w:r>
          </w:p>
        </w:tc>
        <w:tc>
          <w:tcPr>
            <w:tcW w:type="dxa" w:w="2665"/>
            <w:shd w:val="clear" w:color="auto" w:fill="0F2D3A"/>
          </w:tcPr>
          <w:p>
            <w:pPr>
              <w:pStyle w:val="LumisTabela"/>
              <w:keepNext/>
            </w:pPr>
            <w:r>
              <w:rPr>
                <w:b/>
                <w:color w:val="FFFFFF"/>
              </w:rPr>
              <w:t>Resposta recomendada</w:t>
            </w:r>
          </w:p>
        </w:tc>
      </w:tr>
      <w:tr>
        <w:trPr>
          <w:cantSplit/>
        </w:trPr>
        <w:tc>
          <w:tcPr>
            <w:tcW w:type="dxa" w:w="1531"/>
            <w:shd w:val="clear" w:color="auto" w:fill="F1F6F4"/>
          </w:tcPr>
          <w:p>
            <w:pPr>
              <w:pStyle w:val="LumisTabela"/>
            </w:pPr>
            <w:r>
              <w:t>Dados de clientes</w:t>
            </w:r>
          </w:p>
        </w:tc>
        <w:tc>
          <w:tcPr>
            <w:tcW w:type="dxa" w:w="1644"/>
            <w:shd w:val="clear" w:color="auto" w:fill="F1F6F4"/>
          </w:tcPr>
          <w:p>
            <w:pPr>
              <w:pStyle w:val="LumisTabela"/>
            </w:pPr>
            <w:r>
              <w:t>Já hoje; contratos vencem em 12/2026 (Prisma) e 03/2027 (Vila Ipê)</w:t>
            </w:r>
          </w:p>
        </w:tc>
        <w:tc>
          <w:tcPr>
            <w:tcW w:type="dxa" w:w="3231"/>
            <w:shd w:val="clear" w:color="auto" w:fill="F1F6F4"/>
          </w:tcPr>
          <w:p>
            <w:pPr>
              <w:pStyle w:val="LumisTabela"/>
            </w:pPr>
            <w:r>
              <w:t>Questionamento do uso atual obriga a retirar 35,4% dos dados de clientes e retreinar; renegociação restringe o uso; multa da LGPD de até 2% do faturamento, limitada a R$ 50 mi por infração</w:t>
            </w:r>
            <w:r>
              <w:t>²</w:t>
            </w:r>
            <w:r>
              <w:t>; clientes grandes levam os dados para a Aster.</w:t>
            </w:r>
          </w:p>
        </w:tc>
        <w:tc>
          <w:tcPr>
            <w:tcW w:type="dxa" w:w="2665"/>
            <w:shd w:val="clear" w:color="auto" w:fill="F1F6F4"/>
          </w:tcPr>
          <w:p>
            <w:pPr>
              <w:pStyle w:val="LumisTabela"/>
            </w:pPr>
            <w:r>
              <w:t>Revisão jurídica dos seis instrumentos; aditivos de direito de uso antes dos vencimentos; linhagem de dados para isolar os registros frágeis.</w:t>
            </w:r>
          </w:p>
        </w:tc>
      </w:tr>
      <w:tr>
        <w:trPr>
          <w:cantSplit/>
        </w:trPr>
        <w:tc>
          <w:tcPr>
            <w:tcW w:type="dxa" w:w="1531"/>
          </w:tcPr>
          <w:p>
            <w:pPr>
              <w:pStyle w:val="LumisTabela"/>
            </w:pPr>
            <w:r>
              <w:t>Modelo fundacional (44,3% do custo)</w:t>
            </w:r>
          </w:p>
        </w:tc>
        <w:tc>
          <w:tcPr>
            <w:tcW w:type="dxa" w:w="1644"/>
          </w:tcPr>
          <w:p>
            <w:pPr>
              <w:pStyle w:val="LumisTabela"/>
            </w:pPr>
            <w:r>
              <w:t>30 dias de aviso, a qualquer momento</w:t>
            </w:r>
          </w:p>
        </w:tc>
        <w:tc>
          <w:tcPr>
            <w:tcW w:type="dxa" w:w="3231"/>
          </w:tcPr>
          <w:p>
            <w:pPr>
              <w:pStyle w:val="LumisTabela"/>
            </w:pPr>
            <w:r>
              <w:t>Margem de 54,3% com preço +20% e de 39,5% com +100%; descontinuação obriga a revalidar o sistema; fornecedor vira concorrente.</w:t>
            </w:r>
          </w:p>
        </w:tc>
        <w:tc>
          <w:tcPr>
            <w:tcW w:type="dxa" w:w="2665"/>
          </w:tcPr>
          <w:p>
            <w:pPr>
              <w:pStyle w:val="LumisTabela"/>
            </w:pPr>
            <w:r>
              <w:t>Homologar um segundo fornecedor; travar preço e versão; avaliar modelo próprio no núcleo preditivo.</w:t>
            </w:r>
          </w:p>
        </w:tc>
      </w:tr>
      <w:tr>
        <w:trPr>
          <w:cantSplit/>
        </w:trPr>
        <w:tc>
          <w:tcPr>
            <w:tcW w:type="dxa" w:w="1531"/>
            <w:shd w:val="clear" w:color="auto" w:fill="F1F6F4"/>
          </w:tcPr>
          <w:p>
            <w:pPr>
              <w:pStyle w:val="LumisTabela"/>
            </w:pPr>
            <w:r>
              <w:t>Câmbio (72,2% do custo em dólar)</w:t>
            </w:r>
          </w:p>
        </w:tc>
        <w:tc>
          <w:tcPr>
            <w:tcW w:type="dxa" w:w="1644"/>
            <w:shd w:val="clear" w:color="auto" w:fill="F1F6F4"/>
          </w:tcPr>
          <w:p>
            <w:pPr>
              <w:pStyle w:val="LumisTabela"/>
            </w:pPr>
            <w:r>
              <w:t>Contínuo</w:t>
            </w:r>
          </w:p>
        </w:tc>
        <w:tc>
          <w:tcPr>
            <w:tcW w:type="dxa" w:w="3231"/>
            <w:shd w:val="clear" w:color="auto" w:fill="F1F6F4"/>
          </w:tcPr>
          <w:p>
            <w:pPr>
              <w:pStyle w:val="LumisTabela"/>
            </w:pPr>
            <w:r>
              <w:t>Cada R$ 0,10 a mais no dólar custa R$ 19.240 por mês; a R$ 6,50, a margem vai a 51,9%.</w:t>
            </w:r>
          </w:p>
        </w:tc>
        <w:tc>
          <w:tcPr>
            <w:tcW w:type="dxa" w:w="2665"/>
            <w:shd w:val="clear" w:color="auto" w:fill="F1F6F4"/>
          </w:tcPr>
          <w:p>
            <w:pPr>
              <w:pStyle w:val="LumisTabela"/>
            </w:pPr>
            <w:r>
              <w:t xml:space="preserve">Proteção cambial e cláusula de reajuste nos contratos com clientes. Se já há essa proteção </w:t>
            </w:r>
            <w:r>
              <w:rPr>
                <w:rStyle w:val="TagNãoconsta"/>
              </w:rPr>
              <w:t>[não consta]</w:t>
            </w:r>
            <w:r>
              <w:t>.</w:t>
            </w:r>
          </w:p>
        </w:tc>
      </w:tr>
      <w:tr>
        <w:trPr>
          <w:cantSplit/>
        </w:trPr>
        <w:tc>
          <w:tcPr>
            <w:tcW w:type="dxa" w:w="1531"/>
          </w:tcPr>
          <w:p>
            <w:pPr>
              <w:pStyle w:val="LumisTabela"/>
            </w:pPr>
            <w:r>
              <w:t>Nuvem (27,9% do custo)</w:t>
            </w:r>
          </w:p>
        </w:tc>
        <w:tc>
          <w:tcPr>
            <w:tcW w:type="dxa" w:w="1644"/>
          </w:tcPr>
          <w:p>
            <w:pPr>
              <w:pStyle w:val="LumisTabela"/>
            </w:pPr>
            <w:r>
              <w:t>Renovação em 04/2027; migrar leva 7 meses</w:t>
            </w:r>
          </w:p>
        </w:tc>
        <w:tc>
          <w:tcPr>
            <w:tcW w:type="dxa" w:w="3231"/>
          </w:tcPr>
          <w:p>
            <w:pPr>
              <w:pStyle w:val="LumisTabela"/>
            </w:pPr>
            <w:r>
              <w:t>Renovação sem alternativa; cada 10% de reajuste custa R$ 40.176 por mês.</w:t>
            </w:r>
          </w:p>
        </w:tc>
        <w:tc>
          <w:tcPr>
            <w:tcW w:type="dxa" w:w="2665"/>
          </w:tcPr>
          <w:p>
            <w:pPr>
              <w:pStyle w:val="LumisTabela"/>
            </w:pPr>
            <w:r>
              <w:t>Começar já o plano de portabilidade; negociar cláusulas de saída.</w:t>
            </w:r>
          </w:p>
        </w:tc>
      </w:tr>
      <w:tr>
        <w:trPr>
          <w:cantSplit/>
        </w:trPr>
        <w:tc>
          <w:tcPr>
            <w:tcW w:type="dxa" w:w="1531"/>
            <w:shd w:val="clear" w:color="auto" w:fill="F1F6F4"/>
          </w:tcPr>
          <w:p>
            <w:pPr>
              <w:pStyle w:val="LumisTabela"/>
              <w:keepNext/>
            </w:pPr>
            <w:r>
              <w:t>Bases clínicas (7,8% do custo)</w:t>
            </w:r>
          </w:p>
        </w:tc>
        <w:tc>
          <w:tcPr>
            <w:tcW w:type="dxa" w:w="1644"/>
            <w:shd w:val="clear" w:color="auto" w:fill="F1F6F4"/>
          </w:tcPr>
          <w:p>
            <w:pPr>
              <w:pStyle w:val="LumisTabela"/>
              <w:keepNext/>
            </w:pPr>
            <w:r>
              <w:t>Renovação anual automática</w:t>
            </w:r>
          </w:p>
        </w:tc>
        <w:tc>
          <w:tcPr>
            <w:tcW w:type="dxa" w:w="3231"/>
            <w:shd w:val="clear" w:color="auto" w:fill="F1F6F4"/>
          </w:tcPr>
          <w:p>
            <w:pPr>
              <w:pStyle w:val="LumisTabela"/>
              <w:keepNext/>
            </w:pPr>
            <w:r>
              <w:t>Reajuste sem teto; a renovação automática dificulta a saída.</w:t>
            </w:r>
          </w:p>
        </w:tc>
        <w:tc>
          <w:tcPr>
            <w:tcW w:type="dxa" w:w="2665"/>
            <w:shd w:val="clear" w:color="auto" w:fill="F1F6F4"/>
          </w:tcPr>
          <w:p>
            <w:pPr>
              <w:pStyle w:val="LumisTabela"/>
              <w:keepNext/>
            </w:pPr>
            <w:r>
              <w:t>Negociar teto de reajuste na renovação.</w:t>
            </w:r>
          </w:p>
        </w:tc>
      </w:tr>
    </w:tbl>
    <w:p>
      <w:pPr>
        <w:pStyle w:val="Caption"/>
      </w:pPr>
      <w:r>
        <w:t>Tabela 15. As cinco dependências e o que recomendamos (ainda não praticado). Fonte: Cap. 2, Quadros 3, 4, 5 e 7; cálculos da equipe.</w:t>
      </w:r>
    </w:p>
    <w:p>
      <w:pPr>
        <w:pStyle w:val="Heading2"/>
      </w:pPr>
      <w:r>
        <w:t>Entrega 2</w:t>
      </w:r>
    </w:p>
    <w:p>
      <w:pPr>
        <w:keepNext/>
        <w:jc w:val="center"/>
      </w:pPr>
      <w:r>
        <w:drawing>
          <wp:inline xmlns:a="http://schemas.openxmlformats.org/drawingml/2006/main" xmlns:pic="http://schemas.openxmlformats.org/drawingml/2006/picture">
            <wp:extent cx="4680000" cy="1814882"/>
            <wp:docPr id="8" name="Picture 8"/>
            <wp:cNvGraphicFramePr>
              <a:graphicFrameLocks noChangeAspect="1"/>
            </wp:cNvGraphicFramePr>
            <a:graphic>
              <a:graphicData uri="http://schemas.openxmlformats.org/drawingml/2006/picture">
                <pic:pic>
                  <pic:nvPicPr>
                    <pic:cNvPr id="0" name="d_e2_proxy.png"/>
                    <pic:cNvPicPr/>
                  </pic:nvPicPr>
                  <pic:blipFill>
                    <a:blip r:embed="rId18"/>
                    <a:stretch>
                      <a:fillRect/>
                    </a:stretch>
                  </pic:blipFill>
                  <pic:spPr>
                    <a:xfrm>
                      <a:off x="0" y="0"/>
                      <a:ext cx="4680000" cy="1814882"/>
                    </a:xfrm>
                    <a:prstGeom prst="rect"/>
                  </pic:spPr>
                </pic:pic>
              </a:graphicData>
            </a:graphic>
          </wp:inline>
        </w:drawing>
      </w:r>
    </w:p>
    <w:p>
      <w:pPr>
        <w:pStyle w:val="Caption"/>
      </w:pPr>
      <w:r>
        <w:t xml:space="preserve">Figura 6. Quatro variáveis (49,8% do peso do modelo) medem acesso. Das outras seis, a idade (12,7%) mede o que diz medir; comorbidades e exames só captam o que foi diagnosticado ou pedido, e tempo até o exame, faltas e especialidade de origem também dependem da fila e do acesso à rede </w:t>
      </w:r>
      <w:r>
        <w:rPr>
          <w:rStyle w:val="TagHipótese"/>
        </w:rPr>
        <w:t>[hipótese]</w:t>
      </w:r>
      <w:r>
        <w:t>. Fonte: Cap. 2, Quadro 8; conta e leitura da equipe.</w:t>
      </w:r>
    </w:p>
    <w:p>
      <w:pPr>
        <w:keepNext/>
        <w:jc w:val="center"/>
      </w:pPr>
      <w:r>
        <w:drawing>
          <wp:inline xmlns:a="http://schemas.openxmlformats.org/drawingml/2006/main" xmlns:pic="http://schemas.openxmlformats.org/drawingml/2006/picture">
            <wp:extent cx="4680000" cy="2831339"/>
            <wp:docPr id="9" name="Picture 9"/>
            <wp:cNvGraphicFramePr>
              <a:graphicFrameLocks noChangeAspect="1"/>
            </wp:cNvGraphicFramePr>
            <a:graphic>
              <a:graphicData uri="http://schemas.openxmlformats.org/drawingml/2006/picture">
                <pic:pic>
                  <pic:nvPicPr>
                    <pic:cNvPr id="0" name="d_e2_metricas.png"/>
                    <pic:cNvPicPr/>
                  </pic:nvPicPr>
                  <pic:blipFill>
                    <a:blip r:embed="rId19"/>
                    <a:stretch>
                      <a:fillRect/>
                    </a:stretch>
                  </pic:blipFill>
                  <pic:spPr>
                    <a:xfrm>
                      <a:off x="0" y="0"/>
                      <a:ext cx="4680000" cy="2831339"/>
                    </a:xfrm>
                    <a:prstGeom prst="rect"/>
                  </pic:spPr>
                </pic:pic>
              </a:graphicData>
            </a:graphic>
          </wp:inline>
        </w:drawing>
      </w:r>
    </w:p>
    <w:p>
      <w:pPr>
        <w:pStyle w:val="Caption"/>
      </w:pPr>
      <w:r>
        <w:t>Figura 7. As cinco afirmações do painel comercial e um indicador que descartamos (auditorias de contrato), com as quatro perguntas sobre métricas. Todos saem ou são trocados. Fonte: Cap. 2, Quadros 9, 11 e 14; leitura da equipe.</w:t>
      </w:r>
    </w:p>
    <w:p>
      <w:pPr>
        <w:pStyle w:val="Heading2"/>
      </w:pPr>
      <w:r>
        <w:t>Entrega 3</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963"/>
        <w:gridCol w:w="3175"/>
        <w:gridCol w:w="1644"/>
        <w:gridCol w:w="1417"/>
        <w:gridCol w:w="1871"/>
      </w:tblGrid>
      <w:tr>
        <w:trPr>
          <w:cantSplit/>
          <w:tblHeader w:val="true"/>
        </w:trPr>
        <w:tc>
          <w:tcPr>
            <w:tcW w:type="dxa" w:w="964"/>
            <w:shd w:val="clear" w:color="auto" w:fill="0F2D3A"/>
          </w:tcPr>
          <w:p>
            <w:pPr>
              <w:pStyle w:val="LumisTabela"/>
              <w:keepNext/>
            </w:pPr>
            <w:r>
              <w:rPr>
                <w:b/>
                <w:color w:val="FFFFFF"/>
              </w:rPr>
              <w:t>Quando</w:t>
            </w:r>
          </w:p>
        </w:tc>
        <w:tc>
          <w:tcPr>
            <w:tcW w:type="dxa" w:w="3175"/>
            <w:shd w:val="clear" w:color="auto" w:fill="0F2D3A"/>
          </w:tcPr>
          <w:p>
            <w:pPr>
              <w:pStyle w:val="LumisTabela"/>
              <w:keepNext/>
            </w:pPr>
            <w:r>
              <w:rPr>
                <w:b/>
                <w:color w:val="FFFFFF"/>
              </w:rPr>
              <w:t>O que aconteceu</w:t>
            </w:r>
          </w:p>
        </w:tc>
        <w:tc>
          <w:tcPr>
            <w:tcW w:type="dxa" w:w="1644"/>
            <w:shd w:val="clear" w:color="auto" w:fill="0F2D3A"/>
          </w:tcPr>
          <w:p>
            <w:pPr>
              <w:pStyle w:val="LumisTabela"/>
              <w:keepNext/>
            </w:pPr>
            <w:r>
              <w:rPr>
                <w:b/>
                <w:color w:val="FFFFFF"/>
              </w:rPr>
              <w:t>Quem percebeu</w:t>
            </w:r>
          </w:p>
        </w:tc>
        <w:tc>
          <w:tcPr>
            <w:tcW w:type="dxa" w:w="1417"/>
            <w:shd w:val="clear" w:color="auto" w:fill="0F2D3A"/>
          </w:tcPr>
          <w:p>
            <w:pPr>
              <w:pStyle w:val="LumisTabela"/>
              <w:keepNext/>
            </w:pPr>
            <w:r>
              <w:rPr>
                <w:b/>
                <w:color w:val="FFFFFF"/>
              </w:rPr>
              <w:t>Correção</w:t>
            </w:r>
          </w:p>
        </w:tc>
        <w:tc>
          <w:tcPr>
            <w:tcW w:type="dxa" w:w="1871"/>
            <w:shd w:val="clear" w:color="auto" w:fill="0F2D3A"/>
          </w:tcPr>
          <w:p>
            <w:pPr>
              <w:pStyle w:val="LumisTabela"/>
              <w:keepNext/>
            </w:pPr>
            <w:r>
              <w:rPr>
                <w:b/>
                <w:color w:val="FFFFFF"/>
              </w:rPr>
              <w:t>Por onde entrou</w:t>
            </w:r>
          </w:p>
        </w:tc>
      </w:tr>
      <w:tr>
        <w:trPr>
          <w:cantSplit/>
        </w:trPr>
        <w:tc>
          <w:tcPr>
            <w:tcW w:type="dxa" w:w="964"/>
            <w:shd w:val="clear" w:color="auto" w:fill="F1F6F4"/>
          </w:tcPr>
          <w:p>
            <w:pPr>
              <w:pStyle w:val="LumisTabela"/>
            </w:pPr>
            <w:r>
              <w:t>03/2025</w:t>
            </w:r>
          </w:p>
        </w:tc>
        <w:tc>
          <w:tcPr>
            <w:tcW w:type="dxa" w:w="3175"/>
            <w:shd w:val="clear" w:color="auto" w:fill="F1F6F4"/>
          </w:tcPr>
          <w:p>
            <w:pPr>
              <w:pStyle w:val="LumisTabela"/>
            </w:pPr>
            <w:r>
              <w:t>Exames de um laboratório novo passaram a ser descartados</w:t>
            </w:r>
          </w:p>
        </w:tc>
        <w:tc>
          <w:tcPr>
            <w:tcW w:type="dxa" w:w="1644"/>
            <w:shd w:val="clear" w:color="auto" w:fill="F1F6F4"/>
          </w:tcPr>
          <w:p>
            <w:pPr>
              <w:pStyle w:val="LumisTabela"/>
            </w:pPr>
            <w:r>
              <w:t>Cliente</w:t>
            </w:r>
          </w:p>
        </w:tc>
        <w:tc>
          <w:tcPr>
            <w:tcW w:type="dxa" w:w="1417"/>
            <w:shd w:val="clear" w:color="auto" w:fill="F1F6F4"/>
          </w:tcPr>
          <w:p>
            <w:pPr>
              <w:pStyle w:val="LumisTabela"/>
            </w:pPr>
            <w:r>
              <w:t>22 dias</w:t>
            </w:r>
          </w:p>
        </w:tc>
        <w:tc>
          <w:tcPr>
            <w:tcW w:type="dxa" w:w="1871"/>
            <w:shd w:val="clear" w:color="auto" w:fill="F1F6F4"/>
          </w:tcPr>
          <w:p>
            <w:pPr>
              <w:pStyle w:val="LumisTabela"/>
            </w:pPr>
            <w:r>
              <w:t>Dados de entrada</w:t>
            </w:r>
          </w:p>
        </w:tc>
      </w:tr>
      <w:tr>
        <w:trPr>
          <w:cantSplit/>
        </w:trPr>
        <w:tc>
          <w:tcPr>
            <w:tcW w:type="dxa" w:w="964"/>
          </w:tcPr>
          <w:p>
            <w:pPr>
              <w:pStyle w:val="LumisTabela"/>
            </w:pPr>
            <w:r>
              <w:t>09/2025</w:t>
            </w:r>
          </w:p>
        </w:tc>
        <w:tc>
          <w:tcPr>
            <w:tcW w:type="dxa" w:w="3175"/>
          </w:tcPr>
          <w:p>
            <w:pPr>
              <w:pStyle w:val="LumisTabela"/>
            </w:pPr>
            <w:r>
              <w:t>Queda de desempenho após atualização do fornecedor do modelo</w:t>
            </w:r>
          </w:p>
        </w:tc>
        <w:tc>
          <w:tcPr>
            <w:tcW w:type="dxa" w:w="1644"/>
          </w:tcPr>
          <w:p>
            <w:pPr>
              <w:pStyle w:val="LumisTabela"/>
            </w:pPr>
            <w:r>
              <w:t>Equipe interna</w:t>
            </w:r>
          </w:p>
        </w:tc>
        <w:tc>
          <w:tcPr>
            <w:tcW w:type="dxa" w:w="1417"/>
          </w:tcPr>
          <w:p>
            <w:pPr>
              <w:pStyle w:val="LumisTabela"/>
            </w:pPr>
            <w:r>
              <w:t>6 dias</w:t>
            </w:r>
          </w:p>
        </w:tc>
        <w:tc>
          <w:tcPr>
            <w:tcW w:type="dxa" w:w="1871"/>
          </w:tcPr>
          <w:p>
            <w:pPr>
              <w:pStyle w:val="LumisTabela"/>
            </w:pPr>
            <w:r>
              <w:t>Fornecedor</w:t>
            </w:r>
          </w:p>
        </w:tc>
      </w:tr>
      <w:tr>
        <w:trPr>
          <w:cantSplit/>
        </w:trPr>
        <w:tc>
          <w:tcPr>
            <w:tcW w:type="dxa" w:w="964"/>
            <w:shd w:val="clear" w:color="auto" w:fill="F1F6F4"/>
          </w:tcPr>
          <w:p>
            <w:pPr>
              <w:pStyle w:val="LumisTabela"/>
            </w:pPr>
            <w:r>
              <w:t>01/2026</w:t>
            </w:r>
          </w:p>
        </w:tc>
        <w:tc>
          <w:tcPr>
            <w:tcW w:type="dxa" w:w="3175"/>
            <w:shd w:val="clear" w:color="auto" w:fill="F1F6F4"/>
          </w:tcPr>
          <w:p>
            <w:pPr>
              <w:pStyle w:val="LumisTabela"/>
            </w:pPr>
            <w:r>
              <w:t>Registros duplicados inflaram as "vidas analisadas"</w:t>
            </w:r>
          </w:p>
        </w:tc>
        <w:tc>
          <w:tcPr>
            <w:tcW w:type="dxa" w:w="1644"/>
            <w:shd w:val="clear" w:color="auto" w:fill="F1F6F4"/>
          </w:tcPr>
          <w:p>
            <w:pPr>
              <w:pStyle w:val="LumisTabela"/>
            </w:pPr>
            <w:r>
              <w:t>Auditoria interna</w:t>
            </w:r>
          </w:p>
        </w:tc>
        <w:tc>
          <w:tcPr>
            <w:tcW w:type="dxa" w:w="1417"/>
            <w:shd w:val="clear" w:color="auto" w:fill="F1F6F4"/>
          </w:tcPr>
          <w:p>
            <w:pPr>
              <w:pStyle w:val="LumisTabela"/>
            </w:pPr>
            <w:r>
              <w:t>Só no sistema</w:t>
            </w:r>
          </w:p>
        </w:tc>
        <w:tc>
          <w:tcPr>
            <w:tcW w:type="dxa" w:w="1871"/>
            <w:shd w:val="clear" w:color="auto" w:fill="F1F6F4"/>
          </w:tcPr>
          <w:p>
            <w:pPr>
              <w:pStyle w:val="LumisTabela"/>
            </w:pPr>
            <w:r>
              <w:t>Material comercial</w:t>
            </w:r>
          </w:p>
        </w:tc>
      </w:tr>
      <w:tr>
        <w:trPr>
          <w:cantSplit/>
        </w:trPr>
        <w:tc>
          <w:tcPr>
            <w:tcW w:type="dxa" w:w="964"/>
          </w:tcPr>
          <w:p>
            <w:pPr>
              <w:pStyle w:val="LumisTabela"/>
              <w:keepNext/>
            </w:pPr>
            <w:r>
              <w:t>07/2026</w:t>
            </w:r>
          </w:p>
        </w:tc>
        <w:tc>
          <w:tcPr>
            <w:tcW w:type="dxa" w:w="3175"/>
          </w:tcPr>
          <w:p>
            <w:pPr>
              <w:pStyle w:val="LumisTabela"/>
              <w:keepNext/>
            </w:pPr>
            <w:r>
              <w:t>Viés etário e regional na priorização</w:t>
            </w:r>
          </w:p>
        </w:tc>
        <w:tc>
          <w:tcPr>
            <w:tcW w:type="dxa" w:w="1644"/>
          </w:tcPr>
          <w:p>
            <w:pPr>
              <w:pStyle w:val="LumisTabela"/>
              <w:keepNext/>
            </w:pPr>
            <w:r>
              <w:t>Hospital Vila Ipê</w:t>
            </w:r>
          </w:p>
        </w:tc>
        <w:tc>
          <w:tcPr>
            <w:tcW w:type="dxa" w:w="1417"/>
          </w:tcPr>
          <w:p>
            <w:pPr>
              <w:pStyle w:val="LumisTabela"/>
              <w:keepNext/>
            </w:pPr>
            <w:r>
              <w:t>Em tratamento</w:t>
            </w:r>
          </w:p>
        </w:tc>
        <w:tc>
          <w:tcPr>
            <w:tcW w:type="dxa" w:w="1871"/>
          </w:tcPr>
          <w:p>
            <w:pPr>
              <w:pStyle w:val="LumisTabela"/>
              <w:keepNext/>
            </w:pPr>
            <w:r>
              <w:t>Acompanhamento por grupo</w:t>
            </w:r>
          </w:p>
        </w:tc>
      </w:tr>
    </w:tbl>
    <w:p>
      <w:pPr>
        <w:pStyle w:val="Caption"/>
      </w:pPr>
      <w:r>
        <w:t>Tabela 16. Incidentes dos últimos 24 meses. Fonte: Cap. 2, Quadro 14. A coluna Por onde entrou é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Decisão</w:t>
            </w:r>
          </w:p>
        </w:tc>
        <w:tc>
          <w:tcPr>
            <w:tcW w:type="dxa" w:w="7030"/>
            <w:shd w:val="clear" w:color="auto" w:fill="0F2D3A"/>
          </w:tcPr>
          <w:p>
            <w:pPr>
              <w:pStyle w:val="LumisTabela"/>
              <w:keepNext/>
            </w:pPr>
            <w:r>
              <w:rPr>
                <w:b/>
                <w:color w:val="FFFFFF"/>
              </w:rPr>
              <w:t>Sinal de alerta</w:t>
            </w:r>
          </w:p>
        </w:tc>
      </w:tr>
      <w:tr>
        <w:trPr>
          <w:cantSplit/>
        </w:trPr>
        <w:tc>
          <w:tcPr>
            <w:tcW w:type="dxa" w:w="2041"/>
            <w:shd w:val="clear" w:color="auto" w:fill="F1F6F4"/>
          </w:tcPr>
          <w:p>
            <w:pPr>
              <w:pStyle w:val="LumisTabela"/>
            </w:pPr>
            <w:r>
              <w:t>Priorização da fila</w:t>
            </w:r>
          </w:p>
        </w:tc>
        <w:tc>
          <w:tcPr>
            <w:tcW w:type="dxa" w:w="7030"/>
            <w:shd w:val="clear" w:color="auto" w:fill="F1F6F4"/>
          </w:tcPr>
          <w:p>
            <w:pPr>
              <w:pStyle w:val="LumisTabela"/>
            </w:pPr>
            <w:r>
              <w:t>Grupo acima de 1,5 vez o erro do melhor (revisão de 10%); acima de 2 vezes, restrição</w:t>
            </w:r>
          </w:p>
        </w:tc>
      </w:tr>
      <w:tr>
        <w:trPr>
          <w:cantSplit/>
        </w:trPr>
        <w:tc>
          <w:tcPr>
            <w:tcW w:type="dxa" w:w="2041"/>
          </w:tcPr>
          <w:p>
            <w:pPr>
              <w:pStyle w:val="LumisTabela"/>
            </w:pPr>
            <w:r>
              <w:t>Protocolo clínico</w:t>
            </w:r>
          </w:p>
        </w:tc>
        <w:tc>
          <w:tcPr>
            <w:tcW w:type="dxa" w:w="7030"/>
          </w:tcPr>
          <w:p>
            <w:pPr>
              <w:pStyle w:val="LumisTabela"/>
            </w:pPr>
            <w:r>
              <w:t>Grupo com mais de 2 vezes as sugestões alteradas pelo médico</w:t>
            </w:r>
          </w:p>
        </w:tc>
      </w:tr>
      <w:tr>
        <w:trPr>
          <w:cantSplit/>
        </w:trPr>
        <w:tc>
          <w:tcPr>
            <w:tcW w:type="dxa" w:w="2041"/>
            <w:shd w:val="clear" w:color="auto" w:fill="F1F6F4"/>
          </w:tcPr>
          <w:p>
            <w:pPr>
              <w:pStyle w:val="LumisTabela"/>
            </w:pPr>
            <w:r>
              <w:t>Risco de crédito</w:t>
            </w:r>
          </w:p>
        </w:tc>
        <w:tc>
          <w:tcPr>
            <w:tcW w:type="dxa" w:w="7030"/>
            <w:shd w:val="clear" w:color="auto" w:fill="F1F6F4"/>
          </w:tcPr>
          <w:p>
            <w:pPr>
              <w:pStyle w:val="LumisTabela"/>
            </w:pPr>
            <w:r>
              <w:t>Faixa de CEP com aprovação abaixo de 0,8 da melhor</w:t>
            </w:r>
          </w:p>
        </w:tc>
      </w:tr>
      <w:tr>
        <w:trPr>
          <w:cantSplit/>
        </w:trPr>
        <w:tc>
          <w:tcPr>
            <w:tcW w:type="dxa" w:w="2041"/>
          </w:tcPr>
          <w:p>
            <w:pPr>
              <w:pStyle w:val="LumisTabela"/>
              <w:keepNext/>
            </w:pPr>
            <w:r>
              <w:t>Risco de sinistro</w:t>
            </w:r>
          </w:p>
        </w:tc>
        <w:tc>
          <w:tcPr>
            <w:tcW w:type="dxa" w:w="7030"/>
          </w:tcPr>
          <w:p>
            <w:pPr>
              <w:pStyle w:val="LumisTabela"/>
              <w:keepNext/>
            </w:pPr>
            <w:r>
              <w:t>Faixa de CEP com mais de 2 vezes as negativas da melhor</w:t>
            </w:r>
          </w:p>
        </w:tc>
      </w:tr>
    </w:tbl>
    <w:p>
      <w:pPr>
        <w:pStyle w:val="Caption"/>
      </w:pPr>
      <w:r>
        <w:t>Tabela 17. Alertas por decisão, lidos a cada quinze dias. Limites nas seções 2.5 e 5.2; o do sinistro é proposta da equipe. Dos quatro sinais, o Anexo A só traz o erro por grupo da priorização, medido pelo hospital (Cap. 2, Quadro 10).</w:t>
      </w:r>
    </w:p>
    <w:p>
      <w:pPr>
        <w:pStyle w:val="Heading2"/>
      </w:pPr>
      <w:r>
        <w:t>Entrega 4</w:t>
      </w:r>
    </w:p>
    <w:p>
      <w:pPr>
        <w:keepNext/>
        <w:jc w:val="center"/>
      </w:pPr>
      <w:r>
        <w:drawing>
          <wp:inline xmlns:a="http://schemas.openxmlformats.org/drawingml/2006/main" xmlns:pic="http://schemas.openxmlformats.org/drawingml/2006/picture">
            <wp:extent cx="5040000" cy="1832960"/>
            <wp:docPr id="10" name="Picture 10"/>
            <wp:cNvGraphicFramePr>
              <a:graphicFrameLocks noChangeAspect="1"/>
            </wp:cNvGraphicFramePr>
            <a:graphic>
              <a:graphicData uri="http://schemas.openxmlformats.org/drawingml/2006/picture">
                <pic:pic>
                  <pic:nvPicPr>
                    <pic:cNvPr id="0" name="v1_fig1_clima.png"/>
                    <pic:cNvPicPr/>
                  </pic:nvPicPr>
                  <pic:blipFill>
                    <a:blip r:embed="rId20"/>
                    <a:stretch>
                      <a:fillRect/>
                    </a:stretch>
                  </pic:blipFill>
                  <pic:spPr>
                    <a:xfrm>
                      <a:off x="0" y="0"/>
                      <a:ext cx="5040000" cy="1832960"/>
                    </a:xfrm>
                    <a:prstGeom prst="rect"/>
                  </pic:spPr>
                </pic:pic>
              </a:graphicData>
            </a:graphic>
          </wp:inline>
        </w:drawing>
      </w:r>
    </w:p>
    <w:p>
      <w:pPr>
        <w:pStyle w:val="Caption"/>
      </w:pPr>
      <w:r>
        <w:t>Figura 8. Concordância por grupo; pesquisa de julho de 2026 com 81 de 96 colaboradores. Fonte: Cap. 2, Quadro 15.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87"/>
        <w:gridCol w:w="7484"/>
      </w:tblGrid>
      <w:tr>
        <w:trPr>
          <w:cantSplit/>
          <w:tblHeader w:val="true"/>
        </w:trPr>
        <w:tc>
          <w:tcPr>
            <w:tcW w:type="dxa" w:w="1587"/>
            <w:shd w:val="clear" w:color="auto" w:fill="0F2D3A"/>
          </w:tcPr>
          <w:p>
            <w:pPr>
              <w:pStyle w:val="LumisTabela"/>
              <w:keepNext/>
            </w:pPr>
            <w:r>
              <w:rPr>
                <w:b/>
                <w:color w:val="FFFFFF"/>
              </w:rPr>
              <w:t>Camada</w:t>
            </w:r>
          </w:p>
        </w:tc>
        <w:tc>
          <w:tcPr>
            <w:tcW w:type="dxa" w:w="7483"/>
            <w:shd w:val="clear" w:color="auto" w:fill="0F2D3A"/>
          </w:tcPr>
          <w:p>
            <w:pPr>
              <w:pStyle w:val="LumisTabela"/>
              <w:keepNext/>
            </w:pPr>
            <w:r>
              <w:rPr>
                <w:b/>
                <w:color w:val="FFFFFF"/>
              </w:rPr>
              <w:t>O que encontramos</w:t>
            </w:r>
          </w:p>
        </w:tc>
      </w:tr>
      <w:tr>
        <w:trPr>
          <w:cantSplit/>
        </w:trPr>
        <w:tc>
          <w:tcPr>
            <w:tcW w:type="dxa" w:w="1587"/>
            <w:shd w:val="clear" w:color="auto" w:fill="F1F6F4"/>
          </w:tcPr>
          <w:p>
            <w:pPr>
              <w:pStyle w:val="LumisTabela"/>
            </w:pPr>
            <w:r>
              <w:t>Artefatos</w:t>
            </w:r>
          </w:p>
        </w:tc>
        <w:tc>
          <w:tcPr>
            <w:tcW w:type="dxa" w:w="7483"/>
            <w:shd w:val="clear" w:color="auto" w:fill="F1F6F4"/>
          </w:tcPr>
          <w:p>
            <w:pPr>
              <w:pStyle w:val="LumisTabela"/>
            </w:pPr>
            <w:r>
              <w:t>O número de vitrine (94%) segue no material, contra 87,6% em campo; o erro de 01/2026 seguiu no material comercial; quem mediu o erro por grupo foi o hospital; o backlog registra quem pediu, e não o risco; rotatividade de 27% no time de dados, contra 19% na empresa.</w:t>
            </w:r>
          </w:p>
        </w:tc>
      </w:tr>
      <w:tr>
        <w:trPr>
          <w:cantSplit/>
        </w:trPr>
        <w:tc>
          <w:tcPr>
            <w:tcW w:type="dxa" w:w="1587"/>
          </w:tcPr>
          <w:p>
            <w:pPr>
              <w:pStyle w:val="LumisTabela"/>
            </w:pPr>
            <w:r>
              <w:t>Valores declarados</w:t>
            </w:r>
          </w:p>
        </w:tc>
        <w:tc>
          <w:tcPr>
            <w:tcW w:type="dxa" w:w="7483"/>
          </w:tcPr>
          <w:p>
            <w:pPr>
              <w:pStyle w:val="LumisTabela"/>
            </w:pPr>
            <w:r>
              <w:t>O técnico diz que o comercial promete o que o produto não entrega. O comercial diz que o técnico atrasa tudo em nome de um rigor que o cliente não pede. 63% do comercial dizem que a área é ouvida nas decisões de produto, contra 34% do técnico.</w:t>
            </w:r>
          </w:p>
        </w:tc>
      </w:tr>
      <w:tr>
        <w:trPr>
          <w:cantSplit/>
        </w:trPr>
        <w:tc>
          <w:tcPr>
            <w:tcW w:type="dxa" w:w="1587"/>
            <w:shd w:val="clear" w:color="auto" w:fill="F1F6F4"/>
          </w:tcPr>
          <w:p>
            <w:pPr>
              <w:pStyle w:val="LumisTabela"/>
              <w:keepNext/>
            </w:pPr>
            <w:r>
              <w:t>Pressupostos</w:t>
            </w:r>
          </w:p>
        </w:tc>
        <w:tc>
          <w:tcPr>
            <w:tcW w:type="dxa" w:w="7483"/>
            <w:shd w:val="clear" w:color="auto" w:fill="F1F6F4"/>
          </w:tcPr>
          <w:p>
            <w:pPr>
              <w:pStyle w:val="LumisTabela"/>
              <w:keepNext/>
            </w:pPr>
            <w:r>
              <w:t xml:space="preserve">Cada área acredita vender uma coisa: confiabilidade ou velocidade (Cap. 2, seção 2.5). Por baixo das duas, a mesma crença: "aqui, modelo validado é modelo bom" </w:t>
            </w:r>
            <w:r>
              <w:rPr>
                <w:rStyle w:val="TagHipótese"/>
              </w:rPr>
              <w:t>[hipótese]</w:t>
            </w:r>
            <w:r>
              <w:t>.</w:t>
            </w:r>
          </w:p>
        </w:tc>
      </w:tr>
    </w:tbl>
    <w:p>
      <w:pPr>
        <w:pStyle w:val="Caption"/>
      </w:pPr>
      <w:r>
        <w:t>Tabela 18. A cultura nas três camadas de Schein. Fonte: Cap. 2, seções 1.2 e 2.5 e Quadros 9, 10, 11, 14, 15, 16 e 17;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5783"/>
        <w:gridCol w:w="1360"/>
      </w:tblGrid>
      <w:tr>
        <w:trPr>
          <w:cantSplit/>
          <w:tblHeader w:val="true"/>
        </w:trPr>
        <w:tc>
          <w:tcPr>
            <w:tcW w:type="dxa" w:w="1928"/>
            <w:shd w:val="clear" w:color="auto" w:fill="0F2D3A"/>
          </w:tcPr>
          <w:p>
            <w:pPr>
              <w:pStyle w:val="LumisTabela"/>
              <w:keepNext/>
            </w:pPr>
            <w:r>
              <w:rPr>
                <w:b/>
                <w:color w:val="FFFFFF"/>
              </w:rPr>
              <w:t>Horizonte</w:t>
            </w:r>
          </w:p>
        </w:tc>
        <w:tc>
          <w:tcPr>
            <w:tcW w:type="dxa" w:w="5783"/>
            <w:shd w:val="clear" w:color="auto" w:fill="0F2D3A"/>
          </w:tcPr>
          <w:p>
            <w:pPr>
              <w:pStyle w:val="LumisTabela"/>
              <w:keepNext/>
            </w:pPr>
            <w:r>
              <w:rPr>
                <w:b/>
                <w:color w:val="FFFFFF"/>
              </w:rPr>
              <w:t>O que recebe</w:t>
            </w:r>
          </w:p>
        </w:tc>
        <w:tc>
          <w:tcPr>
            <w:tcW w:type="dxa" w:w="1361"/>
            <w:shd w:val="clear" w:color="auto" w:fill="0F2D3A"/>
          </w:tcPr>
          <w:p>
            <w:pPr>
              <w:pStyle w:val="LumisTabela"/>
              <w:keepNext/>
            </w:pPr>
            <w:r>
              <w:rPr>
                <w:b/>
                <w:color w:val="FFFFFF"/>
              </w:rPr>
              <w:t>Meses-pessoa</w:t>
            </w:r>
          </w:p>
        </w:tc>
      </w:tr>
      <w:tr>
        <w:trPr>
          <w:cantSplit/>
        </w:trPr>
        <w:tc>
          <w:tcPr>
            <w:tcW w:type="dxa" w:w="1928"/>
            <w:shd w:val="clear" w:color="auto" w:fill="F1F6F4"/>
          </w:tcPr>
          <w:p>
            <w:pPr>
              <w:pStyle w:val="LumisTabela"/>
            </w:pPr>
            <w:r>
              <w:t>Melhoria do produto atual</w:t>
            </w:r>
          </w:p>
        </w:tc>
        <w:tc>
          <w:tcPr>
            <w:tcW w:type="dxa" w:w="5783"/>
            <w:shd w:val="clear" w:color="auto" w:fill="F1F6F4"/>
          </w:tcPr>
          <w:p>
            <w:pPr>
              <w:pStyle w:val="LumisTabela"/>
            </w:pPr>
            <w:r>
              <w:t>Compromissos já assumidos 3,0; correção do viés 3,5; explicabilidade 9,0; primeira fatia do pipeline 7,2; diagnóstico da ISO/IEC 42001 0,7</w:t>
            </w:r>
          </w:p>
        </w:tc>
        <w:tc>
          <w:tcPr>
            <w:tcW w:type="dxa" w:w="1361"/>
            <w:shd w:val="clear" w:color="auto" w:fill="F1F6F4"/>
          </w:tcPr>
          <w:p>
            <w:pPr>
              <w:pStyle w:val="LumisTabela"/>
            </w:pPr>
            <w:r>
              <w:t>23,4 (78%)</w:t>
            </w:r>
          </w:p>
        </w:tc>
      </w:tr>
      <w:tr>
        <w:trPr>
          <w:cantSplit/>
        </w:trPr>
        <w:tc>
          <w:tcPr>
            <w:tcW w:type="dxa" w:w="1928"/>
          </w:tcPr>
          <w:p>
            <w:pPr>
              <w:pStyle w:val="LumisTabela"/>
            </w:pPr>
            <w:r>
              <w:t>Expansão adjacente</w:t>
            </w:r>
          </w:p>
        </w:tc>
        <w:tc>
          <w:tcPr>
            <w:tcW w:type="dxa" w:w="5783"/>
          </w:tcPr>
          <w:p>
            <w:pPr>
              <w:pStyle w:val="LumisTabela"/>
            </w:pPr>
            <w:r>
              <w:t>Crédito para bancos, até o modo sombra</w:t>
            </w:r>
          </w:p>
        </w:tc>
        <w:tc>
          <w:tcPr>
            <w:tcW w:type="dxa" w:w="1361"/>
          </w:tcPr>
          <w:p>
            <w:pPr>
              <w:pStyle w:val="LumisTabela"/>
            </w:pPr>
            <w:r>
              <w:t>5,6 (19%)</w:t>
            </w:r>
          </w:p>
        </w:tc>
      </w:tr>
      <w:tr>
        <w:trPr>
          <w:cantSplit/>
        </w:trPr>
        <w:tc>
          <w:tcPr>
            <w:tcW w:type="dxa" w:w="1928"/>
            <w:shd w:val="clear" w:color="auto" w:fill="F1F6F4"/>
          </w:tcPr>
          <w:p>
            <w:pPr>
              <w:pStyle w:val="LumisTabela"/>
            </w:pPr>
            <w:r>
              <w:t>Transformação</w:t>
            </w:r>
          </w:p>
        </w:tc>
        <w:tc>
          <w:tcPr>
            <w:tcW w:type="dxa" w:w="5783"/>
            <w:shd w:val="clear" w:color="auto" w:fill="F1F6F4"/>
          </w:tcPr>
          <w:p>
            <w:pPr>
              <w:pStyle w:val="LumisTabela"/>
            </w:pPr>
            <w:r>
              <w:t>Descoberta da prova de desempenho por grupo como oferta</w:t>
            </w:r>
          </w:p>
        </w:tc>
        <w:tc>
          <w:tcPr>
            <w:tcW w:type="dxa" w:w="1361"/>
            <w:shd w:val="clear" w:color="auto" w:fill="F1F6F4"/>
          </w:tcPr>
          <w:p>
            <w:pPr>
              <w:pStyle w:val="LumisTabela"/>
            </w:pPr>
            <w:r>
              <w:t>1,0 (3%)</w:t>
            </w:r>
          </w:p>
        </w:tc>
      </w:tr>
      <w:tr>
        <w:trPr>
          <w:cantSplit/>
        </w:trPr>
        <w:tc>
          <w:tcPr>
            <w:tcW w:type="dxa" w:w="1928"/>
          </w:tcPr>
          <w:p>
            <w:pPr>
              <w:pStyle w:val="LumisTabela"/>
              <w:keepNext/>
            </w:pPr>
            <w:r>
              <w:t>Recusados</w:t>
            </w:r>
          </w:p>
        </w:tc>
        <w:tc>
          <w:tcPr>
            <w:tcW w:type="dxa" w:w="5783"/>
          </w:tcPr>
          <w:p>
            <w:pPr>
              <w:pStyle w:val="LumisTabela"/>
              <w:keepNext/>
            </w:pPr>
            <w:r>
              <w:t>Módulo veterinário (53% da capacidade); agente de triagem; México (73% da capacidade). Juntos, R$ 11,3 mi dos R$ 19,7 mi de receita potencial em 12 meses (57,4%)</w:t>
            </w:r>
          </w:p>
        </w:tc>
        <w:tc>
          <w:tcPr>
            <w:tcW w:type="dxa" w:w="1361"/>
          </w:tcPr>
          <w:p>
            <w:pPr>
              <w:pStyle w:val="LumisTabela"/>
              <w:keepNext/>
            </w:pPr>
            <w:r>
              <w:t>0</w:t>
            </w:r>
          </w:p>
        </w:tc>
      </w:tr>
    </w:tbl>
    <w:p>
      <w:pPr>
        <w:pStyle w:val="Caption"/>
      </w:pPr>
      <w:r>
        <w:t>Tabela 19. Distribuição por horizonte e as três recusas. Proposta da equipe sobre o Cap. 2, Quadro 16.</w:t>
      </w:r>
    </w:p>
    <w:sectPr w:rsidR="00FC693F" w:rsidRPr="0006063C" w:rsidSect="00034616">
      <w:headerReference w:type="default" r:id="rId11"/>
      <w:footerReference w:type="default" r:id="rId12"/>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7C85"/>
        <w:sz w:val="17"/>
      </w:rPr>
      <w:t xml:space="preserve">Lumis Intelligence · Gestão em IA (FIAP) · página </w:t>
    </w:r>
    <w:r>
      <w:rPr>
        <w:color w:val="6B7C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Bdr>
        <w:bottom w:val="single" w:sz="4" w:space="4" w:color="0F2D3A"/>
      </w:pBdr>
    </w:pPr>
    <w:r/>
    <w:r>
      <w:drawing>
        <wp:inline xmlns:a="http://schemas.openxmlformats.org/drawingml/2006/main" xmlns:pic="http://schemas.openxmlformats.org/drawingml/2006/picture">
          <wp:extent cx="1152000" cy="248123"/>
          <wp:docPr id="1" name="Picture 1"/>
          <wp:cNvGraphicFramePr>
            <a:graphicFrameLocks noChangeAspect="1"/>
          </wp:cNvGraphicFramePr>
          <a:graphic>
            <a:graphicData uri="http://schemas.openxmlformats.org/drawingml/2006/picture">
              <pic:pic>
                <pic:nvPicPr>
                  <pic:cNvPr id="0" name="lumis-insight_horizontal.png"/>
                  <pic:cNvPicPr/>
                </pic:nvPicPr>
                <pic:blipFill>
                  <a:blip r:embed="rId1"/>
                  <a:stretch>
                    <a:fillRect/>
                  </a:stretch>
                </pic:blipFill>
                <pic:spPr>
                  <a:xfrm>
                    <a:off x="0" y="0"/>
                    <a:ext cx="1152000" cy="248123"/>
                  </a:xfrm>
                  <a:prstGeom prst="rect"/>
                </pic:spPr>
              </pic:pic>
            </a:graphicData>
          </a:graphic>
        </wp:inline>
      </w:drawing>
    </w:r>
    <w:r>
      <w:rPr>
        <w:rFonts w:ascii="Calibri" w:hAnsi="Calibri"/>
        <w:color w:val="6B7C85"/>
        <w:sz w:val="17"/>
      </w:rPr>
      <w:tab/>
      <w:t>Fase 2 · O mapa e a direção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eastAsia="Calibri"/>
      <w:b w:val="0"/>
      <w:i w:val="0"/>
      <w:color w:val="18252C"/>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Bdr>
        <w:bottom w:val="single" w:sz="8" w:space="4" w:color="3DBE93"/>
      </w:pBdr>
    </w:pPr>
    <w:rPr>
      <w:rFonts w:ascii="Georgia" w:hAnsi="Georgia" w:cs="Georgia" w:eastAsia="Georgia"/>
      <w:b w:val="0"/>
      <w:bCs/>
      <w:i w:val="0"/>
      <w:color w:val="0F2D3A"/>
      <w:sz w:val="32"/>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Georgia" w:hAnsi="Georgia" w:cs="Georgia" w:eastAsia="Georgia"/>
      <w:b w:val="0"/>
      <w:bCs/>
      <w:i w:val="0"/>
      <w:color w:val="0F2D3A"/>
      <w:sz w:val="25"/>
      <w:szCs w:val="26"/>
    </w:rPr>
  </w:style>
  <w:style w:type="paragraph" w:styleId="Heading3">
    <w:name w:val="heading 3"/>
    <w:basedOn w:val="Normal"/>
    <w:next w:val="Normal"/>
    <w:link w:val="Heading3Char"/>
    <w:uiPriority w:val="9"/>
    <w:unhideWhenUsed/>
    <w:qFormat/>
    <w:rsid w:val="00FC693F"/>
    <w:pPr>
      <w:keepNext/>
      <w:keepLines/>
      <w:spacing w:before="160" w:after="40" w:line="264" w:lineRule="auto"/>
      <w:outlineLvl w:val="2"/>
    </w:pPr>
    <w:rPr>
      <w:rFonts w:ascii="Calibri" w:hAnsi="Calibri" w:cs="Calibri" w:eastAsia="Calibri"/>
      <w:b/>
      <w:bCs/>
      <w:i w:val="0"/>
      <w:color w:val="0F2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Georgia" w:hAnsi="Georgia" w:cs="Georgia" w:eastAsia="Georgia"/>
      <w:b w:val="0"/>
      <w:i w:val="0"/>
      <w:color w:val="0F2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Calibri" w:hAnsi="Calibri" w:cs="Calibri" w:eastAsia="Calibri"/>
      <w:b w:val="0"/>
      <w:i w:val="0"/>
      <w:iCs/>
      <w:color w:val="6B7C8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cs="Calibri" w:eastAsia="Calibri"/>
      <w:b w:val="0"/>
      <w:bCs/>
      <w:i/>
      <w:color w:val="6B7C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spacing w:before="120" w:after="200" w:line="300" w:lineRule="auto"/>
      <w:ind w:left="227"/>
      <w:pBdr>
        <w:left w:val="single" w:sz="24" w:space="10" w:color="3DBE93"/>
      </w:pBdr>
      <w:shd w:val="clear" w:color="auto" w:fill="EEF7F3"/>
    </w:pPr>
    <w:rPr>
      <w:rFonts w:ascii="Georgia" w:hAnsi="Georgia" w:cs="Georgia" w:eastAsia="Georgia"/>
      <w:b w:val="0"/>
      <w:i/>
      <w:color w:val="0F2D3A"/>
      <w:sz w:val="24"/>
    </w:rPr>
  </w:style>
  <w:style w:type="paragraph" w:customStyle="1" w:styleId="LumisRótulo">
    <w:name w:val="Lumis Rótulo"/>
    <w:basedOn w:val="Normal"/>
    <w:qFormat/>
    <w:pPr>
      <w:spacing w:before="0" w:after="40" w:line="240" w:lineRule="auto"/>
    </w:pPr>
    <w:rPr>
      <w:rFonts w:ascii="Calibri" w:hAnsi="Calibri" w:cs="Calibri" w:eastAsia="Calibri"/>
      <w:b/>
      <w:i w:val="0"/>
      <w:color w:val="1E8C6B"/>
      <w:sz w:val="18"/>
      <w:spacing w:val="30"/>
      <w:caps/>
    </w:rPr>
  </w:style>
  <w:style w:type="paragraph" w:customStyle="1" w:styleId="LumisTabela">
    <w:name w:val="Lumis Tabela"/>
    <w:basedOn w:val="Normal"/>
    <w:qFormat/>
    <w:pPr>
      <w:spacing w:before="40" w:after="40" w:line="240" w:lineRule="auto"/>
    </w:pPr>
    <w:rPr>
      <w:rFonts w:ascii="Calibri" w:hAnsi="Calibri" w:cs="Calibri" w:eastAsia="Calibri"/>
      <w:b w:val="0"/>
      <w:i w:val="0"/>
      <w:color w:val="18252C"/>
      <w:sz w:val="19"/>
    </w:rPr>
  </w:style>
  <w:style w:type="paragraph" w:customStyle="1" w:styleId="LumisNota">
    <w:name w:val="Lumis Nota"/>
    <w:basedOn w:val="Normal"/>
    <w:qFormat/>
    <w:pPr>
      <w:spacing w:before="0" w:after="80" w:line="264" w:lineRule="auto"/>
    </w:pPr>
    <w:rPr>
      <w:rFonts w:ascii="Calibri" w:hAnsi="Calibri" w:cs="Calibri" w:eastAsia="Calibri"/>
      <w:b w:val="0"/>
      <w:i w:val="0"/>
      <w:color w:val="6B7C85"/>
      <w:sz w:val="18"/>
    </w:rPr>
  </w:style>
  <w:style w:type="character" w:customStyle="1" w:styleId="TagFonte">
    <w:name w:val="Tag Fonte"/>
    <w:qFormat/>
    <w:rPr>
      <w:rFonts w:ascii="Calibri" w:hAnsi="Calibri" w:cs="Calibri" w:eastAsia="Calibri"/>
      <w:b/>
      <w:i w:val="0"/>
      <w:color w:val="1E8C6B"/>
      <w:sz w:val="18"/>
    </w:rPr>
  </w:style>
  <w:style w:type="character" w:customStyle="1" w:styleId="TagHipótese">
    <w:name w:val="Tag Hipótese"/>
    <w:qFormat/>
    <w:rPr>
      <w:rFonts w:ascii="Calibri" w:hAnsi="Calibri" w:cs="Calibri" w:eastAsia="Calibri"/>
      <w:b/>
      <w:i w:val="0"/>
      <w:color w:val="B7791F"/>
      <w:sz w:val="18"/>
    </w:rPr>
  </w:style>
  <w:style w:type="character" w:customStyle="1" w:styleId="TagNãoconsta">
    <w:name w:val="Tag Não consta"/>
    <w:qFormat/>
    <w:rPr>
      <w:rFonts w:ascii="Calibri" w:hAnsi="Calibri" w:cs="Calibri" w:eastAsia="Calibri"/>
      <w:b/>
      <w:i w:val="0"/>
      <w:color w:val="6B7C85"/>
      <w:sz w:val="18"/>
    </w:rPr>
  </w:style>
  <w:style w:type="character" w:customStyle="1" w:styleId="TagRisco">
    <w:name w:val="Tag Risco"/>
    <w:qFormat/>
    <w:rPr>
      <w:rFonts w:ascii="Calibri" w:hAnsi="Calibri" w:cs="Calibri" w:eastAsia="Calibri"/>
      <w:b/>
      <w:i w:val="0"/>
      <w:color w:val="B44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