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Memorando ao conselho</w:t>
      </w:r>
    </w:p>
    <w:p>
      <w:pPr>
        <w:pStyle w:val="Subtitle"/>
      </w:pPr>
      <w:r>
        <w:t>Proposta do Vetor Capital: direção, riscos e condições prévias</w:t>
      </w:r>
    </w:p>
    <w:p>
      <w:pPr>
        <w:pStyle w:val="LumisTabela"/>
      </w:pPr>
      <w:r>
        <w:rPr>
          <w:b/>
        </w:rPr>
        <w:t>Para:</w:t>
      </w:r>
      <w:r>
        <w:t xml:space="preserve"> Conselho da Lumis Intelligence</w:t>
      </w:r>
    </w:p>
    <w:p>
      <w:pPr>
        <w:pStyle w:val="LumisTabela"/>
      </w:pPr>
      <w:r>
        <w:rPr>
          <w:b/>
        </w:rPr>
        <w:t>De:</w:t>
      </w:r>
      <w:r>
        <w:t xml:space="preserve"> Head of AI Management, pela equipe: Bruno Müller, Diego Franca Evangelista, Felipe Alef, Gustavo Halfen Simon e Maria Fernanda Barros</w:t>
      </w:r>
    </w:p>
    <w:p>
      <w:pPr>
        <w:pStyle w:val="LumisTabela"/>
      </w:pPr>
      <w:r>
        <w:rPr>
          <w:b/>
        </w:rPr>
        <w:t>Data:</w:t>
      </w:r>
      <w:r>
        <w:t xml:space="preserve"> 08/10/2026</w:t>
      </w:r>
    </w:p>
    <w:p>
      <w:pPr>
        <w:pStyle w:val="LumisRótulo"/>
      </w:pPr>
      <w:r>
        <w:t>Recomendação</w:t>
      </w:r>
    </w:p>
    <w:p>
      <w:pPr>
        <w:pStyle w:val="LumisDestaque"/>
      </w:pPr>
      <w:r>
        <w:t>Recomendamos aceitar o aporte do Vetor Capital com liberação por etapas, ligada a condições verificáveis: primeiro tornar o ativo defensável, crescer onde a Lumis já tem cliente e contratar em ondas; novos países e plataforma, só depois. Se o Vetor exigir países ou plataforma em produção antes das condições, recomendamos não aceitar o aporte nesses termos.</w:t>
      </w:r>
    </w:p>
    <w:p>
      <w:pPr/>
      <w:r>
        <w:t xml:space="preserve">A proposta do Vetor Capital, R$ 120 milhões por 22%, avalia a Lumis em R$ 425,5 milhões antes do aporte (cerca de 10,3 vezes a receita recorrente anual) e vale por 60 dias </w:t>
      </w:r>
      <w:r>
        <w:rPr>
          <w:rStyle w:val="TagFonte"/>
        </w:rPr>
        <w:t>[fonte: Cap. 2, texto após o Quadro 3]</w:t>
      </w:r>
      <w:r>
        <w:t xml:space="preserve">. Não aceitar tem custo: no fechamento do 2º trimestre de 2026, a Lumis tinha caixa para 11,6 meses </w:t>
      </w:r>
      <w:r>
        <w:rPr>
          <w:rStyle w:val="TagFonte"/>
        </w:rPr>
        <w:t>[fonte: Cap. 2, Quadro 3]</w:t>
      </w:r>
      <w:r>
        <w:t xml:space="preserve">, e outra fonte de capital </w:t>
      </w:r>
      <w:r>
        <w:rPr>
          <w:rStyle w:val="TagNãoconsta"/>
        </w:rPr>
        <w:t>[não consta]</w:t>
      </w:r>
      <w:r>
        <w:t>.</w:t>
      </w:r>
    </w:p>
    <w:p>
      <w:pPr>
        <w:pStyle w:val="Heading2"/>
      </w:pPr>
      <w:r>
        <w:t>Direção proposta</w:t>
      </w:r>
    </w:p>
    <w:p>
      <w:pPr/>
      <w:r>
        <w:t xml:space="preserve">Hoje o ativo da Lumis não passa numa auditoria independente. Dos dados de clientes, 35,4% têm autorização fraca ou nenhuma para treino, e o modelo erra 31,8% dos idosos de CEP D/E que precisavam de prioridade, três vezes o melhor grupo </w:t>
      </w:r>
      <w:r>
        <w:rPr>
          <w:rStyle w:val="TagFonte"/>
        </w:rPr>
        <w:t>[fonte: Cap. 2, Quadros 7 e 10]</w:t>
      </w:r>
      <w:r>
        <w:t>.</w:t>
      </w:r>
    </w:p>
    <w:p>
      <w:pPr/>
      <w:r>
        <w:t xml:space="preserve">O ativo a construir é o dado de desfecho com direito de uso limpo e a prova auditável de desempenho por grupo. O crescimento vem de hospitais e seguradoras médios no Brasil, que, sem IA própria, dependem mais de fornecedores externos </w:t>
      </w:r>
      <w:r>
        <w:rPr>
          <w:rStyle w:val="TagHipótese"/>
        </w:rPr>
        <w:t>[hipótese]</w:t>
      </w:r>
      <w:r>
        <w:t xml:space="preserve">; a Aster não chega a seguradoras e bancos, 14 das 38 contas </w:t>
      </w:r>
      <w:r>
        <w:rPr>
          <w:rStyle w:val="TagFonte"/>
        </w:rPr>
        <w:t>[fonte: Cap. 2, Quadros 3 e 6]</w:t>
      </w:r>
      <w:r>
        <w:t>. O novo módulo de risco de crédito para os cinco bancos já clientes é exceção ao foco, só até o modo sombra (em paralelo, sem decidir).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608"/>
        <w:gridCol w:w="6463"/>
      </w:tblGrid>
      <w:tr>
        <w:trPr>
          <w:cantSplit/>
          <w:tblHeader w:val="true"/>
        </w:trPr>
        <w:tc>
          <w:tcPr>
            <w:tcW w:type="dxa" w:w="260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Vetor propõe</w:t>
            </w:r>
          </w:p>
        </w:tc>
        <w:tc>
          <w:tcPr>
            <w:tcW w:type="dxa" w:w="6463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Recomendamos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1F6F4"/>
          </w:tcPr>
          <w:p>
            <w:pPr>
              <w:pStyle w:val="LumisTabela"/>
            </w:pPr>
            <w:r>
              <w:t>Triplicar o time técnico</w:t>
            </w:r>
          </w:p>
        </w:tc>
        <w:tc>
          <w:tcPr>
            <w:tcW w:type="dxa" w:w="6463"/>
            <w:shd w:val="clear" w:color="auto" w:fill="F1F6F4"/>
          </w:tcPr>
          <w:p>
            <w:pPr>
              <w:pStyle w:val="LumisTabela"/>
            </w:pPr>
            <w:r>
              <w:t>Contratar em ondas, depois que a regra única de prova e a mesa de campo (condições 2 e 4) estiverem rodando; revisão em 01/2027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pStyle w:val="LumisTabela"/>
            </w:pPr>
            <w:r>
              <w:t>Abrir dois novos países</w:t>
            </w:r>
          </w:p>
        </w:tc>
        <w:tc>
          <w:tcPr>
            <w:tcW w:type="dxa" w:w="6463"/>
          </w:tcPr>
          <w:p>
            <w:pPr>
              <w:pStyle w:val="LumisTabela"/>
            </w:pPr>
            <w:r>
              <w:t xml:space="preserve">Nenhum nesta janela de seis meses; o México é reavaliado ao fim dela, e o segundo país </w:t>
            </w:r>
            <w:r>
              <w:rPr>
                <w:rStyle w:val="TagNãoconsta"/>
              </w:rPr>
              <w:t>[não consta]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1F6F4"/>
          </w:tcPr>
          <w:p>
            <w:pPr>
              <w:pStyle w:val="LumisTabela"/>
              <w:keepNext/>
            </w:pPr>
            <w:r>
              <w:t>Transformar em plataforma</w:t>
            </w:r>
          </w:p>
        </w:tc>
        <w:tc>
          <w:tcPr>
            <w:tcW w:type="dxa" w:w="6463"/>
            <w:shd w:val="clear" w:color="auto" w:fill="F1F6F4"/>
          </w:tcPr>
          <w:p>
            <w:pPr>
              <w:pStyle w:val="LumisTabela"/>
              <w:keepNext/>
            </w:pPr>
            <w:r>
              <w:t>Só 1,0 mês-pessoa, para testar se a prova de desempenho por grupo vira oferta</w:t>
            </w:r>
          </w:p>
        </w:tc>
      </w:tr>
    </w:tbl>
    <w:p>
      <w:pPr>
        <w:pStyle w:val="Caption"/>
      </w:pPr>
      <w:r>
        <w:t>Tabela 1. Uso do aporte. Fonte: Cap. 2, 1.1 (proposta do Vetor); recomendação da equipe.</w:t>
      </w:r>
    </w:p>
    <w:p>
      <w:pPr>
        <w:pStyle w:val="Heading2"/>
      </w:pPr>
      <w:r>
        <w:t>Riscos que assumimos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5216"/>
        <w:gridCol w:w="1587"/>
        <w:gridCol w:w="2268"/>
      </w:tblGrid>
      <w:tr>
        <w:trPr>
          <w:cantSplit/>
          <w:tblHeader w:val="true"/>
        </w:trPr>
        <w:tc>
          <w:tcPr>
            <w:tcW w:type="dxa" w:w="5216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Risco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Quem responde</w:t>
            </w:r>
          </w:p>
        </w:tc>
        <w:tc>
          <w:tcPr>
            <w:tcW w:type="dxa" w:w="226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Resposta</w:t>
            </w:r>
          </w:p>
        </w:tc>
      </w:tr>
      <w:tr>
        <w:trPr>
          <w:cantSplit/>
        </w:trPr>
        <w:tc>
          <w:tcPr>
            <w:tcW w:type="dxa" w:w="5216"/>
            <w:shd w:val="clear" w:color="auto" w:fill="F1F6F4"/>
          </w:tcPr>
          <w:p>
            <w:pPr>
              <w:pStyle w:val="LumisTabela"/>
            </w:pPr>
            <w:r>
              <w:t>A Aster ocupa os hospitais enquanto 78% da capacidade do semestre vai para melhoria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CEO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Crédito por etapas e teste da prova por grupo; revisão ao fim da janela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pStyle w:val="LumisTabela"/>
            </w:pPr>
            <w:r>
              <w:t>As três recusas (veterinário, agente de triagem e México) deixam de lado 57,4% da receita potencial listada (R$ 11,3 mi), sem receita nova garantida na janela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CEO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Revisão ao fim da janela</w:t>
            </w:r>
          </w:p>
        </w:tc>
      </w:tr>
      <w:tr>
        <w:trPr>
          <w:cantSplit/>
        </w:trPr>
        <w:tc>
          <w:tcPr>
            <w:tcW w:type="dxa" w:w="5216"/>
            <w:shd w:val="clear" w:color="auto" w:fill="F1F6F4"/>
          </w:tcPr>
          <w:p>
            <w:pPr>
              <w:pStyle w:val="LumisTabela"/>
            </w:pPr>
            <w:r>
              <w:t xml:space="preserve">A restrição devolve cerca de 154 mil priorizações por mês à triagem dos hospitais </w:t>
            </w:r>
            <w:r>
              <w:rPr>
                <w:rStyle w:val="TagHipótese"/>
              </w:rPr>
              <w:t>[hipótese: distribuição igual à da base]</w:t>
            </w:r>
            <w:r>
              <w:t xml:space="preserve">; carga por hospital e receita afetada </w:t>
            </w:r>
            <w:r>
              <w:rPr>
                <w:rStyle w:val="TagNãoconsta"/>
              </w:rPr>
              <w:t>[não consta]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Head of AI Management e CTO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O modelo em paralelo mede a correção; religar exige os dois cargos</w:t>
            </w:r>
          </w:p>
        </w:tc>
      </w:tr>
      <w:tr>
        <w:trPr>
          <w:cantSplit/>
        </w:trPr>
        <w:tc>
          <w:tcPr>
            <w:tcW w:type="dxa" w:w="5216"/>
          </w:tcPr>
          <w:p>
            <w:pPr>
              <w:pStyle w:val="LumisTabela"/>
            </w:pPr>
            <w:r>
              <w:t>Se a renegociação falhar, a Lumis retira 35,4% dos dados de clientes e retreina; multa da LGPD de até 2% do faturamento, limitada a R$ 50 mi por infração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DPO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Rastrear a origem de cada registro para isolar os frágeis</w:t>
            </w:r>
          </w:p>
        </w:tc>
      </w:tr>
      <w:tr>
        <w:trPr>
          <w:cantSplit/>
        </w:trPr>
        <w:tc>
          <w:tcPr>
            <w:tcW w:type="dxa" w:w="5216"/>
            <w:shd w:val="clear" w:color="auto" w:fill="F1F6F4"/>
          </w:tcPr>
          <w:p>
            <w:pPr>
              <w:pStyle w:val="LumisTabela"/>
              <w:keepNext/>
            </w:pPr>
            <w:r>
              <w:t xml:space="preserve">Triplicar o time antes das intervenções leva gente nova para o mesmo pressuposto </w:t>
            </w:r>
            <w:r>
              <w:rPr>
                <w:rStyle w:val="TagHipótese"/>
              </w:rPr>
              <w:t>[hipótese]</w:t>
            </w:r>
            <w:r>
              <w:t>; o Responsável por Dados está em quase todos os portões, num time com rotatividade de 27%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CEO e CTO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  <w:keepNext/>
            </w:pPr>
            <w:r>
              <w:t>Contratar em ondas, com revisão em 01/2027</w:t>
            </w:r>
          </w:p>
        </w:tc>
      </w:tr>
    </w:tbl>
    <w:p>
      <w:pPr>
        <w:pStyle w:val="Caption"/>
      </w:pPr>
      <w:r>
        <w:t>Tabela 2. Riscos assumidos. Fonte: Cap. 2, Anexo A; LGPD, art. 52, II; contas da equipe.</w:t>
      </w:r>
    </w:p>
    <w:p>
      <w:pPr>
        <w:pStyle w:val="Heading2"/>
      </w:pPr>
      <w:r>
        <w:t>Condições prévias</w:t>
      </w:r>
    </w:p>
    <w:p>
      <w:pPr/>
      <w:r>
        <w:t>Em até 30 dias, antes de fechar com o Vetor:</w:t>
      </w:r>
    </w:p>
    <w:p>
      <w:pPr>
        <w:pStyle w:val="ListNumber"/>
        <w:numPr>
          <w:ilvl w:val="0"/>
          <w:numId w:val="10"/>
        </w:numPr>
      </w:pPr>
      <w:r>
        <w:t>Restringir já a recomendação automática para idosos de CEP C e D/E, com o modelo em paralelo, como prevê o compromisso de Não Amplificação de Danos da Fase 1 (Head of AI Management ordena; CTO executa).</w:t>
      </w:r>
    </w:p>
    <w:p>
      <w:pPr>
        <w:pStyle w:val="ListNumber"/>
        <w:numPr>
          <w:ilvl w:val="0"/>
          <w:numId w:val="10"/>
        </w:numPr>
      </w:pPr>
      <w:r>
        <w:t>Retirar ou tornar auditáveis as cinco afirmações do painel comercial pela regra única de prova: nenhum número de desempenho sai da empresa sem o resultado de campo por grupo (Head of AI Management; o Responsável Comercial aplica).</w:t>
      </w:r>
    </w:p>
    <w:p>
      <w:pPr>
        <w:pStyle w:val="ListNumber"/>
        <w:numPr>
          <w:ilvl w:val="0"/>
          <w:numId w:val="10"/>
        </w:numPr>
      </w:pPr>
      <w:r>
        <w:t>Aprovar a linha de responsabilidade (CEO) e testar a suspensão por cliente e por grupo, com teto de 48 horas e novo teste a cada trimestre (Head of AI Management conduz; CTO executa).</w:t>
      </w:r>
    </w:p>
    <w:p>
      <w:pPr>
        <w:pStyle w:val="ListNumber"/>
        <w:numPr>
          <w:ilvl w:val="0"/>
          <w:numId w:val="10"/>
        </w:numPr>
      </w:pPr>
      <w:r>
        <w:t>Instalar a mesa de campo, reunião quinzenal que lê o erro por grupo cruzado com as reclamações, com primeira reunião em 15 dias (Responsável por Produto; o cruzamento é do Responsável por Dados).</w:t>
      </w:r>
    </w:p>
    <w:p>
      <w:pPr>
        <w:pStyle w:val="ListNumber"/>
        <w:numPr>
          <w:ilvl w:val="0"/>
          <w:numId w:val="10"/>
        </w:numPr>
      </w:pPr>
      <w:r>
        <w:t>Obter o parecer da DPO sobre os seis instrumentos de dados antes do próximo treino; registro sem base fica fora do treino.</w:t>
      </w:r>
    </w:p>
    <w:p>
      <w:pPr/>
      <w:r>
        <w:t>Antes do vencimento dos contratos:</w:t>
      </w:r>
    </w:p>
    <w:p>
      <w:pPr>
        <w:pStyle w:val="ListNumber"/>
        <w:numPr>
          <w:ilvl w:val="0"/>
          <w:numId w:val="11"/>
        </w:numPr>
      </w:pPr>
      <w:r>
        <w:t>Assinar aditivos de direito de uso com a Seguradora Prisma (antes de 12/2026) e o Hospital Vila Ipê (antes de 03/2027), incluindo o histórico (DPO).</w:t>
      </w:r>
    </w:p>
    <w:p>
      <w:pPr/>
      <w:r>
        <w:t>Antes de cada frente nova (país, plataforma ou novo módulo de crédito em produção), a CEO decide se ela entra, com parecer obrigatório do Head of AI Management e da DPO, e exige:</w:t>
      </w:r>
    </w:p>
    <w:p>
      <w:pPr>
        <w:pStyle w:val="ListNumber"/>
        <w:numPr>
          <w:ilvl w:val="0"/>
          <w:numId w:val="12"/>
        </w:numPr>
      </w:pPr>
      <w:r>
        <w:t xml:space="preserve">política de privacidade para dados de saúde aprovada (DPO; previsão de aprovação </w:t>
      </w:r>
      <w:r>
        <w:rPr>
          <w:rStyle w:val="TagNãoconsta"/>
        </w:rPr>
        <w:t>[não consta]</w:t>
      </w:r>
      <w:r>
        <w:t>);</w:t>
      </w:r>
    </w:p>
    <w:p>
      <w:pPr>
        <w:pStyle w:val="ListNumber"/>
        <w:numPr>
          <w:ilvl w:val="0"/>
          <w:numId w:val="12"/>
        </w:numPr>
      </w:pPr>
      <w:r>
        <w:t>erro por grupo no Brasil até 2 vezes o do melhor e já publicado na métrica pública;</w:t>
      </w:r>
    </w:p>
    <w:p>
      <w:pPr>
        <w:pStyle w:val="ListNumber"/>
        <w:numPr>
          <w:ilvl w:val="0"/>
          <w:numId w:val="12"/>
        </w:numPr>
      </w:pPr>
      <w:r>
        <w:t>validação local por grupo, com amostra suficiente, e lei de dados do país conferida pela DPO;</w:t>
      </w:r>
    </w:p>
    <w:p>
      <w:pPr>
        <w:pStyle w:val="ListNumber"/>
        <w:numPr>
          <w:ilvl w:val="0"/>
          <w:numId w:val="12"/>
        </w:numPr>
      </w:pPr>
      <w:r>
        <w:t>relatório de impacto à proteção de dados (LGPD, art. 38) da plataforma e de cada país;</w:t>
      </w:r>
    </w:p>
    <w:p>
      <w:pPr>
        <w:pStyle w:val="ListNumber"/>
        <w:numPr>
          <w:ilvl w:val="0"/>
          <w:numId w:val="12"/>
        </w:numPr>
      </w:pPr>
      <w:r>
        <w:t>no novo módulo de crédito, dado de saúde fora do modelo e aprovação por faixa de CEP de pelo menos 0,8 da melhor;</w:t>
      </w:r>
    </w:p>
    <w:p>
      <w:pPr>
        <w:pStyle w:val="ListNumber"/>
        <w:numPr>
          <w:ilvl w:val="0"/>
          <w:numId w:val="12"/>
        </w:numPr>
      </w:pPr>
      <w:r>
        <w:t>modo sombra até quatro leituras quinzenais com o pior grupo até 1,5 vez o melhor, responsável do domínio nomeado e suspensão testada no novo mercado.</w:t>
      </w:r>
    </w:p>
    <w:p>
      <w:pPr>
        <w:pStyle w:val="Heading2"/>
      </w:pPr>
      <w:r>
        <w:t>O que pedimos ao conselho</w:t>
      </w:r>
    </w:p>
    <w:p>
      <w:pPr>
        <w:pStyle w:val="ListNumber"/>
        <w:numPr>
          <w:ilvl w:val="0"/>
          <w:numId w:val="13"/>
        </w:numPr>
      </w:pPr>
      <w:r>
        <w:t>Aprovar a direção e a cláusula de saída para negociar com o Vetor.</w:t>
      </w:r>
    </w:p>
    <w:p>
      <w:pPr>
        <w:pStyle w:val="ListNumber"/>
        <w:numPr>
          <w:ilvl w:val="0"/>
          <w:numId w:val="13"/>
        </w:numPr>
      </w:pPr>
      <w:r>
        <w:t>Endossar a restrição imediata e as três recusas.</w:t>
      </w:r>
    </w:p>
    <w:p>
      <w:pPr>
        <w:pStyle w:val="LumisNota"/>
      </w:pPr>
      <w:r>
        <w:t>Detalhe e fontes no dossiê da Fase 2. Metas, limites, prazos e cargos são propostas da equipe sobre o Cap. 2, Anexo A.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6B7C85"/>
        <w:sz w:val="17"/>
      </w:rPr>
      <w:t xml:space="preserve">Lumis Intelligence · Gestão em IA (FIAP) · página </w:t>
    </w:r>
    <w:r>
      <w:rPr>
        <w:color w:val="6B7C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4" w:space="4" w:color="0F2D3A"/>
      </w:pBdr>
    </w:pPr>
    <w:r/>
    <w:r>
      <w:drawing>
        <wp:inline xmlns:a="http://schemas.openxmlformats.org/drawingml/2006/main" xmlns:pic="http://schemas.openxmlformats.org/drawingml/2006/picture">
          <wp:extent cx="1152000" cy="248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color w:val="6B7C85"/>
        <w:sz w:val="17"/>
      </w:rPr>
      <w:tab/>
      <w:t>Fase 2 · Memorando ao conselho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6"/>
    </w:lvlOverride>
  </w:num>
  <w:num w:numId="12">
    <w:abstractNumId w:val="7"/>
    <w:lvlOverride w:ilvl="0">
      <w:startOverride w:val="7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cs="Calibri" w:eastAsia="Calibri"/>
      <w:b w:val="0"/>
      <w:i w:val="0"/>
      <w:color w:val="1825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  <w:pBdr>
        <w:bottom w:val="single" w:sz="8" w:space="4" w:color="3DBE93"/>
      </w:pBdr>
    </w:pPr>
    <w:rPr>
      <w:rFonts w:ascii="Georgia" w:hAnsi="Georgia" w:cs="Georgia" w:eastAsia="Georgia"/>
      <w:b w:val="0"/>
      <w:bCs/>
      <w:i w:val="0"/>
      <w:color w:val="0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hAnsi="Georgia" w:cs="Georgia" w:eastAsia="Georgia"/>
      <w:b w:val="0"/>
      <w:bCs/>
      <w:i w:val="0"/>
      <w:color w:val="0F2D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="Calibri" w:hAnsi="Calibri" w:cs="Calibri" w:eastAsia="Calibri"/>
      <w:b/>
      <w:bCs/>
      <w:i w:val="0"/>
      <w:color w:val="0F2D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="Georgia" w:hAnsi="Georgia" w:cs="Georgia" w:eastAsia="Georgia"/>
      <w:b w:val="0"/>
      <w:i w:val="0"/>
      <w:color w:val="0F2D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="Calibri" w:hAnsi="Calibri" w:cs="Calibri" w:eastAsia="Calibri"/>
      <w:b w:val="0"/>
      <w:i w:val="0"/>
      <w:iCs/>
      <w:color w:val="6B7C8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 w:cs="Calibri" w:eastAsia="Calibri"/>
      <w:b w:val="0"/>
      <w:bCs/>
      <w:i/>
      <w:color w:val="6B7C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spacing w:before="120" w:after="200" w:line="300" w:lineRule="auto"/>
      <w:ind w:left="227"/>
      <w:pBdr>
        <w:left w:val="single" w:sz="24" w:space="10" w:color="3DBE93"/>
      </w:pBdr>
      <w:shd w:val="clear" w:color="auto" w:fill="EEF7F3"/>
    </w:pPr>
    <w:rPr>
      <w:rFonts w:ascii="Georgia" w:hAnsi="Georgia" w:cs="Georgia" w:eastAsia="Georgia"/>
      <w:b w:val="0"/>
      <w:i/>
      <w:color w:val="0F2D3A"/>
      <w:sz w:val="24"/>
    </w:rPr>
  </w:style>
  <w:style w:type="paragraph" w:customStyle="1" w:styleId="LumisRótulo">
    <w:name w:val="Lumis Rótulo"/>
    <w:basedOn w:val="Normal"/>
    <w:qFormat/>
    <w:pPr>
      <w:spacing w:before="0" w:after="40" w:line="240" w:lineRule="auto"/>
    </w:pPr>
    <w:rPr>
      <w:rFonts w:ascii="Calibri" w:hAnsi="Calibri" w:cs="Calibri" w:eastAsia="Calibri"/>
      <w:b/>
      <w:i w:val="0"/>
      <w:color w:val="1E8C6B"/>
      <w:sz w:val="18"/>
      <w:spacing w:val="30"/>
      <w:caps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rFonts w:ascii="Calibri" w:hAnsi="Calibri" w:cs="Calibri" w:eastAsia="Calibri"/>
      <w:b w:val="0"/>
      <w:i w:val="0"/>
      <w:color w:val="18252C"/>
      <w:sz w:val="19"/>
    </w:rPr>
  </w:style>
  <w:style w:type="paragraph" w:customStyle="1" w:styleId="LumisNota">
    <w:name w:val="Lumis Nota"/>
    <w:basedOn w:val="Normal"/>
    <w:qFormat/>
    <w:pPr>
      <w:spacing w:before="0" w:after="80" w:line="264" w:lineRule="auto"/>
    </w:pPr>
    <w:rPr>
      <w:rFonts w:ascii="Calibri" w:hAnsi="Calibri" w:cs="Calibri" w:eastAsia="Calibri"/>
      <w:b w:val="0"/>
      <w:i w:val="0"/>
      <w:color w:val="6B7C85"/>
      <w:sz w:val="18"/>
    </w:rPr>
  </w:style>
  <w:style w:type="character" w:customStyle="1" w:styleId="TagFonte">
    <w:name w:val="Tag Fonte"/>
    <w:qFormat/>
    <w:rPr>
      <w:rFonts w:ascii="Calibri" w:hAnsi="Calibri" w:cs="Calibri" w:eastAsia="Calibri"/>
      <w:b/>
      <w:i w:val="0"/>
      <w:color w:val="1E8C6B"/>
      <w:sz w:val="18"/>
    </w:rPr>
  </w:style>
  <w:style w:type="character" w:customStyle="1" w:styleId="TagHipótese">
    <w:name w:val="Tag Hipótese"/>
    <w:qFormat/>
    <w:rPr>
      <w:rFonts w:ascii="Calibri" w:hAnsi="Calibri" w:cs="Calibri" w:eastAsia="Calibri"/>
      <w:b/>
      <w:i w:val="0"/>
      <w:color w:val="B7791F"/>
      <w:sz w:val="18"/>
    </w:rPr>
  </w:style>
  <w:style w:type="character" w:customStyle="1" w:styleId="TagNãoconsta">
    <w:name w:val="Tag Não consta"/>
    <w:qFormat/>
    <w:rPr>
      <w:rFonts w:ascii="Calibri" w:hAnsi="Calibri" w:cs="Calibri" w:eastAsia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hAnsi="Calibri" w:cs="Calibri" w:eastAsia="Calibri"/>
      <w:b/>
      <w:i w:val="0"/>
      <w:color w:val="B444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