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Cultura e Funil de Inovação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O que separa o técnico do comercial, como decidir o que se constrói e o que recusamos</w:t>
      </w:r>
      <w:r>
        <w:rPr>
          <w:lang w:val="pt-BR"/>
        </w:rPr>
      </w:r>
    </w:p>
    <w:p>
      <w:pPr>
        <w:pStyle w:val="LumisDestaque"/>
      </w:pPr>
      <w:r>
        <w:t>O técnico e o comercial discordam sobre quanto tempo validar, mas partem da mesma crença: a qualidade se prova antes de o produto ir a campo, pela média. Propomos um único critério para decidir o que se promete e o que se constrói, o desempenho medido em campo por grupo de pacientes, e com ele recusamos três dos sete pedidos do backlog.</w:t>
      </w:r>
    </w:p>
    <w:p>
      <w:pPr/>
      <w:r>
        <w:t>O enunciado trata a fratura interna e o excesso de oportunidades como um problema só: falta um critério que as áreas aceitem. Os dados mostram onde ele falta.</w:t>
      </w:r>
    </w:p>
    <w:p>
      <w:pPr>
        <w:pStyle w:val="Commarcadores"/>
      </w:pPr>
      <w:r>
        <w:rPr>
          <w:b/>
        </w:rPr>
        <w:t>Na promessa.</w:t>
      </w:r>
      <w:r>
        <w:t xml:space="preserve"> Só 22% do time técnico concorda que a Lumis promete ao cliente o que o produto entrega. No comercial, são 79% </w:t>
      </w:r>
      <w:r>
        <w:rPr>
          <w:rStyle w:val="TagFonte"/>
        </w:rPr>
        <w:t>[fonte: Cap. 2, Quadro 15]</w:t>
      </w:r>
      <w:r>
        <w:t>.</w:t>
      </w:r>
    </w:p>
    <w:p>
      <w:pPr>
        <w:pStyle w:val="Commarcadores"/>
      </w:pPr>
      <w:r>
        <w:rPr>
          <w:b/>
        </w:rPr>
        <w:t>No backlog.</w:t>
      </w:r>
      <w:r>
        <w:t xml:space="preserve"> Os pedidos somam 97 meses-pessoa, mais de três vezes os 30 disponíveis no semestre, e estão organizados por quem pediu, sem critério de risco, de prova ou de encerramento </w:t>
      </w:r>
      <w:r>
        <w:rPr>
          <w:rStyle w:val="TagFonte"/>
        </w:rPr>
        <w:t>[fonte: Cap. 2, Quadro 16]</w:t>
      </w:r>
      <w:r>
        <w:t>.</w:t>
      </w:r>
    </w:p>
    <w:p>
      <w:pPr>
        <w:pStyle w:val="Commarcadores"/>
      </w:pPr>
      <w:r>
        <w:rPr>
          <w:b/>
        </w:rPr>
        <w:t>Na escalada.</w:t>
      </w:r>
      <w:r>
        <w:t xml:space="preserve"> Em todos os grupos, só 21% a 29% sabem a quem levar um problema ético do produto </w:t>
      </w:r>
      <w:r>
        <w:rPr>
          <w:rStyle w:val="TagFonte"/>
        </w:rPr>
        <w:t>[fonte: Cap. 2, Quadro 15]</w:t>
      </w:r>
      <w:r>
        <w:t>.</w:t>
      </w:r>
    </w:p>
    <w:p>
      <w:pPr>
        <w:pStyle w:val="Ttulo1"/>
      </w:pPr>
      <w:r>
        <w:t>1. A cultura em três camadas</w:t>
      </w:r>
    </w:p>
    <w:p>
      <w:pPr/>
      <w:r>
        <w:t xml:space="preserve">Usamos as três camadas de Schein¹: o que se vê, o que se diz e o que o grupo dá como óbvio sem perceber. O técnico vê a promessa longe da entrega e se diz pouco ouvido; o comercial vê o contrário. A rotatividade em doze meses foi de 19% na empresa e de 27% no time de dados </w:t>
      </w:r>
      <w:r>
        <w:rPr>
          <w:rStyle w:val="TagFonte"/>
        </w:rPr>
        <w:t>[fonte: Cap. 2, Quadro 15]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94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fig1_cli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Concordância com cada afirmação, por grupo. Pesquisa de julho de 2026, 81 respostas de 96 colaboradores. Fonte: Cap. 2, Quadro 15.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7030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7030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encontramos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Artefatos</w:t>
            </w:r>
          </w:p>
        </w:tc>
        <w:tc>
          <w:tcPr>
            <w:tcW w:type="dxa" w:w="7030"/>
          </w:tcPr>
          <w:p>
            <w:pPr>
              <w:pStyle w:val="LumisTabela"/>
              <w:keepNext/>
            </w:pPr>
            <w:r>
              <w:t>O número de vitrine (94% de acurácia) vem de uma validação de 2023 e continua no material; em campo, o resultado é 87,6%. Um erro corrigido no sistema em 01/2026 seguiu no material comercial. O erro por grupo foi medido pelo hospital, e as reclamações nunca foram cruzadas com o desempenho. O backlog registra quem pediu, e não o risco.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Valores declarados</w:t>
            </w:r>
          </w:p>
        </w:tc>
        <w:tc>
          <w:tcPr>
            <w:tcW w:type="dxa" w:w="7030"/>
            <w:shd w:val="clear" w:color="auto" w:fill="F1F6F4"/>
          </w:tcPr>
          <w:p>
            <w:pPr>
              <w:pStyle w:val="LumisTabela"/>
              <w:keepNext/>
            </w:pPr>
            <w:r>
              <w:t>O técnico diz que o comercial promete o que o produto não entrega. O comercial diz que o técnico atrasa tudo em nome de um rigor que o cliente não pede.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Pressupostos</w:t>
            </w:r>
          </w:p>
        </w:tc>
        <w:tc>
          <w:tcPr>
            <w:tcW w:type="dxa" w:w="7030"/>
          </w:tcPr>
          <w:p>
            <w:pPr>
              <w:pStyle w:val="LumisTabela"/>
              <w:keepNext/>
            </w:pPr>
            <w:r>
              <w:t>Cada área acredita vender uma coisa: confiabilidade ou velocidade. Por baixo das duas, a mesma crença: "aqui, modelo validado é modelo bom".</w:t>
            </w:r>
          </w:p>
        </w:tc>
      </w:tr>
    </w:tbl>
    <w:p>
      <w:pPr>
        <w:pStyle w:val="Legenda"/>
      </w:pPr>
      <w:r>
        <w:t>Tabela 1. A cultura da Lumis nas três camadas. Fonte: Cap. 2, seções 1.2 e 2.5 e Quadros 9, 10, 11, 14, 16 e 17; leitura da equipe.</w:t>
      </w:r>
    </w:p>
    <w:p>
      <w:pPr/>
      <w:r>
        <w:rPr>
          <w:b/>
        </w:rPr>
        <w:t>O pressuposto profundo</w:t>
      </w:r>
      <w:r>
        <w:t xml:space="preserve"> </w:t>
      </w:r>
      <w:r>
        <w:rPr>
          <w:rStyle w:val="TagHiptese"/>
        </w:rPr>
        <w:t>[hipótese]</w:t>
      </w:r>
      <w:r>
        <w:t xml:space="preserve">: "Aqui, modelo validado é modelo bom: a qualidade se prova antes de o produto ir a campo, pela média, e depois disso o número vale." O capítulo descreve a crença de cada área, confiabilidade para uma e velocidade para a outra </w:t>
      </w:r>
      <w:r>
        <w:rPr>
          <w:rStyle w:val="TagFonte"/>
        </w:rPr>
        <w:t>[fonte: Cap. 2, 2.5]</w:t>
      </w:r>
      <w:r>
        <w:t xml:space="preserve">, e as duas aceitam essa premissa. Se a qualidade se resolve antes, só resta discutir quanto tempo gastar antes, e sem número de campo por grupo a discussão não tem árbitro. Por isso ela nunca chegou "para uma sala onde ela poderia ser resolvida" </w:t>
      </w:r>
      <w:r>
        <w:rPr>
          <w:rStyle w:val="TagFonte"/>
        </w:rPr>
        <w:t>[fonte: Cap. 2, 1.2]</w:t>
      </w:r>
      <w:r>
        <w:t>.</w:t>
      </w:r>
    </w:p>
    <w:p>
      <w:pPr/>
      <w:r>
        <w:t xml:space="preserve">A crença comum explica o que a leitura de cada área não explica: por que as duas concordam em não saber a quem escalar, por que nenhuma mediu o erro por grupo antes do hospital e por que o comercial tem mais voz (63% contra 34%). Depois do lançamento, a única informação nova que circula é a do cliente que compra, e quem a traz é o comercial </w:t>
      </w:r>
      <w:r>
        <w:rPr>
          <w:rStyle w:val="TagHiptese"/>
        </w:rPr>
        <w:t>[hipótese]</w:t>
      </w:r>
      <w:r>
        <w:t>. Inferimos o pressuposto de quadros, sem entrevistas; a mesa de campo e a pesquisa de 01/2027 servem para testá-lo.</w:t>
      </w:r>
    </w:p>
    <w:p>
      <w:pPr>
        <w:pStyle w:val="Ttulo1"/>
      </w:pPr>
      <w:r>
        <w:t>2. Duas intervenções</w:t>
      </w:r>
    </w:p>
    <w:p>
      <w:pPr/>
      <w:r>
        <w:t xml:space="preserve">Comunicado interno não resolve pressuposto </w:t>
      </w:r>
      <w:r>
        <w:rPr>
          <w:rStyle w:val="TagFonte"/>
        </w:rPr>
        <w:t>[fonte: Cap. 2, 2.5]</w:t>
      </w:r>
      <w:r>
        <w:t>. As duas intervenções mudam o que se mede e quem decide.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3969"/>
        <w:gridCol w:w="1701"/>
        <w:gridCol w:w="1587"/>
        <w:gridCol w:w="1587"/>
      </w:tblGrid>
      <w:tr>
        <w:trPr>
          <w:tblHeader w:val="true"/>
          <w:cantSplit/>
        </w:trPr>
        <w:tc>
          <w:tcPr>
            <w:tcW w:type="dxa" w:w="3969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Intervenção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Prazo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Sinal de que funcionou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pStyle w:val="LumisTabela"/>
              <w:keepNext/>
            </w:pPr>
            <w:r>
              <w:rPr>
                <w:b/>
              </w:rPr>
              <w:t>A. Regra única de prova.</w:t>
            </w:r>
            <w:r>
              <w:t xml:space="preserve"> Nenhum número de desempenho sai da empresa sem o resultado de campo aberto por grupo, com amostra e data. Vale para material, proposta, aditivo e liberação de versão. Incidente só fecha com o material corrigido.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Head of AI Management; o Responsável Comercial aplica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30 dias para as cinco afirmações do painel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Afirmações públicas auditáveis: de 0 para 5 de 5, ou retiradas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1F6F4"/>
          </w:tcPr>
          <w:p>
            <w:pPr>
              <w:pStyle w:val="LumisTabela"/>
              <w:keepNext/>
            </w:pPr>
            <w:r>
              <w:rPr>
                <w:b/>
              </w:rPr>
              <w:t>B. Mesa de campo quinzenal.</w:t>
            </w:r>
            <w:r>
              <w:t xml:space="preserve"> Técnico, comercial, dados, produto e DPO leem juntos o erro por grupo e as reclamações por faixa de CEP. A mesa propõe o prazo de validação, que o CTO decide, e responde com data aos pedidos do comercial.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Responsável por Produto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Primeira reunião em 15 dias; prazos de validação publicados em 60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Reclamações cruzadas com o desempenho: de nunca para toda quinzena</w:t>
            </w:r>
          </w:p>
        </w:tc>
      </w:tr>
    </w:tbl>
    <w:p>
      <w:pPr>
        <w:pStyle w:val="Legenda"/>
      </w:pPr>
      <w:r>
        <w:t>Tabela 2. As duas intervenções. Responsáveis, prazos e metas são proposta da equipe. Linhas de base: Cap. 2, Quadros 11 e 17; Entrega 2.</w:t>
      </w:r>
    </w:p>
    <w:p>
      <w:pPr/>
      <w:r>
        <w:t xml:space="preserve">A regra produz o número por grupo, e a mesa é onde ele vira decisão de produto e de venda. A mesa usa o horário da leitura quinzenal que o compromisso de Não Amplificação de Danos já prevê, e as duas áreas ganham algo: o técnico, prazo de validação com regra; o comercial, prazo conhecido e um número que resiste a uma due diligence. Para medir a percepção, repetimos as afirmações da Figura 1 numa pesquisa curta em 01/2027, aplicada por terceiro, e esperamos pelo menos 10 pontos a mais no técnico e em "sei a quem escalar" (hoje cerca de 26% de quem respondeu) </w:t>
      </w:r>
      <w:r>
        <w:rPr>
          <w:rStyle w:val="TagFonte"/>
        </w:rPr>
        <w:t>[fonte: Cap. 2, Quadro 15]</w:t>
      </w:r>
      <w:r>
        <w:t>. O resultado é julgado na pesquisa de 07/2027.</w:t>
      </w:r>
    </w:p>
    <w:p>
      <w:pPr>
        <w:pStyle w:val="Ttulo1"/>
      </w:pPr>
      <w:r>
        <w:t>3. Funil de inovação</w:t>
      </w:r>
    </w:p>
    <w:p>
      <w:pPr/>
      <w:r>
        <w:t>Cada passagem é um portão com quatro saídas: seguir, encerrar, pausar com data ou voltar, como no Stage-Gate². Os critérios são eliminatórios, sem nota somada, para que receita não compense risco aos pacientes. O portão segue a Entrega 3: o Responsável por Produto leva o pedido, a CEO decide e o Head of AI Management e a DPO dão parecer.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13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fig2_fun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2. As cinco etapas, o que é preciso para avançar e o que o comercial pode dizer em cada uma. Proposta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701"/>
        <w:gridCol w:w="2097"/>
        <w:gridCol w:w="3175"/>
        <w:gridCol w:w="1871"/>
      </w:tblGrid>
      <w:tr>
        <w:trPr>
          <w:tblHeader w:val="true"/>
          <w:cantSplit/>
        </w:trPr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09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Entra quando</w:t>
            </w:r>
          </w:p>
        </w:tc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Avança quando</w:t>
            </w:r>
          </w:p>
        </w:tc>
        <w:tc>
          <w:tcPr>
            <w:tcW w:type="dxa" w:w="187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Encerra quando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LumisTabela"/>
              <w:keepNext/>
            </w:pPr>
            <w:r>
              <w:t>Entrada</w:t>
            </w:r>
          </w:p>
        </w:tc>
        <w:tc>
          <w:tcPr>
            <w:tcW w:type="dxa" w:w="2098"/>
          </w:tcPr>
          <w:p>
            <w:pPr>
              <w:pStyle w:val="LumisTabela"/>
              <w:keepNext/>
            </w:pPr>
            <w:r>
              <w:t>Ficha com problema, cliente nomeado, base legal dos dados e métrica de sucesso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Cliente no foco da Entrega 1 ou exceção registrada; nenhuma dependência nova de fornecedor único; nada contra os compromissos; responsável com cargo</w:t>
            </w:r>
          </w:p>
        </w:tc>
        <w:tc>
          <w:tcPr>
            <w:tcW w:type="dxa" w:w="1871"/>
          </w:tcPr>
          <w:p>
            <w:pPr>
              <w:pStyle w:val="LumisTabela"/>
              <w:keepNext/>
            </w:pPr>
            <w:r>
              <w:t>Falha em qualquer critério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Descoberta (até 10% do esforço)</w:t>
            </w:r>
          </w:p>
        </w:tc>
        <w:tc>
          <w:tcPr>
            <w:tcW w:type="dxa" w:w="2098"/>
            <w:shd w:val="clear" w:color="auto" w:fill="F1F6F4"/>
          </w:tcPr>
          <w:p>
            <w:pPr>
              <w:pStyle w:val="LumisTabela"/>
              <w:keepNext/>
            </w:pPr>
            <w:r>
              <w:t>Aprovada na Entrada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Cliente com intenção de compra e dados autorizados por escrito; amostra para medir o erro em todo grupo; responsável do domínio nomeado</w:t>
            </w:r>
          </w:p>
        </w:tc>
        <w:tc>
          <w:tcPr>
            <w:tcW w:type="dxa" w:w="1871"/>
            <w:shd w:val="clear" w:color="auto" w:fill="F1F6F4"/>
          </w:tcPr>
          <w:p>
            <w:pPr>
              <w:pStyle w:val="LumisTabela"/>
              <w:keepNext/>
            </w:pPr>
            <w:r>
              <w:t>A fatia ou o prazo acabam e falta algum item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LumisTabela"/>
              <w:keepNext/>
            </w:pPr>
            <w:r>
              <w:t>Modo sombra (até mais 30%)</w:t>
            </w:r>
          </w:p>
        </w:tc>
        <w:tc>
          <w:tcPr>
            <w:tcW w:type="dxa" w:w="2098"/>
          </w:tcPr>
          <w:p>
            <w:pPr>
              <w:pStyle w:val="LumisTabela"/>
              <w:keepNext/>
            </w:pPr>
            <w:r>
              <w:t>Roda em paralelo, sem decidir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Quatro leituras quinzenais com o pior grupo até 1,5 vez o erro do melhor (no crédito, aprovação por faixa de CEP de pelo menos 0,8 da melhor)</w:t>
            </w:r>
          </w:p>
        </w:tc>
        <w:tc>
          <w:tcPr>
            <w:tcW w:type="dxa" w:w="1871"/>
          </w:tcPr>
          <w:p>
            <w:pPr>
              <w:pStyle w:val="LumisTabela"/>
              <w:keepNext/>
            </w:pPr>
            <w:r>
              <w:t>Seis leituras com algum grupo acima de 2 vezes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Produção limitada</w:t>
            </w:r>
          </w:p>
        </w:tc>
        <w:tc>
          <w:tcPr>
            <w:tcW w:type="dxa" w:w="2098"/>
            <w:shd w:val="clear" w:color="auto" w:fill="F1F6F4"/>
          </w:tcPr>
          <w:p>
            <w:pPr>
              <w:pStyle w:val="LumisTabela"/>
              <w:keepNext/>
            </w:pPr>
            <w:r>
              <w:t>Condições da Entrega 5; autorização da CEO por cliente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Leitura sem piora em nenhum grupo; número publicado</w:t>
            </w:r>
          </w:p>
        </w:tc>
        <w:tc>
          <w:tcPr>
            <w:tcW w:type="dxa" w:w="1871"/>
            <w:shd w:val="clear" w:color="auto" w:fill="F1F6F4"/>
          </w:tcPr>
          <w:p>
            <w:pPr>
              <w:pStyle w:val="LumisTabela"/>
              <w:keepNext/>
            </w:pPr>
            <w:r>
              <w:t>Sem correção em seis leituras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LumisTabela"/>
              <w:keepNext/>
            </w:pPr>
            <w:r>
              <w:t>Escala</w:t>
            </w:r>
          </w:p>
        </w:tc>
        <w:tc>
          <w:tcPr>
            <w:tcW w:type="dxa" w:w="2098"/>
          </w:tcPr>
          <w:p>
            <w:pPr>
              <w:pStyle w:val="LumisTabela"/>
              <w:keepNext/>
            </w:pPr>
            <w:r>
              <w:t>Auditoria independente contratada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Indicadores contínuos</w:t>
            </w:r>
          </w:p>
        </w:tc>
        <w:tc>
          <w:tcPr>
            <w:tcW w:type="dxa" w:w="1871"/>
          </w:tcPr>
          <w:p>
            <w:pPr>
              <w:pStyle w:val="LumisTabela"/>
              <w:keepNext/>
            </w:pPr>
            <w:r>
              <w:t>Suspensão pela Entrega 3</w:t>
            </w:r>
          </w:p>
        </w:tc>
      </w:tr>
    </w:tbl>
    <w:p>
      <w:pPr>
        <w:pStyle w:val="Legenda"/>
      </w:pPr>
      <w:r>
        <w:t>Tabela 3. Critérios de entrada, avanço e encerramento. Fatias e número de leituras são proposta da equipe; os limites de erro repetem as Entregas 2, 3 e 5.</w:t>
      </w:r>
    </w:p>
    <w:p>
      <w:pPr>
        <w:pStyle w:val="Commarcadores"/>
      </w:pPr>
      <w:r>
        <w:rPr>
          <w:b/>
        </w:rPr>
        <w:t>Quem pediu não decide.</w:t>
      </w:r>
      <w:r>
        <w:t xml:space="preserve"> Os pedidos do sócio-fundador, do investidor e do comercial passam pelo mesmo portão. A CEO só decide contra um parecer contrário por escrito, e o caso vai ao conselho.</w:t>
      </w:r>
    </w:p>
    <w:p>
      <w:pPr>
        <w:pStyle w:val="Commarcadores"/>
      </w:pPr>
      <w:r>
        <w:rPr>
          <w:b/>
        </w:rPr>
        <w:t>Recurso por etapa e encerramento definido antes.</w:t>
      </w:r>
      <w:r>
        <w:t xml:space="preserve"> Nenhuma iniciativa passa de 10 meses-pessoa sem nova decisão. Encerra a que gastar a fatia sem evidência nova, não obtiver o direito de uso dos dados até a data marcada ou tiver a estimativa de esforço aumentada em mais de 50%. Pipeline, explicabilidade e ISO/IEC 42001 entram pelo mesmo portão e recebem recurso por marco de entrega.</w:t>
      </w:r>
    </w:p>
    <w:p>
      <w:pPr>
        <w:pStyle w:val="Ttulo1"/>
      </w:pPr>
      <w:r>
        <w:t>4. Distribuição dos 30 meses-pessoa</w:t>
      </w:r>
    </w:p>
    <w:p>
      <w:pPr/>
      <w:r>
        <w:t>Proporção fixa não funciona aqui: na divisão 70/20/10 de Nagji e Tuff³, a faixa adjacente teria 6 meses-pessoa, e a menor iniciativa adjacente pede 11. Financiamos etapas, e a proporção resulta da ordem de prioridade: compromisso já assumido, depois o ativo que a Entrega 1 aponta, depois a receita por esforço.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882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fig3_capacida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3. O backlog contra a capacidade do semestre. Fonte: Cap. 2, Quadro 16; distribuição proposta pela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041"/>
        <w:gridCol w:w="5443"/>
        <w:gridCol w:w="1360"/>
      </w:tblGrid>
      <w:tr>
        <w:trPr>
          <w:tblHeader w:val="true"/>
          <w:cantSplit/>
        </w:trPr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Horizonte</w:t>
            </w:r>
          </w:p>
        </w:tc>
        <w:tc>
          <w:tcPr>
            <w:tcW w:type="dxa" w:w="5443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recebe</w:t>
            </w:r>
          </w:p>
        </w:tc>
        <w:tc>
          <w:tcPr>
            <w:tcW w:type="dxa" w:w="136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Meses-pessoa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LumisTabela"/>
              <w:keepNext/>
            </w:pPr>
            <w:r>
              <w:t>Melhoria do produto atual</w:t>
            </w:r>
          </w:p>
        </w:tc>
        <w:tc>
          <w:tcPr>
            <w:tcW w:type="dxa" w:w="5443"/>
          </w:tcPr>
          <w:p>
            <w:pPr>
              <w:pStyle w:val="LumisTabela"/>
              <w:keepNext/>
            </w:pPr>
            <w:r>
              <w:t>Compromissos já assumidos 3,0; correção do viés 3,5; explicabilidade 9,0; primeira fatia do pipeline 7,2; diagnóstico da ISO/IEC 42001 0,7</w:t>
            </w:r>
          </w:p>
        </w:tc>
        <w:tc>
          <w:tcPr>
            <w:tcW w:type="dxa" w:w="1361"/>
          </w:tcPr>
          <w:p>
            <w:pPr>
              <w:pStyle w:val="LumisTabela"/>
              <w:keepNext/>
            </w:pPr>
            <w:r>
              <w:t>23,4 (78%)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Expansão adjacente</w:t>
            </w:r>
          </w:p>
        </w:tc>
        <w:tc>
          <w:tcPr>
            <w:tcW w:type="dxa" w:w="5443"/>
            <w:shd w:val="clear" w:color="auto" w:fill="F1F6F4"/>
          </w:tcPr>
          <w:p>
            <w:pPr>
              <w:pStyle w:val="LumisTabela"/>
              <w:keepNext/>
            </w:pPr>
            <w:r>
              <w:t>Crédito para bancos, até o modo sombra</w:t>
            </w:r>
          </w:p>
        </w:tc>
        <w:tc>
          <w:tcPr>
            <w:tcW w:type="dxa" w:w="1361"/>
            <w:shd w:val="clear" w:color="auto" w:fill="F1F6F4"/>
          </w:tcPr>
          <w:p>
            <w:pPr>
              <w:pStyle w:val="LumisTabela"/>
              <w:keepNext/>
            </w:pPr>
            <w:r>
              <w:t>5,6 (19%)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pStyle w:val="LumisTabela"/>
              <w:keepNext/>
            </w:pPr>
            <w:r>
              <w:t>Transformação</w:t>
            </w:r>
          </w:p>
        </w:tc>
        <w:tc>
          <w:tcPr>
            <w:tcW w:type="dxa" w:w="5443"/>
          </w:tcPr>
          <w:p>
            <w:pPr>
              <w:pStyle w:val="LumisTabela"/>
              <w:keepNext/>
            </w:pPr>
            <w:r>
              <w:t>Descoberta da prova de desempenho por grupo como oferta</w:t>
            </w:r>
          </w:p>
        </w:tc>
        <w:tc>
          <w:tcPr>
            <w:tcW w:type="dxa" w:w="1361"/>
          </w:tcPr>
          <w:p>
            <w:pPr>
              <w:pStyle w:val="LumisTabela"/>
              <w:keepNext/>
            </w:pPr>
            <w:r>
              <w:t>1,0 (3%)</w:t>
            </w:r>
          </w:p>
        </w:tc>
      </w:tr>
    </w:tbl>
    <w:p>
      <w:pPr>
        <w:pStyle w:val="Legenda"/>
      </w:pPr>
      <w:r>
        <w:t>Tabela 4. Distribuição proposta. Proposta da equipe sobre o Cap. 2, Quadro 16.</w:t>
      </w:r>
    </w:p>
    <w:p>
      <w:pPr>
        <w:pStyle w:val="Commarcadores"/>
      </w:pPr>
      <w:r>
        <w:rPr>
          <w:b/>
        </w:rPr>
        <w:t>Melhoria.</w:t>
      </w:r>
      <w:r>
        <w:t xml:space="preserve"> O erro de 31,8% e os compromissos das Entregas 2, 3 e 5 não têm linha no backlog, e expandir antes de resolver a base de dados é "replicação de um problema em escala maior" </w:t>
      </w:r>
      <w:r>
        <w:rPr>
          <w:rStyle w:val="TagFonte"/>
        </w:rPr>
        <w:t>[fonte: Cap. 2, 2.6]</w:t>
      </w:r>
      <w:r>
        <w:t xml:space="preserve">. Não sabemos se a capacidade já desconta esse trabalho </w:t>
      </w:r>
      <w:r>
        <w:rPr>
          <w:rStyle w:val="TagNoconsta"/>
        </w:rPr>
        <w:t>[não consta]</w:t>
      </w:r>
      <w:r>
        <w:t xml:space="preserve"> e tratamos como se não descontasse.</w:t>
      </w:r>
    </w:p>
    <w:p>
      <w:pPr>
        <w:pStyle w:val="Commarcadores"/>
      </w:pPr>
      <w:r>
        <w:rPr>
          <w:b/>
        </w:rPr>
        <w:t>Adjacência.</w:t>
      </w:r>
      <w:r>
        <w:t xml:space="preserve"> O crédito tem a maior receita por esforço, R$ 0,6 mi por mês-pessoa </w:t>
      </w:r>
      <w:r>
        <w:rPr>
          <w:rStyle w:val="TagFonte"/>
        </w:rPr>
        <w:t>[fonte: conta da equipe sobre o Quadro 16]</w:t>
      </w:r>
      <w:r>
        <w:t>, 5 bancos já clientes e um terreno onde a Aster não chega. Fica fora do foco da Entrega 1 e entra como exceção registrada. Pela Entrega 5, só vai à produção depois das condições.</w:t>
      </w:r>
    </w:p>
    <w:p>
      <w:pPr>
        <w:pStyle w:val="Commarcadores"/>
      </w:pPr>
      <w:r>
        <w:rPr>
          <w:b/>
        </w:rPr>
        <w:t>Transformação.</w:t>
      </w:r>
      <w:r>
        <w:t xml:space="preserve"> Um mês-pessoa para testar se a prova de desempenho por grupo, o ativo que a Entrega 1 manda construir, vira oferta. É a nossa resposta à plataforma que o Vetor propõe </w:t>
      </w:r>
      <w:r>
        <w:rPr>
          <w:rStyle w:val="TagFonte"/>
        </w:rPr>
        <w:t>[fonte: Cap. 2, 1.1]</w:t>
      </w:r>
      <w:r>
        <w:t>.</w:t>
      </w:r>
    </w:p>
    <w:p>
      <w:pPr>
        <w:pStyle w:val="Ttulo1"/>
      </w:pPr>
      <w:r>
        <w:t>5. O que recusamos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1474"/>
        <w:gridCol w:w="1587"/>
        <w:gridCol w:w="3969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47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pediu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3969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Por quê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Módulo veterinário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Sócio-fundador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rPr>
                <w:b/>
              </w:rPr>
              <w:t>Recusado</w:t>
            </w:r>
          </w:p>
        </w:tc>
        <w:tc>
          <w:tcPr>
            <w:tcW w:type="dxa" w:w="3969"/>
          </w:tcPr>
          <w:p>
            <w:pPr>
              <w:pStyle w:val="LumisTabela"/>
              <w:keepNext/>
            </w:pPr>
            <w:r>
              <w:t>Domínio cujos dados e erros a Lumis não conhece, sem responsável do domínio, fora do foco. Ocuparia 53% da capacidade por 11% da receita listada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Agente de triagem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  <w:keepNext/>
            </w:pPr>
            <w:r>
              <w:t>Comercial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rPr>
                <w:b/>
              </w:rPr>
              <w:t>Recusado neste ciclo</w:t>
            </w:r>
          </w:p>
        </w:tc>
        <w:tc>
          <w:tcPr>
            <w:tcW w:type="dxa" w:w="3969"/>
            <w:shd w:val="clear" w:color="auto" w:fill="F1F6F4"/>
          </w:tcPr>
          <w:p>
            <w:pPr>
              <w:pStyle w:val="LumisTabela"/>
              <w:keepNext/>
            </w:pPr>
            <w:r>
              <w:t>Automatizaria de novo a etapa do erro de 31,8%. Volta ao portão com o pior grupo até 1,5 vez o melhor e a explicabilidade pronta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México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Investidor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rPr>
                <w:b/>
              </w:rPr>
              <w:t>Fora desta janela</w:t>
            </w:r>
          </w:p>
        </w:tc>
        <w:tc>
          <w:tcPr>
            <w:tcW w:type="dxa" w:w="3969"/>
          </w:tcPr>
          <w:p>
            <w:pPr>
              <w:pStyle w:val="LumisTabela"/>
              <w:keepNext/>
            </w:pPr>
            <w:r>
              <w:t>Ocuparia 73% da capacidade, sem dado local para medir o erro por grupo. Reavaliado ao fim do semestre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Crédito para bancos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  <w:keepNext/>
            </w:pPr>
            <w:r>
              <w:t>Comercial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Até o modo sombra</w:t>
            </w:r>
          </w:p>
        </w:tc>
        <w:tc>
          <w:tcPr>
            <w:tcW w:type="dxa" w:w="3969"/>
            <w:shd w:val="clear" w:color="auto" w:fill="F1F6F4"/>
          </w:tcPr>
          <w:p>
            <w:pPr>
              <w:pStyle w:val="LumisTabela"/>
              <w:keepNext/>
            </w:pPr>
            <w:r>
              <w:t>Seção 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Reescrita do pipeline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Time técnico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Primeira fatia</w:t>
            </w:r>
          </w:p>
        </w:tc>
        <w:tc>
          <w:tcPr>
            <w:tcW w:type="dxa" w:w="3969"/>
          </w:tcPr>
          <w:p>
            <w:pPr>
              <w:pStyle w:val="LumisTabela"/>
              <w:keepNext/>
            </w:pPr>
            <w:r>
              <w:t>Rastreio da origem dos dados e erro por grupo automático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Explicabilidade</w:t>
            </w:r>
          </w:p>
        </w:tc>
        <w:tc>
          <w:tcPr>
            <w:tcW w:type="dxa" w:w="1474"/>
            <w:shd w:val="clear" w:color="auto" w:fill="F1F6F4"/>
          </w:tcPr>
          <w:p>
            <w:pPr>
              <w:pStyle w:val="LumisTabela"/>
              <w:keepNext/>
            </w:pPr>
            <w:r>
              <w:t>Regulador e clientes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Por marco</w:t>
            </w:r>
          </w:p>
        </w:tc>
        <w:tc>
          <w:tcPr>
            <w:tcW w:type="dxa" w:w="3969"/>
            <w:shd w:val="clear" w:color="auto" w:fill="F1F6F4"/>
          </w:tcPr>
          <w:p>
            <w:pPr>
              <w:pStyle w:val="LumisTabela"/>
              <w:keepNext/>
            </w:pPr>
            <w:r>
              <w:t>Dá conteúdo à revisão humana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ISO/IEC 42001</w:t>
            </w:r>
          </w:p>
        </w:tc>
        <w:tc>
          <w:tcPr>
            <w:tcW w:type="dxa" w:w="1474"/>
          </w:tcPr>
          <w:p>
            <w:pPr>
              <w:pStyle w:val="LumisTabela"/>
              <w:keepNext/>
            </w:pPr>
            <w:r>
              <w:t>Jurídico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Só o diagnóstico</w:t>
            </w:r>
          </w:p>
        </w:tc>
        <w:tc>
          <w:tcPr>
            <w:tcW w:type="dxa" w:w="3969"/>
          </w:tcPr>
          <w:p>
            <w:pPr>
              <w:pStyle w:val="LumisTabela"/>
              <w:keepNext/>
            </w:pPr>
            <w:r>
              <w:t>Certificação no ciclo seguinte</w:t>
            </w:r>
          </w:p>
        </w:tc>
      </w:tr>
    </w:tbl>
    <w:p>
      <w:pPr>
        <w:pStyle w:val="Legenda"/>
      </w:pPr>
      <w:r>
        <w:t>Tabela 5. Decisão sobre cada pedido do backlog. Fonte: Cap. 2, Quadro 16; decisões da equipe.</w:t>
      </w:r>
    </w:p>
    <w:p>
      <w:pPr/>
      <w:r>
        <w:t xml:space="preserve">As três recusas, uma de cada lado (sócio-fundador, comercial e investidor), deixam de lado R$ 11,3 mi dos R$ 19,7 mi de receita potencial listada </w:t>
      </w:r>
      <w:r>
        <w:rPr>
          <w:rStyle w:val="TagFonte"/>
        </w:rPr>
        <w:t>[fonte: conta da equipe sobre o Quadro 16]</w:t>
      </w:r>
      <w:r>
        <w:t>, um teto sem prazo garantido. O veterinário só volta com parceiro de dados autorizados, responsável do domínio e o erro por grupo dentro do limite no Brasil.</w:t>
      </w:r>
    </w:p>
    <w:p>
      <w:pPr>
        <w:pStyle w:val="Ttulo1"/>
      </w:pPr>
      <w:r>
        <w:t>6. Coerência com o que já assumimos</w:t>
      </w:r>
    </w:p>
    <w:p>
      <w:pPr/>
      <w:r>
        <w:t xml:space="preserve">A regra de prova põe em prática a Transparência da Declaração de Intenção da Fase 1. A correção do viés e o modo sombra cumprem a Não Amplificação de Danos, a revisão de casos contestados em até 48 horas não muda, e cada decisão do funil fica registrada para a Responsabilidade e Prestação de Contas. Os cargos são os da Entrega 3. Vão para o memorando dois riscos: triplicar o time técnico, como propõe o Vetor, antes de as intervenções rodarem leva gente nova para o mesmo pressuposto, e por isso propomos contratar em ondas; e o Responsável por Dados aparece em quase todos os portões, num time com rotatividade de 27% </w:t>
      </w:r>
      <w:r>
        <w:rPr>
          <w:rStyle w:val="TagHiptese"/>
        </w:rPr>
        <w:t>[hipótese]</w:t>
      </w:r>
      <w:r>
        <w:t>.</w:t>
      </w:r>
    </w:p>
    <w:p>
      <w:pPr>
        <w:pStyle w:val="Ttulo1"/>
      </w:pPr>
      <w:r>
        <w:t>Referências</w:t>
      </w:r>
    </w:p>
    <w:p>
      <w:pPr>
        <w:pStyle w:val="LumisNota"/>
      </w:pPr>
      <w:r>
        <w:t>1. SCHEIN, E. H.; SCHEIN, P. A. Organizational Culture and Leadership. 5. ed. Hoboken: Wiley, 2017. A bibliografia do curso registra a edição como de 2016.</w:t>
      </w:r>
    </w:p>
    <w:p>
      <w:pPr>
        <w:pStyle w:val="LumisNota"/>
      </w:pPr>
      <w:r>
        <w:t>2. COOPER, R. G. Stage-gate systems: a new tool for managing new products. Business Horizons, v. 33, n. 3, p. 44-54, 1990.</w:t>
      </w:r>
    </w:p>
    <w:p>
      <w:pPr>
        <w:pStyle w:val="LumisNota"/>
      </w:pPr>
      <w:r>
        <w:t>3. NAGJI, B.; TUFF, G. Managing Your Innovation Portfolio. Harvard Business Review, maio 2012. Disponível em: https://hbr.org/2012/05/managing-your-innovation-portfolio.</w:t>
      </w:r>
    </w:p>
    <w:p>
      <w:pPr>
        <w:pStyle w:val="LumisNota"/>
      </w:pPr>
      <w:r>
        <w:t>Dados da Lumis: Cap. 2, Anexo A. Classificações, critérios, metas, prazos e cargos propostos são da equipe. A IA generativa (Claude Code, Anthropic) apoiou a pesquisa e a redação, com revisão da equipe.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F2-E4 · Cultura e Funil de Inovação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