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6B7A8C"/>
          <w:sz w:val="20"/>
          <w:szCs w:val="20"/>
        </w:rPr>
        <w:t xml:space="preserve">FASE 2 · ENTREGA 1</w:t>
      </w:r>
    </w:p>
    <w:p>
      <w:pPr>
        <w:spacing w:after="40"/>
      </w:pPr>
      <w:r>
        <w:rPr>
          <w:rFonts w:ascii="Calibri" w:cs="Calibri" w:eastAsia="Calibri" w:hAnsi="Calibri"/>
          <w:b/>
          <w:bCs/>
          <w:color w:val="1F3A5F"/>
          <w:sz w:val="36"/>
          <w:szCs w:val="36"/>
        </w:rPr>
        <w:t xml:space="preserve">MAPA DO TERRITÓRIO</w:t>
      </w:r>
    </w:p>
    <w:p>
      <w:pPr>
        <w:spacing w:after="60"/>
      </w:pPr>
      <w:r>
        <w:rPr>
          <w:rFonts w:ascii="Calibri" w:cs="Calibri" w:eastAsia="Calibri" w:hAnsi="Calibri"/>
          <w:color w:val="6B7A8C"/>
          <w:sz w:val="20"/>
          <w:szCs w:val="20"/>
        </w:rPr>
        <w:t xml:space="preserve">Lumis Intelligence · Versão 2 · Outubro de 2026</w:t>
      </w:r>
    </w:p>
    <w:p>
      <w:pPr>
        <w:pBdr>
          <w:bottom w:val="single" w:color="1F3A5F" w:sz="8" w:space="4"/>
        </w:pBdr>
        <w:spacing w:after="200"/>
      </w:pPr>
      <w:r>
        <w:rPr>
          <w:rFonts w:ascii="Calibri" w:cs="Calibri" w:eastAsia="Calibri" w:hAnsi="Calibri"/>
          <w:b/>
          <w:bCs/>
          <w:sz w:val="19"/>
          <w:szCs w:val="19"/>
        </w:rPr>
        <w:t xml:space="preserve">Equipe: </w:t>
      </w:r>
      <w:r>
        <w:rPr>
          <w:rFonts w:ascii="Calibri" w:cs="Calibri" w:eastAsia="Calibri" w:hAnsi="Calibri"/>
          <w:sz w:val="19"/>
          <w:szCs w:val="19"/>
        </w:rPr>
        <w:t xml:space="preserve">Bruno Müller · Diego Franca Evangelista · Felipe Alef · Gustavo Halfen Simon · Maria Fernanda Barros</w:t>
      </w:r>
    </w:p>
    <w:p>
      <w:pPr>
        <w:pStyle w:val="Heading1"/>
        <w:keepNext/>
        <w:spacing w:after="100" w:before="220"/>
      </w:pPr>
      <w:r>
        <w:rPr>
          <w:rFonts w:ascii="Calibri" w:cs="Calibri" w:eastAsia="Calibri" w:hAnsi="Calibri"/>
          <w:b/>
          <w:bCs/>
          <w:color w:val="1F3A5F"/>
          <w:sz w:val="24"/>
          <w:szCs w:val="24"/>
        </w:rPr>
        <w:t xml:space="preserve">1. Síntese executiva do mapa do território</w:t>
      </w:r>
    </w:p>
    <w:p>
      <w:pPr>
        <w:pStyle w:val="ListParagraph"/>
        <w:numPr>
          <w:ilvl w:val="0"/>
          <w:numId w:val="2"/>
        </w:numPr>
        <w:spacing w:after="70" w:line="264"/>
        <w:jc w:val="both"/>
      </w:pPr>
      <w:r>
        <w:rPr>
          <w:rFonts w:ascii="Calibri" w:cs="Calibri" w:eastAsia="Calibri" w:hAnsi="Calibri"/>
          <w:b/>
          <w:bCs/>
          <w:sz w:val="20"/>
          <w:szCs w:val="20"/>
        </w:rPr>
        <w:t xml:space="preserve">Camadas.</w:t>
      </w:r>
      <w:r>
        <w:rPr>
          <w:rFonts w:ascii="Calibri" w:cs="Calibri" w:eastAsia="Calibri" w:hAnsi="Calibri"/>
          <w:sz w:val="20"/>
          <w:szCs w:val="20"/>
        </w:rPr>
        <w:t xml:space="preserve"> A Lumis controla de fato apenas a camada de </w:t>
      </w:r>
      <w:r>
        <w:rPr>
          <w:rFonts w:ascii="Calibri" w:cs="Calibri" w:eastAsia="Calibri" w:hAnsi="Calibri"/>
          <w:b/>
          <w:bCs/>
          <w:sz w:val="20"/>
          <w:szCs w:val="20"/>
        </w:rPr>
        <w:t xml:space="preserve">aplicação</w:t>
      </w:r>
      <w:r>
        <w:rPr>
          <w:rFonts w:ascii="Calibri" w:cs="Calibri" w:eastAsia="Calibri" w:hAnsi="Calibri"/>
          <w:sz w:val="20"/>
          <w:szCs w:val="20"/>
        </w:rPr>
        <w:t xml:space="preserve">, com o Lumis Insight. Nos </w:t>
      </w:r>
      <w:r>
        <w:rPr>
          <w:rFonts w:ascii="Calibri" w:cs="Calibri" w:eastAsia="Calibri" w:hAnsi="Calibri"/>
          <w:b/>
          <w:bCs/>
          <w:sz w:val="20"/>
          <w:szCs w:val="20"/>
        </w:rPr>
        <w:t xml:space="preserve">dados</w:t>
      </w:r>
      <w:r>
        <w:rPr>
          <w:rFonts w:ascii="Calibri" w:cs="Calibri" w:eastAsia="Calibri" w:hAnsi="Calibri"/>
          <w:sz w:val="20"/>
          <w:szCs w:val="20"/>
        </w:rPr>
        <w:t xml:space="preserve">, o controle é condicional. </w:t>
      </w:r>
      <w:r>
        <w:rPr>
          <w:rFonts w:ascii="Calibri" w:cs="Calibri" w:eastAsia="Calibri" w:hAnsi="Calibri"/>
          <w:b/>
          <w:bCs/>
          <w:sz w:val="20"/>
          <w:szCs w:val="20"/>
        </w:rPr>
        <w:t xml:space="preserve">Nuvem</w:t>
      </w:r>
      <w:r>
        <w:rPr>
          <w:rFonts w:ascii="Calibri" w:cs="Calibri" w:eastAsia="Calibri" w:hAnsi="Calibri"/>
          <w:sz w:val="20"/>
          <w:szCs w:val="20"/>
        </w:rPr>
        <w:t xml:space="preserve"> e </w:t>
      </w:r>
      <w:r>
        <w:rPr>
          <w:rFonts w:ascii="Calibri" w:cs="Calibri" w:eastAsia="Calibri" w:hAnsi="Calibri"/>
          <w:b/>
          <w:bCs/>
          <w:sz w:val="20"/>
          <w:szCs w:val="20"/>
        </w:rPr>
        <w:t xml:space="preserve">modelo fundacional</w:t>
      </w:r>
      <w:r>
        <w:rPr>
          <w:rFonts w:ascii="Calibri" w:cs="Calibri" w:eastAsia="Calibri" w:hAnsi="Calibri"/>
          <w:sz w:val="20"/>
          <w:szCs w:val="20"/>
        </w:rPr>
        <w:t xml:space="preserve"> são alugados e somam </w:t>
      </w:r>
      <w:r>
        <w:rPr>
          <w:rFonts w:ascii="Calibri" w:cs="Calibri" w:eastAsia="Calibri" w:hAnsi="Calibri"/>
          <w:b/>
          <w:bCs/>
          <w:sz w:val="20"/>
          <w:szCs w:val="20"/>
        </w:rPr>
        <w:t xml:space="preserve">72,2% do custo direto</w:t>
      </w:r>
      <w:r>
        <w:rPr>
          <w:rFonts w:ascii="Calibri" w:cs="Calibri" w:eastAsia="Calibri" w:hAnsi="Calibri"/>
          <w:sz w:val="20"/>
          <w:szCs w:val="20"/>
        </w:rPr>
        <w:t xml:space="preserve">, todo em dólar, enquanto a receita é 100% em reais.</w:t>
      </w:r>
    </w:p>
    <w:p>
      <w:pPr>
        <w:pStyle w:val="ListParagraph"/>
        <w:numPr>
          <w:ilvl w:val="0"/>
          <w:numId w:val="2"/>
        </w:numPr>
        <w:spacing w:after="70" w:line="264"/>
        <w:jc w:val="both"/>
      </w:pPr>
      <w:r>
        <w:rPr>
          <w:rFonts w:ascii="Calibri" w:cs="Calibri" w:eastAsia="Calibri" w:hAnsi="Calibri"/>
          <w:b/>
          <w:bCs/>
          <w:sz w:val="20"/>
          <w:szCs w:val="20"/>
        </w:rPr>
        <w:t xml:space="preserve">Concorrência.</w:t>
      </w:r>
      <w:r>
        <w:rPr>
          <w:rFonts w:ascii="Calibri" w:cs="Calibri" w:eastAsia="Calibri" w:hAnsi="Calibri"/>
          <w:sz w:val="20"/>
          <w:szCs w:val="20"/>
        </w:rPr>
        <w:t xml:space="preserve"> A ameaça mais forte é de </w:t>
      </w:r>
      <w:r>
        <w:rPr>
          <w:rFonts w:ascii="Calibri" w:cs="Calibri" w:eastAsia="Calibri" w:hAnsi="Calibri"/>
          <w:b/>
          <w:bCs/>
          <w:sz w:val="20"/>
          <w:szCs w:val="20"/>
        </w:rPr>
        <w:t xml:space="preserve">distribuição</w:t>
      </w:r>
      <w:r>
        <w:rPr>
          <w:rFonts w:ascii="Calibri" w:cs="Calibri" w:eastAsia="Calibri" w:hAnsi="Calibri"/>
          <w:sz w:val="20"/>
          <w:szCs w:val="20"/>
        </w:rPr>
        <w:t xml:space="preserve">, não de tecnologia. A Aster Health já está instalada em 210 hospitais, 8,75 vezes as 24 contas de saúde da Lumis, e vende a IA como adicional de R$ 340 mil sobre um contrato que o hospital já tem. A segunda ameaça vem dos </w:t>
      </w:r>
      <w:r>
        <w:rPr>
          <w:rFonts w:ascii="Calibri" w:cs="Calibri" w:eastAsia="Calibri" w:hAnsi="Calibri"/>
          <w:b/>
          <w:bCs/>
          <w:sz w:val="20"/>
          <w:szCs w:val="20"/>
        </w:rPr>
        <w:t xml:space="preserve">grandes compradores</w:t>
      </w:r>
      <w:r>
        <w:rPr>
          <w:rFonts w:ascii="Calibri" w:cs="Calibri" w:eastAsia="Calibri" w:hAnsi="Calibri"/>
          <w:sz w:val="20"/>
          <w:szCs w:val="20"/>
        </w:rPr>
        <w:t xml:space="preserve">, que conseguem desenvolver IA própria.</w:t>
      </w:r>
    </w:p>
    <w:p>
      <w:pPr>
        <w:pStyle w:val="ListParagraph"/>
        <w:numPr>
          <w:ilvl w:val="0"/>
          <w:numId w:val="2"/>
        </w:numPr>
        <w:spacing w:after="70" w:line="264"/>
        <w:jc w:val="both"/>
      </w:pPr>
      <w:r>
        <w:rPr>
          <w:rFonts w:ascii="Calibri" w:cs="Calibri" w:eastAsia="Calibri" w:hAnsi="Calibri"/>
          <w:b/>
          <w:bCs/>
          <w:sz w:val="20"/>
          <w:szCs w:val="20"/>
        </w:rPr>
        <w:t xml:space="preserve">Dependências.</w:t>
      </w:r>
      <w:r>
        <w:rPr>
          <w:rFonts w:ascii="Calibri" w:cs="Calibri" w:eastAsia="Calibri" w:hAnsi="Calibri"/>
          <w:sz w:val="20"/>
          <w:szCs w:val="20"/>
        </w:rPr>
        <w:t xml:space="preserve"> A dependência mais crítica é a de </w:t>
      </w:r>
      <w:r>
        <w:rPr>
          <w:rFonts w:ascii="Calibri" w:cs="Calibri" w:eastAsia="Calibri" w:hAnsi="Calibri"/>
          <w:b/>
          <w:bCs/>
          <w:sz w:val="20"/>
          <w:szCs w:val="20"/>
        </w:rPr>
        <w:t xml:space="preserve">dados de clientes</w:t>
      </w:r>
      <w:r>
        <w:rPr>
          <w:rFonts w:ascii="Calibri" w:cs="Calibri" w:eastAsia="Calibri" w:hAnsi="Calibri"/>
          <w:sz w:val="20"/>
          <w:szCs w:val="20"/>
        </w:rPr>
        <w:t xml:space="preserve">. É a única estrutural, e dois contratos com autorização frágil vencem entre 12/2026 e 03/2027. A mais </w:t>
      </w:r>
      <w:r>
        <w:rPr>
          <w:rFonts w:ascii="Calibri" w:cs="Calibri" w:eastAsia="Calibri" w:hAnsi="Calibri"/>
          <w:b/>
          <w:bCs/>
          <w:sz w:val="20"/>
          <w:szCs w:val="20"/>
        </w:rPr>
        <w:t xml:space="preserve">rápida</w:t>
      </w:r>
      <w:r>
        <w:rPr>
          <w:rFonts w:ascii="Calibri" w:cs="Calibri" w:eastAsia="Calibri" w:hAnsi="Calibri"/>
          <w:sz w:val="20"/>
          <w:szCs w:val="20"/>
        </w:rPr>
        <w:t xml:space="preserve"> é a do fornecedor de modelo, com 30 dias de aviso. Se o preço desse fornecedor dobrar, a margem bruta cai de 58% para 39,5%.</w:t>
      </w:r>
    </w:p>
    <w:p>
      <w:pPr>
        <w:pStyle w:val="ListParagraph"/>
        <w:numPr>
          <w:ilvl w:val="0"/>
          <w:numId w:val="2"/>
        </w:numPr>
        <w:spacing w:after="70" w:line="264"/>
        <w:jc w:val="both"/>
      </w:pPr>
      <w:r>
        <w:rPr>
          <w:rFonts w:ascii="Calibri" w:cs="Calibri" w:eastAsia="Calibri" w:hAnsi="Calibri"/>
          <w:b/>
          <w:bCs/>
          <w:sz w:val="20"/>
          <w:szCs w:val="20"/>
        </w:rPr>
        <w:t xml:space="preserve">O que é difícil de copiar.</w:t>
      </w:r>
      <w:r>
        <w:rPr>
          <w:rFonts w:ascii="Calibri" w:cs="Calibri" w:eastAsia="Calibri" w:hAnsi="Calibri"/>
          <w:sz w:val="20"/>
          <w:szCs w:val="20"/>
        </w:rPr>
        <w:t xml:space="preserve"> Concordamos que o diferencial não está em uma tecnologia isolada, e sim na combinação de produto especializado, integração e conhecimento. Mas, testada contra os dados, essa combinação </w:t>
      </w:r>
      <w:r>
        <w:rPr>
          <w:rFonts w:ascii="Calibri" w:cs="Calibri" w:eastAsia="Calibri" w:hAnsi="Calibri"/>
          <w:b/>
          <w:bCs/>
          <w:sz w:val="20"/>
          <w:szCs w:val="20"/>
        </w:rPr>
        <w:t xml:space="preserve">hoje é frágil</w:t>
      </w:r>
      <w:r>
        <w:rPr>
          <w:rFonts w:ascii="Calibri" w:cs="Calibri" w:eastAsia="Calibri" w:hAnsi="Calibri"/>
          <w:sz w:val="20"/>
          <w:szCs w:val="20"/>
        </w:rPr>
        <w:t xml:space="preserve">: o único ativo próprio, a base histórica, é mais passivo do que fosso. O que pode vir a ser difícil de copiar ainda precisa ser construído.</w:t>
      </w:r>
    </w:p>
    <w:p>
      <w:pPr>
        <w:pStyle w:val="Heading1"/>
        <w:keepNext/>
        <w:spacing w:after="100" w:before="220"/>
      </w:pPr>
      <w:r>
        <w:rPr>
          <w:rFonts w:ascii="Calibri" w:cs="Calibri" w:eastAsia="Calibri" w:hAnsi="Calibri"/>
          <w:b/>
          <w:bCs/>
          <w:color w:val="1F3A5F"/>
          <w:sz w:val="24"/>
          <w:szCs w:val="24"/>
        </w:rPr>
        <w:t xml:space="preserve">2. Camadas do mercado de IA relevantes para a Lumis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2850"/>
        <w:gridCol w:w="2700"/>
        <w:gridCol w:w="2588"/>
      </w:tblGrid>
      <w:tr>
        <w:trPr>
          <w:cantSplit/>
          <w:tblHeader/>
        </w:trPr>
        <w:tc>
          <w:tcPr>
            <w:tcW w:type="dxa" w:w="1500"/>
            <w:tcBorders>
              <w:top w:val="single" w:color="B8C4D2" w:sz="4"/>
              <w:left w:val="single" w:color="B8C4D2" w:sz="4"/>
              <w:bottom w:val="single" w:color="B8C4D2" w:sz="4"/>
              <w:right w:val="single" w:color="B8C4D2" w:sz="4"/>
            </w:tcBorders>
            <w:shd w:fill="1F3A5F" w:color="auto" w:val="clear"/>
            <w:tcMar>
              <w:top w:type="dxa" w:w="50"/>
              <w:left w:type="dxa" w:w="90"/>
              <w:bottom w:type="dxa" w:w="50"/>
              <w:right w:type="dxa" w:w="90"/>
            </w:tcMar>
          </w:tcPr>
          <w:p>
            <w:pPr>
              <w:spacing w:after="0" w:line="240"/>
            </w:pPr>
            <w:r>
              <w:rPr>
                <w:rFonts w:ascii="Calibri" w:cs="Calibri" w:eastAsia="Calibri" w:hAnsi="Calibri"/>
                <w:b/>
                <w:bCs/>
                <w:color w:val="FFFFFF"/>
                <w:sz w:val="16"/>
                <w:szCs w:val="16"/>
              </w:rPr>
              <w:t xml:space="preserve">Camada</w:t>
            </w:r>
          </w:p>
        </w:tc>
        <w:tc>
          <w:tcPr>
            <w:tcW w:type="dxa" w:w="2850"/>
            <w:tcBorders>
              <w:top w:val="single" w:color="B8C4D2" w:sz="4"/>
              <w:left w:val="single" w:color="B8C4D2" w:sz="4"/>
              <w:bottom w:val="single" w:color="B8C4D2" w:sz="4"/>
              <w:right w:val="single" w:color="B8C4D2" w:sz="4"/>
            </w:tcBorders>
            <w:shd w:fill="1F3A5F" w:color="auto" w:val="clear"/>
            <w:tcMar>
              <w:top w:type="dxa" w:w="50"/>
              <w:left w:type="dxa" w:w="90"/>
              <w:bottom w:type="dxa" w:w="50"/>
              <w:right w:type="dxa" w:w="90"/>
            </w:tcMar>
          </w:tcPr>
          <w:p>
            <w:pPr>
              <w:spacing w:after="0" w:line="240"/>
            </w:pPr>
            <w:r>
              <w:rPr>
                <w:rFonts w:ascii="Calibri" w:cs="Calibri" w:eastAsia="Calibri" w:hAnsi="Calibri"/>
                <w:b/>
                <w:bCs/>
                <w:color w:val="FFFFFF"/>
                <w:sz w:val="16"/>
                <w:szCs w:val="16"/>
              </w:rPr>
              <w:t xml:space="preserve">O que a Lumis controla</w:t>
            </w:r>
          </w:p>
        </w:tc>
        <w:tc>
          <w:tcPr>
            <w:tcW w:type="dxa" w:w="2700"/>
            <w:tcBorders>
              <w:top w:val="single" w:color="B8C4D2" w:sz="4"/>
              <w:left w:val="single" w:color="B8C4D2" w:sz="4"/>
              <w:bottom w:val="single" w:color="B8C4D2" w:sz="4"/>
              <w:right w:val="single" w:color="B8C4D2" w:sz="4"/>
            </w:tcBorders>
            <w:shd w:fill="1F3A5F" w:color="auto" w:val="clear"/>
            <w:tcMar>
              <w:top w:type="dxa" w:w="50"/>
              <w:left w:type="dxa" w:w="90"/>
              <w:bottom w:type="dxa" w:w="50"/>
              <w:right w:type="dxa" w:w="90"/>
            </w:tcMar>
          </w:tcPr>
          <w:p>
            <w:pPr>
              <w:spacing w:after="0" w:line="240"/>
            </w:pPr>
            <w:r>
              <w:rPr>
                <w:rFonts w:ascii="Calibri" w:cs="Calibri" w:eastAsia="Calibri" w:hAnsi="Calibri"/>
                <w:b/>
                <w:bCs/>
                <w:color w:val="FFFFFF"/>
                <w:sz w:val="16"/>
                <w:szCs w:val="16"/>
              </w:rPr>
              <w:t xml:space="preserve">Dependência e poder de negociação</w:t>
            </w:r>
          </w:p>
        </w:tc>
        <w:tc>
          <w:tcPr>
            <w:tcW w:type="dxa" w:w="2588"/>
            <w:tcBorders>
              <w:top w:val="single" w:color="B8C4D2" w:sz="4"/>
              <w:left w:val="single" w:color="B8C4D2" w:sz="4"/>
              <w:bottom w:val="single" w:color="B8C4D2" w:sz="4"/>
              <w:right w:val="single" w:color="B8C4D2" w:sz="4"/>
            </w:tcBorders>
            <w:shd w:fill="1F3A5F" w:color="auto" w:val="clear"/>
            <w:tcMar>
              <w:top w:type="dxa" w:w="50"/>
              <w:left w:type="dxa" w:w="90"/>
              <w:bottom w:type="dxa" w:w="50"/>
              <w:right w:type="dxa" w:w="90"/>
            </w:tcMar>
          </w:tcPr>
          <w:p>
            <w:pPr>
              <w:spacing w:after="0" w:line="240"/>
            </w:pPr>
            <w:r>
              <w:rPr>
                <w:rFonts w:ascii="Calibri" w:cs="Calibri" w:eastAsia="Calibri" w:hAnsi="Calibri"/>
                <w:b/>
                <w:bCs/>
                <w:color w:val="FFFFFF"/>
                <w:sz w:val="16"/>
                <w:szCs w:val="16"/>
              </w:rPr>
              <w:t xml:space="preserve">Leitura</w:t>
            </w:r>
          </w:p>
        </w:tc>
      </w:tr>
      <w:tr>
        <w:trPr>
          <w:cantSplit/>
          <w:tblHeader w:val="off"/>
        </w:trPr>
        <w:tc>
          <w:tcPr>
            <w:tcW w:type="dxa" w:w="1500"/>
            <w:tcBorders>
              <w:top w:val="single" w:color="B8C4D2" w:sz="4"/>
              <w:left w:val="single" w:color="B8C4D2" w:sz="4"/>
              <w:bottom w:val="single" w:color="B8C4D2" w:sz="4"/>
              <w:right w:val="single" w:color="B8C4D2" w:sz="4"/>
            </w:tcBorders>
            <w:shd w:fill="FFFFFF" w:color="auto" w:val="clear"/>
            <w:tcMar>
              <w:top w:type="dxa" w:w="50"/>
              <w:left w:type="dxa" w:w="90"/>
              <w:bottom w:type="dxa" w:w="50"/>
              <w:right w:type="dxa" w:w="90"/>
            </w:tcMar>
          </w:tcPr>
          <w:p>
            <w:pPr>
              <w:spacing w:after="0" w:line="240"/>
            </w:pPr>
            <w:r>
              <w:rPr>
                <w:rFonts w:ascii="Calibri" w:cs="Calibri" w:eastAsia="Calibri" w:hAnsi="Calibri"/>
                <w:b/>
                <w:bCs/>
                <w:sz w:val="16"/>
                <w:szCs w:val="16"/>
              </w:rPr>
              <w:t xml:space="preserve">Infraestrutura / nuvem</w:t>
            </w:r>
          </w:p>
        </w:tc>
        <w:tc>
          <w:tcPr>
            <w:tcW w:type="dxa" w:w="2850"/>
            <w:tcBorders>
              <w:top w:val="single" w:color="B8C4D2" w:sz="4"/>
              <w:left w:val="single" w:color="B8C4D2" w:sz="4"/>
              <w:bottom w:val="single" w:color="B8C4D2" w:sz="4"/>
              <w:right w:val="single" w:color="B8C4D2" w:sz="4"/>
            </w:tcBorders>
            <w:shd w:fill="FFFFFF" w:color="auto" w:val="clear"/>
            <w:tcMar>
              <w:top w:type="dxa" w:w="50"/>
              <w:left w:type="dxa" w:w="90"/>
              <w:bottom w:type="dxa" w:w="50"/>
              <w:right w:type="dxa" w:w="90"/>
            </w:tcMar>
          </w:tcPr>
          <w:p>
            <w:pPr>
              <w:spacing w:after="0" w:line="240"/>
            </w:pPr>
            <w:r>
              <w:rPr>
                <w:rFonts w:ascii="Calibri" w:cs="Calibri" w:eastAsia="Calibri" w:hAnsi="Calibri"/>
                <w:sz w:val="16"/>
                <w:szCs w:val="16"/>
              </w:rPr>
              <w:t xml:space="preserve">Nada; aluga. Provedor global, plano anual, desconto por volume e renovação em 04/2027. Custo de R$ 401.760 por mês (27,9% do custo direto).</w:t>
            </w:r>
          </w:p>
        </w:tc>
        <w:tc>
          <w:tcPr>
            <w:tcW w:type="dxa" w:w="2700"/>
            <w:tcBorders>
              <w:top w:val="single" w:color="B8C4D2" w:sz="4"/>
              <w:left w:val="single" w:color="B8C4D2" w:sz="4"/>
              <w:bottom w:val="single" w:color="B8C4D2" w:sz="4"/>
              <w:right w:val="single" w:color="B8C4D2" w:sz="4"/>
            </w:tcBorders>
            <w:shd w:fill="FFFFFF" w:color="auto" w:val="clear"/>
            <w:tcMar>
              <w:top w:type="dxa" w:w="50"/>
              <w:left w:type="dxa" w:w="90"/>
              <w:bottom w:type="dxa" w:w="50"/>
              <w:right w:type="dxa" w:w="90"/>
            </w:tcMar>
          </w:tcPr>
          <w:p>
            <w:pPr>
              <w:spacing w:after="0" w:line="240"/>
            </w:pPr>
            <w:r>
              <w:rPr>
                <w:rFonts w:ascii="Calibri" w:cs="Calibri" w:eastAsia="Calibri" w:hAnsi="Calibri"/>
                <w:sz w:val="16"/>
                <w:szCs w:val="16"/>
              </w:rPr>
              <w:t xml:space="preserve">Alta. Três provedores concentram 63% do mercado global (AWS 28%, Microsoft 20%, Google 15%)¹. A migração leva 7 meses.</w:t>
            </w:r>
          </w:p>
        </w:tc>
        <w:tc>
          <w:tcPr>
            <w:tcW w:type="dxa" w:w="2588"/>
            <w:tcBorders>
              <w:top w:val="single" w:color="B8C4D2" w:sz="4"/>
              <w:left w:val="single" w:color="B8C4D2" w:sz="4"/>
              <w:bottom w:val="single" w:color="B8C4D2" w:sz="4"/>
              <w:right w:val="single" w:color="B8C4D2" w:sz="4"/>
            </w:tcBorders>
            <w:shd w:fill="FFFFFF" w:color="auto" w:val="clear"/>
            <w:tcMar>
              <w:top w:type="dxa" w:w="50"/>
              <w:left w:type="dxa" w:w="90"/>
              <w:bottom w:type="dxa" w:w="50"/>
              <w:right w:type="dxa" w:w="90"/>
            </w:tcMar>
          </w:tcPr>
          <w:p>
            <w:pPr>
              <w:spacing w:after="0" w:line="240"/>
            </w:pPr>
            <w:r>
              <w:rPr>
                <w:rFonts w:ascii="Calibri" w:cs="Calibri" w:eastAsia="Calibri" w:hAnsi="Calibri"/>
                <w:sz w:val="16"/>
                <w:szCs w:val="16"/>
              </w:rPr>
              <w:t xml:space="preserve">Faltam cerca de 6 meses para a renovação e a migração leva 7. A Lumis vai renegociar sem alternativa pronta, com pouco poder de barganha.</w:t>
            </w:r>
          </w:p>
        </w:tc>
      </w:tr>
      <w:tr>
        <w:trPr>
          <w:cantSplit/>
          <w:tblHeader w:val="off"/>
        </w:trPr>
        <w:tc>
          <w:tcPr>
            <w:tcW w:type="dxa" w:w="1500"/>
            <w:tcBorders>
              <w:top w:val="single" w:color="B8C4D2" w:sz="4"/>
              <w:left w:val="single" w:color="B8C4D2" w:sz="4"/>
              <w:bottom w:val="single" w:color="B8C4D2" w:sz="4"/>
              <w:right w:val="single" w:color="B8C4D2" w:sz="4"/>
            </w:tcBorders>
            <w:shd w:fill="F3F5F8" w:color="auto" w:val="clear"/>
            <w:tcMar>
              <w:top w:type="dxa" w:w="50"/>
              <w:left w:type="dxa" w:w="90"/>
              <w:bottom w:type="dxa" w:w="50"/>
              <w:right w:type="dxa" w:w="90"/>
            </w:tcMar>
          </w:tcPr>
          <w:p>
            <w:pPr>
              <w:spacing w:after="0" w:line="240"/>
            </w:pPr>
            <w:r>
              <w:rPr>
                <w:rFonts w:ascii="Calibri" w:cs="Calibri" w:eastAsia="Calibri" w:hAnsi="Calibri"/>
                <w:b/>
                <w:bCs/>
                <w:sz w:val="16"/>
                <w:szCs w:val="16"/>
              </w:rPr>
              <w:t xml:space="preserve">Modelos fundacionais</w:t>
            </w:r>
          </w:p>
        </w:tc>
        <w:tc>
          <w:tcPr>
            <w:tcW w:type="dxa" w:w="2850"/>
            <w:tcBorders>
              <w:top w:val="single" w:color="B8C4D2" w:sz="4"/>
              <w:left w:val="single" w:color="B8C4D2" w:sz="4"/>
              <w:bottom w:val="single" w:color="B8C4D2" w:sz="4"/>
              <w:right w:val="single" w:color="B8C4D2" w:sz="4"/>
            </w:tcBorders>
            <w:shd w:fill="F3F5F8" w:color="auto" w:val="clear"/>
            <w:tcMar>
              <w:top w:type="dxa" w:w="50"/>
              <w:left w:type="dxa" w:w="90"/>
              <w:bottom w:type="dxa" w:w="50"/>
              <w:right w:type="dxa" w:w="90"/>
            </w:tcMar>
          </w:tcPr>
          <w:p>
            <w:pPr>
              <w:spacing w:after="0" w:line="240"/>
            </w:pPr>
            <w:r>
              <w:rPr>
                <w:rFonts w:ascii="Calibri" w:cs="Calibri" w:eastAsia="Calibri" w:hAnsi="Calibri"/>
                <w:sz w:val="16"/>
                <w:szCs w:val="16"/>
              </w:rPr>
              <w:t xml:space="preserve">Aluga de um fornecedor único, por consumo, sem compromisso de preço. Controla apenas os "ajustes próprios". Custo de R$ 637.200 por mês (44,3%), o maior item.</w:t>
            </w:r>
          </w:p>
        </w:tc>
        <w:tc>
          <w:tcPr>
            <w:tcW w:type="dxa" w:w="2700"/>
            <w:tcBorders>
              <w:top w:val="single" w:color="B8C4D2" w:sz="4"/>
              <w:left w:val="single" w:color="B8C4D2" w:sz="4"/>
              <w:bottom w:val="single" w:color="B8C4D2" w:sz="4"/>
              <w:right w:val="single" w:color="B8C4D2" w:sz="4"/>
            </w:tcBorders>
            <w:shd w:fill="F3F5F8" w:color="auto" w:val="clear"/>
            <w:tcMar>
              <w:top w:type="dxa" w:w="50"/>
              <w:left w:type="dxa" w:w="90"/>
              <w:bottom w:type="dxa" w:w="50"/>
              <w:right w:type="dxa" w:w="90"/>
            </w:tcMar>
          </w:tcPr>
          <w:p>
            <w:pPr>
              <w:spacing w:after="0" w:line="240"/>
            </w:pPr>
            <w:r>
              <w:rPr>
                <w:rFonts w:ascii="Calibri" w:cs="Calibri" w:eastAsia="Calibri" w:hAnsi="Calibri"/>
                <w:sz w:val="16"/>
                <w:szCs w:val="16"/>
              </w:rPr>
              <w:t xml:space="preserve">Muito alta. Os termos podem mudar com 30 dias de aviso. O fornecedor anunciou um módulo próprio para saúde.</w:t>
            </w:r>
          </w:p>
        </w:tc>
        <w:tc>
          <w:tcPr>
            <w:tcW w:type="dxa" w:w="2588"/>
            <w:tcBorders>
              <w:top w:val="single" w:color="B8C4D2" w:sz="4"/>
              <w:left w:val="single" w:color="B8C4D2" w:sz="4"/>
              <w:bottom w:val="single" w:color="B8C4D2" w:sz="4"/>
              <w:right w:val="single" w:color="B8C4D2" w:sz="4"/>
            </w:tcBorders>
            <w:shd w:fill="F3F5F8" w:color="auto" w:val="clear"/>
            <w:tcMar>
              <w:top w:type="dxa" w:w="50"/>
              <w:left w:type="dxa" w:w="90"/>
              <w:bottom w:type="dxa" w:w="50"/>
              <w:right w:type="dxa" w:w="90"/>
            </w:tcMar>
          </w:tcPr>
          <w:p>
            <w:pPr>
              <w:spacing w:after="0" w:line="240"/>
            </w:pPr>
            <w:r>
              <w:rPr>
                <w:rFonts w:ascii="Calibri" w:cs="Calibri" w:eastAsia="Calibri" w:hAnsi="Calibri"/>
                <w:sz w:val="16"/>
                <w:szCs w:val="16"/>
              </w:rPr>
              <w:t xml:space="preserve">O preço caiu 38% em 18 meses, o que é bom para o custo e ruim para a barreira de entrada, porque qualquer concorrente compra a mesma capacidade. O fornecedor já é concorrente potencial.</w:t>
            </w:r>
          </w:p>
        </w:tc>
      </w:tr>
      <w:tr>
        <w:trPr>
          <w:cantSplit/>
          <w:tblHeader w:val="off"/>
        </w:trPr>
        <w:tc>
          <w:tcPr>
            <w:tcW w:type="dxa" w:w="1500"/>
            <w:tcBorders>
              <w:top w:val="single" w:color="B8C4D2" w:sz="4"/>
              <w:left w:val="single" w:color="B8C4D2" w:sz="4"/>
              <w:bottom w:val="single" w:color="B8C4D2" w:sz="4"/>
              <w:right w:val="single" w:color="B8C4D2" w:sz="4"/>
            </w:tcBorders>
            <w:shd w:fill="FFFFFF" w:color="auto" w:val="clear"/>
            <w:tcMar>
              <w:top w:type="dxa" w:w="50"/>
              <w:left w:type="dxa" w:w="90"/>
              <w:bottom w:type="dxa" w:w="50"/>
              <w:right w:type="dxa" w:w="90"/>
            </w:tcMar>
          </w:tcPr>
          <w:p>
            <w:pPr>
              <w:spacing w:after="0" w:line="240"/>
            </w:pPr>
            <w:r>
              <w:rPr>
                <w:rFonts w:ascii="Calibri" w:cs="Calibri" w:eastAsia="Calibri" w:hAnsi="Calibri"/>
                <w:b/>
                <w:bCs/>
                <w:sz w:val="16"/>
                <w:szCs w:val="16"/>
              </w:rPr>
              <w:t xml:space="preserve">Dados</w:t>
            </w:r>
          </w:p>
        </w:tc>
        <w:tc>
          <w:tcPr>
            <w:tcW w:type="dxa" w:w="2850"/>
            <w:tcBorders>
              <w:top w:val="single" w:color="B8C4D2" w:sz="4"/>
              <w:left w:val="single" w:color="B8C4D2" w:sz="4"/>
              <w:bottom w:val="single" w:color="B8C4D2" w:sz="4"/>
              <w:right w:val="single" w:color="B8C4D2" w:sz="4"/>
            </w:tcBorders>
            <w:shd w:fill="FFFFFF" w:color="auto" w:val="clear"/>
            <w:tcMar>
              <w:top w:type="dxa" w:w="50"/>
              <w:left w:type="dxa" w:w="90"/>
              <w:bottom w:type="dxa" w:w="50"/>
              <w:right w:type="dxa" w:w="90"/>
            </w:tcMar>
          </w:tcPr>
          <w:p>
            <w:pPr>
              <w:spacing w:after="0" w:line="240"/>
            </w:pPr>
            <w:r>
              <w:rPr>
                <w:rFonts w:ascii="Calibri" w:cs="Calibri" w:eastAsia="Calibri" w:hAnsi="Calibri"/>
                <w:sz w:val="16"/>
                <w:szCs w:val="16"/>
              </w:rPr>
              <w:t xml:space="preserve">Parcial e condicionado. A base tem 22,0 mi de registros: 63,6% do DATASUS (público), 9,5% sintéticos e 26,8% de clientes. Dos dados de clientes, 35,4% não têm autorização clara para treinamento. As bases clínicas de referência são licenciadas de um consórcio.</w:t>
            </w:r>
          </w:p>
        </w:tc>
        <w:tc>
          <w:tcPr>
            <w:tcW w:type="dxa" w:w="2700"/>
            <w:tcBorders>
              <w:top w:val="single" w:color="B8C4D2" w:sz="4"/>
              <w:left w:val="single" w:color="B8C4D2" w:sz="4"/>
              <w:bottom w:val="single" w:color="B8C4D2" w:sz="4"/>
              <w:right w:val="single" w:color="B8C4D2" w:sz="4"/>
            </w:tcBorders>
            <w:shd w:fill="FFFFFF" w:color="auto" w:val="clear"/>
            <w:tcMar>
              <w:top w:type="dxa" w:w="50"/>
              <w:left w:type="dxa" w:w="90"/>
              <w:bottom w:type="dxa" w:w="50"/>
              <w:right w:type="dxa" w:w="90"/>
            </w:tcMar>
          </w:tcPr>
          <w:p>
            <w:pPr>
              <w:spacing w:after="0" w:line="240"/>
            </w:pPr>
            <w:r>
              <w:rPr>
                <w:rFonts w:ascii="Calibri" w:cs="Calibri" w:eastAsia="Calibri" w:hAnsi="Calibri"/>
                <w:sz w:val="16"/>
                <w:szCs w:val="16"/>
              </w:rPr>
              <w:t xml:space="preserve">Média a alta. O acesso é jurídico, e não só técnico: 38 contratos individuais, nenhum revisado desde a assinatura.</w:t>
            </w:r>
          </w:p>
        </w:tc>
        <w:tc>
          <w:tcPr>
            <w:tcW w:type="dxa" w:w="2588"/>
            <w:tcBorders>
              <w:top w:val="single" w:color="B8C4D2" w:sz="4"/>
              <w:left w:val="single" w:color="B8C4D2" w:sz="4"/>
              <w:bottom w:val="single" w:color="B8C4D2" w:sz="4"/>
              <w:right w:val="single" w:color="B8C4D2" w:sz="4"/>
            </w:tcBorders>
            <w:shd w:fill="FFFFFF" w:color="auto" w:val="clear"/>
            <w:tcMar>
              <w:top w:type="dxa" w:w="50"/>
              <w:left w:type="dxa" w:w="90"/>
              <w:bottom w:type="dxa" w:w="50"/>
              <w:right w:type="dxa" w:w="90"/>
            </w:tcMar>
          </w:tcPr>
          <w:p>
            <w:pPr>
              <w:spacing w:after="0" w:line="240"/>
            </w:pPr>
            <w:r>
              <w:rPr>
                <w:rFonts w:ascii="Calibri" w:cs="Calibri" w:eastAsia="Calibri" w:hAnsi="Calibri"/>
                <w:sz w:val="16"/>
                <w:szCs w:val="16"/>
              </w:rPr>
              <w:t xml:space="preserve">O único insumo que poderia ser exclusivo é também o mais frágil juridicamente.</w:t>
            </w:r>
          </w:p>
        </w:tc>
      </w:tr>
      <w:tr>
        <w:trPr>
          <w:cantSplit/>
          <w:tblHeader w:val="off"/>
        </w:trPr>
        <w:tc>
          <w:tcPr>
            <w:tcW w:type="dxa" w:w="1500"/>
            <w:tcBorders>
              <w:top w:val="single" w:color="B8C4D2" w:sz="4"/>
              <w:left w:val="single" w:color="B8C4D2" w:sz="4"/>
              <w:bottom w:val="single" w:color="B8C4D2" w:sz="4"/>
              <w:right w:val="single" w:color="B8C4D2" w:sz="4"/>
            </w:tcBorders>
            <w:shd w:fill="F3F5F8" w:color="auto" w:val="clear"/>
            <w:tcMar>
              <w:top w:type="dxa" w:w="50"/>
              <w:left w:type="dxa" w:w="90"/>
              <w:bottom w:type="dxa" w:w="50"/>
              <w:right w:type="dxa" w:w="90"/>
            </w:tcMar>
          </w:tcPr>
          <w:p>
            <w:pPr>
              <w:spacing w:after="0" w:line="240"/>
            </w:pPr>
            <w:r>
              <w:rPr>
                <w:rFonts w:ascii="Calibri" w:cs="Calibri" w:eastAsia="Calibri" w:hAnsi="Calibri"/>
                <w:b/>
                <w:bCs/>
                <w:sz w:val="16"/>
                <w:szCs w:val="16"/>
              </w:rPr>
              <w:t xml:space="preserve">Aplicação</w:t>
            </w:r>
          </w:p>
        </w:tc>
        <w:tc>
          <w:tcPr>
            <w:tcW w:type="dxa" w:w="2850"/>
            <w:tcBorders>
              <w:top w:val="single" w:color="B8C4D2" w:sz="4"/>
              <w:left w:val="single" w:color="B8C4D2" w:sz="4"/>
              <w:bottom w:val="single" w:color="B8C4D2" w:sz="4"/>
              <w:right w:val="single" w:color="B8C4D2" w:sz="4"/>
            </w:tcBorders>
            <w:shd w:fill="F3F5F8" w:color="auto" w:val="clear"/>
            <w:tcMar>
              <w:top w:type="dxa" w:w="50"/>
              <w:left w:type="dxa" w:w="90"/>
              <w:bottom w:type="dxa" w:w="50"/>
              <w:right w:type="dxa" w:w="90"/>
            </w:tcMar>
          </w:tcPr>
          <w:p>
            <w:pPr>
              <w:spacing w:after="0" w:line="240"/>
            </w:pPr>
            <w:r>
              <w:rPr>
                <w:rFonts w:ascii="Calibri" w:cs="Calibri" w:eastAsia="Calibri" w:hAnsi="Calibri"/>
                <w:sz w:val="16"/>
                <w:szCs w:val="16"/>
              </w:rPr>
              <w:t xml:space="preserve">Alto. O Lumis Insight é o fluxo de priorização e classificação de risco que atende 38 contas, com equipe dedicada (R$ 289 mil por mês).</w:t>
            </w:r>
          </w:p>
        </w:tc>
        <w:tc>
          <w:tcPr>
            <w:tcW w:type="dxa" w:w="2700"/>
            <w:tcBorders>
              <w:top w:val="single" w:color="B8C4D2" w:sz="4"/>
              <w:left w:val="single" w:color="B8C4D2" w:sz="4"/>
              <w:bottom w:val="single" w:color="B8C4D2" w:sz="4"/>
              <w:right w:val="single" w:color="B8C4D2" w:sz="4"/>
            </w:tcBorders>
            <w:shd w:fill="F3F5F8" w:color="auto" w:val="clear"/>
            <w:tcMar>
              <w:top w:type="dxa" w:w="50"/>
              <w:left w:type="dxa" w:w="90"/>
              <w:bottom w:type="dxa" w:w="50"/>
              <w:right w:type="dxa" w:w="90"/>
            </w:tcMar>
          </w:tcPr>
          <w:p>
            <w:pPr>
              <w:spacing w:after="0" w:line="240"/>
            </w:pPr>
            <w:r>
              <w:rPr>
                <w:rFonts w:ascii="Calibri" w:cs="Calibri" w:eastAsia="Calibri" w:hAnsi="Calibri"/>
                <w:sz w:val="16"/>
                <w:szCs w:val="16"/>
              </w:rPr>
              <w:t xml:space="preserve">Menor. Mesmo assim, o fluxo roda dentro do sistema hospitalar do cliente, que a Lumis não controla.</w:t>
            </w:r>
          </w:p>
        </w:tc>
        <w:tc>
          <w:tcPr>
            <w:tcW w:type="dxa" w:w="2588"/>
            <w:tcBorders>
              <w:top w:val="single" w:color="B8C4D2" w:sz="4"/>
              <w:left w:val="single" w:color="B8C4D2" w:sz="4"/>
              <w:bottom w:val="single" w:color="B8C4D2" w:sz="4"/>
              <w:right w:val="single" w:color="B8C4D2" w:sz="4"/>
            </w:tcBorders>
            <w:shd w:fill="F3F5F8" w:color="auto" w:val="clear"/>
            <w:tcMar>
              <w:top w:type="dxa" w:w="50"/>
              <w:left w:type="dxa" w:w="90"/>
              <w:bottom w:type="dxa" w:w="50"/>
              <w:right w:type="dxa" w:w="90"/>
            </w:tcMar>
          </w:tcPr>
          <w:p>
            <w:pPr>
              <w:spacing w:after="0" w:line="240"/>
            </w:pPr>
            <w:r>
              <w:rPr>
                <w:rFonts w:ascii="Calibri" w:cs="Calibri" w:eastAsia="Calibri" w:hAnsi="Calibri"/>
                <w:sz w:val="16"/>
                <w:szCs w:val="16"/>
              </w:rPr>
              <w:t xml:space="preserve">É onde a Lumis tem mais controle. Mas é o dono do prontuário quem decide o que entra no fluxo do hospital.</w:t>
            </w:r>
          </w:p>
        </w:tc>
      </w:tr>
    </w:tbl>
    <w:p>
      <w:pPr>
        <w:spacing w:after="80"/>
      </w:pPr>
    </w:p>
    <w:p>
      <w:pPr>
        <w:spacing w:after="110" w:line="276"/>
        <w:jc w:val="both"/>
      </w:pPr>
      <w:r>
        <w:rPr>
          <w:rFonts w:ascii="Calibri" w:cs="Calibri" w:eastAsia="Calibri" w:hAnsi="Calibri"/>
          <w:b/>
          <w:bCs/>
          <w:sz w:val="20"/>
          <w:szCs w:val="20"/>
        </w:rPr>
        <w:t xml:space="preserve">Leitura estrutural.</w:t>
      </w:r>
      <w:r>
        <w:rPr>
          <w:rFonts w:ascii="Calibri" w:cs="Calibri" w:eastAsia="Calibri" w:hAnsi="Calibri"/>
          <w:sz w:val="20"/>
          <w:szCs w:val="20"/>
        </w:rPr>
        <w:t xml:space="preserve"> Em economias de informação, o valor migra para quem controla o gargalo (Shapiro; Varian, 1999). No caso da Lumis, os gargalos são dois: a </w:t>
      </w:r>
      <w:r>
        <w:rPr>
          <w:rFonts w:ascii="Calibri" w:cs="Calibri" w:eastAsia="Calibri" w:hAnsi="Calibri"/>
          <w:b/>
          <w:bCs/>
          <w:sz w:val="20"/>
          <w:szCs w:val="20"/>
        </w:rPr>
        <w:t xml:space="preserve">distribuição dentro do fluxo hospitalar</w:t>
      </w:r>
      <w:r>
        <w:rPr>
          <w:rFonts w:ascii="Calibri" w:cs="Calibri" w:eastAsia="Calibri" w:hAnsi="Calibri"/>
          <w:sz w:val="20"/>
          <w:szCs w:val="20"/>
        </w:rPr>
        <w:t xml:space="preserve">, que pertence ao dono do prontuário, e o </w:t>
      </w:r>
      <w:r>
        <w:rPr>
          <w:rFonts w:ascii="Calibri" w:cs="Calibri" w:eastAsia="Calibri" w:hAnsi="Calibri"/>
          <w:b/>
          <w:bCs/>
          <w:sz w:val="20"/>
          <w:szCs w:val="20"/>
        </w:rPr>
        <w:t xml:space="preserve">direito de usar dado de desfecho</w:t>
      </w:r>
      <w:r>
        <w:rPr>
          <w:rFonts w:ascii="Calibri" w:cs="Calibri" w:eastAsia="Calibri" w:hAnsi="Calibri"/>
          <w:sz w:val="20"/>
          <w:szCs w:val="20"/>
        </w:rPr>
        <w:t xml:space="preserve">, que pertence ao cliente. Nenhum dos dois é controlado pela Lumis. Ela opera espremida entre fornecedores concentrados em cima e compradores com alternativas embaixo.</w:t>
      </w:r>
    </w:p>
    <w:p>
      <w:pPr>
        <w:spacing w:after="110" w:line="276"/>
        <w:jc w:val="both"/>
      </w:pPr>
      <w:r>
        <w:rPr>
          <w:rFonts w:ascii="Calibri" w:cs="Calibri" w:eastAsia="Calibri" w:hAnsi="Calibri"/>
          <w:b/>
          <w:bCs/>
          <w:sz w:val="20"/>
          <w:szCs w:val="20"/>
        </w:rPr>
        <w:t xml:space="preserve">Integração e operação</w:t>
      </w:r>
      <w:r>
        <w:rPr>
          <w:rFonts w:ascii="Calibri" w:cs="Calibri" w:eastAsia="Calibri" w:hAnsi="Calibri"/>
          <w:sz w:val="20"/>
          <w:szCs w:val="20"/>
        </w:rPr>
        <w:t xml:space="preserve"> funcionam como uma capacidade transversal às quatro camadas. O Lumis Insight só gera valor quando é bem implementado, compreendido e incorporado à rotina real do cliente, com suporte e treinamento adequados.</w:t>
      </w:r>
    </w:p>
    <w:p>
      <w:pPr>
        <w:pStyle w:val="Heading1"/>
        <w:keepNext/>
        <w:spacing w:after="100" w:before="220"/>
      </w:pPr>
      <w:r>
        <w:rPr>
          <w:rFonts w:ascii="Calibri" w:cs="Calibri" w:eastAsia="Calibri" w:hAnsi="Calibri"/>
          <w:b/>
          <w:bCs/>
          <w:color w:val="1F3A5F"/>
          <w:sz w:val="24"/>
          <w:szCs w:val="24"/>
        </w:rPr>
        <w:t xml:space="preserve">3. Participantes, mercado e posicionamento competitivo</w:t>
      </w:r>
    </w:p>
    <w:p>
      <w:pPr>
        <w:spacing w:after="110" w:line="276"/>
        <w:jc w:val="both"/>
      </w:pPr>
      <w:r>
        <w:rPr>
          <w:rFonts w:ascii="Calibri" w:cs="Calibri" w:eastAsia="Calibri" w:hAnsi="Calibri"/>
          <w:sz w:val="20"/>
          <w:szCs w:val="20"/>
        </w:rPr>
        <w:t xml:space="preserve">O mercado endereçável no Brasil para IA aplicada à gestão clínica e de risco é estimado em R$ 2,1 bilhões em 2026, com projeção de R$ 3,4 bilhões em 2029. Isso equivale a um crescimento de cerca de </w:t>
      </w:r>
      <w:r>
        <w:rPr>
          <w:rFonts w:ascii="Calibri" w:cs="Calibri" w:eastAsia="Calibri" w:hAnsi="Calibri"/>
          <w:b/>
          <w:bCs/>
          <w:sz w:val="20"/>
          <w:szCs w:val="20"/>
        </w:rPr>
        <w:t xml:space="preserve">17,4% ao ano</w:t>
      </w:r>
      <w:r>
        <w:rPr>
          <w:rFonts w:ascii="Calibri" w:cs="Calibri" w:eastAsia="Calibri" w:hAnsi="Calibri"/>
          <w:sz w:val="20"/>
          <w:szCs w:val="20"/>
        </w:rPr>
        <w:t xml:space="preserve">. A Lumis tem cerca de 2% (ARR de R$ 41,2 mi) e cresce 62% ao ano. Manter os 2% em 2029 significa chegar a R$ 68 mi. Chegar a 5% exigiria crescer cerca de </w:t>
      </w:r>
      <w:r>
        <w:rPr>
          <w:rFonts w:ascii="Calibri" w:cs="Calibri" w:eastAsia="Calibri" w:hAnsi="Calibri"/>
          <w:b/>
          <w:bCs/>
          <w:sz w:val="20"/>
          <w:szCs w:val="20"/>
        </w:rPr>
        <w:t xml:space="preserve">60% ao ano por três anos seguidos</w:t>
      </w:r>
      <w:r>
        <w:rPr>
          <w:rFonts w:ascii="Calibri" w:cs="Calibri" w:eastAsia="Calibri" w:hAnsi="Calibri"/>
          <w:sz w:val="20"/>
          <w:szCs w:val="20"/>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50"/>
        <w:gridCol w:w="1350"/>
        <w:gridCol w:w="6638"/>
      </w:tblGrid>
      <w:tr>
        <w:trPr>
          <w:cantSplit/>
          <w:tblHeader/>
        </w:trPr>
        <w:tc>
          <w:tcPr>
            <w:tcW w:type="dxa" w:w="1650"/>
            <w:tcBorders>
              <w:top w:val="single" w:color="B8C4D2" w:sz="4"/>
              <w:left w:val="single" w:color="B8C4D2" w:sz="4"/>
              <w:bottom w:val="single" w:color="B8C4D2" w:sz="4"/>
              <w:right w:val="single" w:color="B8C4D2" w:sz="4"/>
            </w:tcBorders>
            <w:shd w:fill="1F3A5F" w:color="auto" w:val="clear"/>
            <w:tcMar>
              <w:top w:type="dxa" w:w="50"/>
              <w:left w:type="dxa" w:w="90"/>
              <w:bottom w:type="dxa" w:w="50"/>
              <w:right w:type="dxa" w:w="90"/>
            </w:tcMar>
          </w:tcPr>
          <w:p>
            <w:pPr>
              <w:spacing w:after="0" w:line="240"/>
            </w:pPr>
            <w:r>
              <w:rPr>
                <w:rFonts w:ascii="Calibri" w:cs="Calibri" w:eastAsia="Calibri" w:hAnsi="Calibri"/>
                <w:b/>
                <w:bCs/>
                <w:color w:val="FFFFFF"/>
                <w:sz w:val="16"/>
                <w:szCs w:val="16"/>
              </w:rPr>
              <w:t xml:space="preserve">Participante</w:t>
            </w:r>
          </w:p>
        </w:tc>
        <w:tc>
          <w:tcPr>
            <w:tcW w:type="dxa" w:w="1350"/>
            <w:tcBorders>
              <w:top w:val="single" w:color="B8C4D2" w:sz="4"/>
              <w:left w:val="single" w:color="B8C4D2" w:sz="4"/>
              <w:bottom w:val="single" w:color="B8C4D2" w:sz="4"/>
              <w:right w:val="single" w:color="B8C4D2" w:sz="4"/>
            </w:tcBorders>
            <w:shd w:fill="1F3A5F" w:color="auto" w:val="clear"/>
            <w:tcMar>
              <w:top w:type="dxa" w:w="50"/>
              <w:left w:type="dxa" w:w="90"/>
              <w:bottom w:type="dxa" w:w="50"/>
              <w:right w:type="dxa" w:w="90"/>
            </w:tcMar>
          </w:tcPr>
          <w:p>
            <w:pPr>
              <w:spacing w:after="0" w:line="240"/>
            </w:pPr>
            <w:r>
              <w:rPr>
                <w:rFonts w:ascii="Calibri" w:cs="Calibri" w:eastAsia="Calibri" w:hAnsi="Calibri"/>
                <w:b/>
                <w:bCs/>
                <w:color w:val="FFFFFF"/>
                <w:sz w:val="16"/>
                <w:szCs w:val="16"/>
              </w:rPr>
              <w:t xml:space="preserve">Classificação</w:t>
            </w:r>
          </w:p>
        </w:tc>
        <w:tc>
          <w:tcPr>
            <w:tcW w:type="dxa" w:w="6638"/>
            <w:tcBorders>
              <w:top w:val="single" w:color="B8C4D2" w:sz="4"/>
              <w:left w:val="single" w:color="B8C4D2" w:sz="4"/>
              <w:bottom w:val="single" w:color="B8C4D2" w:sz="4"/>
              <w:right w:val="single" w:color="B8C4D2" w:sz="4"/>
            </w:tcBorders>
            <w:shd w:fill="1F3A5F" w:color="auto" w:val="clear"/>
            <w:tcMar>
              <w:top w:type="dxa" w:w="50"/>
              <w:left w:type="dxa" w:w="90"/>
              <w:bottom w:type="dxa" w:w="50"/>
              <w:right w:type="dxa" w:w="90"/>
            </w:tcMar>
          </w:tcPr>
          <w:p>
            <w:pPr>
              <w:spacing w:after="0" w:line="240"/>
            </w:pPr>
            <w:r>
              <w:rPr>
                <w:rFonts w:ascii="Calibri" w:cs="Calibri" w:eastAsia="Calibri" w:hAnsi="Calibri"/>
                <w:b/>
                <w:bCs/>
                <w:color w:val="FFFFFF"/>
                <w:sz w:val="16"/>
                <w:szCs w:val="16"/>
              </w:rPr>
              <w:t xml:space="preserve">Mecanismo de ameaça</w:t>
            </w:r>
          </w:p>
        </w:tc>
      </w:tr>
      <w:tr>
        <w:trPr>
          <w:cantSplit/>
          <w:tblHeader w:val="off"/>
        </w:trPr>
        <w:tc>
          <w:tcPr>
            <w:tcW w:type="dxa" w:w="1650"/>
            <w:tcBorders>
              <w:top w:val="single" w:color="B8C4D2" w:sz="4"/>
              <w:left w:val="single" w:color="B8C4D2" w:sz="4"/>
              <w:bottom w:val="single" w:color="B8C4D2" w:sz="4"/>
              <w:right w:val="single" w:color="B8C4D2" w:sz="4"/>
            </w:tcBorders>
            <w:shd w:fill="FFFFFF" w:color="auto" w:val="clear"/>
            <w:tcMar>
              <w:top w:type="dxa" w:w="50"/>
              <w:left w:type="dxa" w:w="90"/>
              <w:bottom w:type="dxa" w:w="50"/>
              <w:right w:type="dxa" w:w="90"/>
            </w:tcMar>
          </w:tcPr>
          <w:p>
            <w:pPr>
              <w:spacing w:after="0" w:line="240"/>
            </w:pPr>
            <w:r>
              <w:rPr>
                <w:rFonts w:ascii="Calibri" w:cs="Calibri" w:eastAsia="Calibri" w:hAnsi="Calibri"/>
                <w:b/>
                <w:bCs/>
                <w:sz w:val="16"/>
                <w:szCs w:val="16"/>
              </w:rPr>
              <w:t xml:space="preserve">Aster Health</w:t>
            </w:r>
          </w:p>
        </w:tc>
        <w:tc>
          <w:tcPr>
            <w:tcW w:type="dxa" w:w="1350"/>
            <w:tcBorders>
              <w:top w:val="single" w:color="B8C4D2" w:sz="4"/>
              <w:left w:val="single" w:color="B8C4D2" w:sz="4"/>
              <w:bottom w:val="single" w:color="B8C4D2" w:sz="4"/>
              <w:right w:val="single" w:color="B8C4D2" w:sz="4"/>
            </w:tcBorders>
            <w:shd w:fill="FFFFFF" w:color="auto" w:val="clear"/>
            <w:tcMar>
              <w:top w:type="dxa" w:w="50"/>
              <w:left w:type="dxa" w:w="90"/>
              <w:bottom w:type="dxa" w:w="50"/>
              <w:right w:type="dxa" w:w="90"/>
            </w:tcMar>
          </w:tcPr>
          <w:p>
            <w:pPr>
              <w:spacing w:after="0" w:line="240"/>
            </w:pPr>
            <w:r>
              <w:rPr>
                <w:rFonts w:ascii="Calibri" w:cs="Calibri" w:eastAsia="Calibri" w:hAnsi="Calibri"/>
                <w:sz w:val="16"/>
                <w:szCs w:val="16"/>
              </w:rPr>
              <w:t xml:space="preserve">Direto atual</w:t>
            </w:r>
          </w:p>
        </w:tc>
        <w:tc>
          <w:tcPr>
            <w:tcW w:type="dxa" w:w="6638"/>
            <w:tcBorders>
              <w:top w:val="single" w:color="B8C4D2" w:sz="4"/>
              <w:left w:val="single" w:color="B8C4D2" w:sz="4"/>
              <w:bottom w:val="single" w:color="B8C4D2" w:sz="4"/>
              <w:right w:val="single" w:color="B8C4D2" w:sz="4"/>
            </w:tcBorders>
            <w:shd w:fill="FFFFFF" w:color="auto" w:val="clear"/>
            <w:tcMar>
              <w:top w:type="dxa" w:w="50"/>
              <w:left w:type="dxa" w:w="90"/>
              <w:bottom w:type="dxa" w:w="50"/>
              <w:right w:type="dxa" w:w="90"/>
            </w:tcMar>
          </w:tcPr>
          <w:p>
            <w:pPr>
              <w:spacing w:after="0" w:line="240"/>
            </w:pPr>
            <w:r>
              <w:rPr>
                <w:rFonts w:ascii="Calibri" w:cs="Calibri" w:eastAsia="Calibri" w:hAnsi="Calibri"/>
                <w:b/>
                <w:bCs/>
                <w:sz w:val="16"/>
                <w:szCs w:val="16"/>
              </w:rPr>
              <w:t xml:space="preserve">Distribuição embutida.</w:t>
            </w:r>
            <w:r>
              <w:rPr>
                <w:rFonts w:ascii="Calibri" w:cs="Calibri" w:eastAsia="Calibri" w:hAnsi="Calibri"/>
                <w:sz w:val="16"/>
                <w:szCs w:val="16"/>
              </w:rPr>
              <w:t xml:space="preserve"> O sistema já está em 210 hospitais, e o módulo de IA custa R$ 340 mil sobre o contrato existente. Esse valor não deve ser comparado ao ticket total da Lumis (R$ 1,084 mi). A comparação que pesa é a decisão do hospital: ativar um módulo do fornecedor que já usa ou contratar um fornecedor novo. Há análogos reais desse padrão no Brasil: a MV está em 894 hospitais na América Latina e o Tasy em 500 (KLAS, 2025)², e a Rede D'Or está ampliando o Tasy de 50 para 60 hospitais³.</w:t>
            </w:r>
          </w:p>
        </w:tc>
      </w:tr>
      <w:tr>
        <w:trPr>
          <w:cantSplit/>
          <w:tblHeader w:val="off"/>
        </w:trPr>
        <w:tc>
          <w:tcPr>
            <w:tcW w:type="dxa" w:w="1650"/>
            <w:tcBorders>
              <w:top w:val="single" w:color="B8C4D2" w:sz="4"/>
              <w:left w:val="single" w:color="B8C4D2" w:sz="4"/>
              <w:bottom w:val="single" w:color="B8C4D2" w:sz="4"/>
              <w:right w:val="single" w:color="B8C4D2" w:sz="4"/>
            </w:tcBorders>
            <w:shd w:fill="F3F5F8" w:color="auto" w:val="clear"/>
            <w:tcMar>
              <w:top w:type="dxa" w:w="50"/>
              <w:left w:type="dxa" w:w="90"/>
              <w:bottom w:type="dxa" w:w="50"/>
              <w:right w:type="dxa" w:w="90"/>
            </w:tcMar>
          </w:tcPr>
          <w:p>
            <w:pPr>
              <w:spacing w:after="0" w:line="240"/>
            </w:pPr>
            <w:r>
              <w:rPr>
                <w:rFonts w:ascii="Calibri" w:cs="Calibri" w:eastAsia="Calibri" w:hAnsi="Calibri"/>
                <w:b/>
                <w:bCs/>
                <w:sz w:val="16"/>
                <w:szCs w:val="16"/>
              </w:rPr>
              <w:t xml:space="preserve">Núcleo Saúde Analytics</w:t>
            </w:r>
          </w:p>
        </w:tc>
        <w:tc>
          <w:tcPr>
            <w:tcW w:type="dxa" w:w="1350"/>
            <w:tcBorders>
              <w:top w:val="single" w:color="B8C4D2" w:sz="4"/>
              <w:left w:val="single" w:color="B8C4D2" w:sz="4"/>
              <w:bottom w:val="single" w:color="B8C4D2" w:sz="4"/>
              <w:right w:val="single" w:color="B8C4D2" w:sz="4"/>
            </w:tcBorders>
            <w:shd w:fill="F3F5F8" w:color="auto" w:val="clear"/>
            <w:tcMar>
              <w:top w:type="dxa" w:w="50"/>
              <w:left w:type="dxa" w:w="90"/>
              <w:bottom w:type="dxa" w:w="50"/>
              <w:right w:type="dxa" w:w="90"/>
            </w:tcMar>
          </w:tcPr>
          <w:p>
            <w:pPr>
              <w:spacing w:after="0" w:line="240"/>
            </w:pPr>
            <w:r>
              <w:rPr>
                <w:rFonts w:ascii="Calibri" w:cs="Calibri" w:eastAsia="Calibri" w:hAnsi="Calibri"/>
                <w:sz w:val="16"/>
                <w:szCs w:val="16"/>
              </w:rPr>
              <w:t xml:space="preserve">Indireto, com potencial de virar direto</w:t>
            </w:r>
          </w:p>
        </w:tc>
        <w:tc>
          <w:tcPr>
            <w:tcW w:type="dxa" w:w="6638"/>
            <w:tcBorders>
              <w:top w:val="single" w:color="B8C4D2" w:sz="4"/>
              <w:left w:val="single" w:color="B8C4D2" w:sz="4"/>
              <w:bottom w:val="single" w:color="B8C4D2" w:sz="4"/>
              <w:right w:val="single" w:color="B8C4D2" w:sz="4"/>
            </w:tcBorders>
            <w:shd w:fill="F3F5F8" w:color="auto" w:val="clear"/>
            <w:tcMar>
              <w:top w:type="dxa" w:w="50"/>
              <w:left w:type="dxa" w:w="90"/>
              <w:bottom w:type="dxa" w:w="50"/>
              <w:right w:type="dxa" w:w="90"/>
            </w:tcMar>
          </w:tcPr>
          <w:p>
            <w:pPr>
              <w:spacing w:after="0" w:line="240"/>
            </w:pPr>
            <w:r>
              <w:rPr>
                <w:rFonts w:ascii="Calibri" w:cs="Calibri" w:eastAsia="Calibri" w:hAnsi="Calibri"/>
                <w:sz w:val="16"/>
                <w:szCs w:val="16"/>
              </w:rPr>
              <w:t xml:space="preserve">Tem 74 contas de BI hospitalar, quase o dobro da Lumis. Já está no hospital e já tem os dados e o relacionamento. Falta só a camada preditiva, que fica mais barata a cada ano.</w:t>
            </w:r>
          </w:p>
        </w:tc>
      </w:tr>
      <w:tr>
        <w:trPr>
          <w:cantSplit/>
          <w:tblHeader w:val="off"/>
        </w:trPr>
        <w:tc>
          <w:tcPr>
            <w:tcW w:type="dxa" w:w="1650"/>
            <w:tcBorders>
              <w:top w:val="single" w:color="B8C4D2" w:sz="4"/>
              <w:left w:val="single" w:color="B8C4D2" w:sz="4"/>
              <w:bottom w:val="single" w:color="B8C4D2" w:sz="4"/>
              <w:right w:val="single" w:color="B8C4D2" w:sz="4"/>
            </w:tcBorders>
            <w:shd w:fill="FFFFFF" w:color="auto" w:val="clear"/>
            <w:tcMar>
              <w:top w:type="dxa" w:w="50"/>
              <w:left w:type="dxa" w:w="90"/>
              <w:bottom w:type="dxa" w:w="50"/>
              <w:right w:type="dxa" w:w="90"/>
            </w:tcMar>
          </w:tcPr>
          <w:p>
            <w:pPr>
              <w:spacing w:after="0" w:line="240"/>
            </w:pPr>
            <w:r>
              <w:rPr>
                <w:rFonts w:ascii="Calibri" w:cs="Calibri" w:eastAsia="Calibri" w:hAnsi="Calibri"/>
                <w:b/>
                <w:bCs/>
                <w:sz w:val="16"/>
                <w:szCs w:val="16"/>
              </w:rPr>
              <w:t xml:space="preserve">Consultorias e integradores</w:t>
            </w:r>
          </w:p>
        </w:tc>
        <w:tc>
          <w:tcPr>
            <w:tcW w:type="dxa" w:w="1350"/>
            <w:tcBorders>
              <w:top w:val="single" w:color="B8C4D2" w:sz="4"/>
              <w:left w:val="single" w:color="B8C4D2" w:sz="4"/>
              <w:bottom w:val="single" w:color="B8C4D2" w:sz="4"/>
              <w:right w:val="single" w:color="B8C4D2" w:sz="4"/>
            </w:tcBorders>
            <w:shd w:fill="FFFFFF" w:color="auto" w:val="clear"/>
            <w:tcMar>
              <w:top w:type="dxa" w:w="50"/>
              <w:left w:type="dxa" w:w="90"/>
              <w:bottom w:type="dxa" w:w="50"/>
              <w:right w:type="dxa" w:w="90"/>
            </w:tcMar>
          </w:tcPr>
          <w:p>
            <w:pPr>
              <w:spacing w:after="0" w:line="240"/>
            </w:pPr>
            <w:r>
              <w:rPr>
                <w:rFonts w:ascii="Calibri" w:cs="Calibri" w:eastAsia="Calibri" w:hAnsi="Calibri"/>
                <w:sz w:val="16"/>
                <w:szCs w:val="16"/>
              </w:rPr>
              <w:t xml:space="preserve">Indireto atual</w:t>
            </w:r>
          </w:p>
        </w:tc>
        <w:tc>
          <w:tcPr>
            <w:tcW w:type="dxa" w:w="6638"/>
            <w:tcBorders>
              <w:top w:val="single" w:color="B8C4D2" w:sz="4"/>
              <w:left w:val="single" w:color="B8C4D2" w:sz="4"/>
              <w:bottom w:val="single" w:color="B8C4D2" w:sz="4"/>
              <w:right w:val="single" w:color="B8C4D2" w:sz="4"/>
            </w:tcBorders>
            <w:shd w:fill="FFFFFF" w:color="auto" w:val="clear"/>
            <w:tcMar>
              <w:top w:type="dxa" w:w="50"/>
              <w:left w:type="dxa" w:w="90"/>
              <w:bottom w:type="dxa" w:w="50"/>
              <w:right w:type="dxa" w:w="90"/>
            </w:tcMar>
          </w:tcPr>
          <w:p>
            <w:pPr>
              <w:spacing w:after="0" w:line="240"/>
            </w:pPr>
            <w:r>
              <w:rPr>
                <w:rFonts w:ascii="Calibri" w:cs="Calibri" w:eastAsia="Calibri" w:hAnsi="Calibri"/>
                <w:sz w:val="16"/>
                <w:szCs w:val="16"/>
              </w:rPr>
              <w:t xml:space="preserve">Já vendem projetos sob medida, de R$ 1,5 a 4,0 mi, sobre a mesma infraestrutura e os mesmos modelos. Disputam principalmente os clientes grandes.</w:t>
            </w:r>
          </w:p>
        </w:tc>
      </w:tr>
      <w:tr>
        <w:trPr>
          <w:cantSplit/>
          <w:tblHeader w:val="off"/>
        </w:trPr>
        <w:tc>
          <w:tcPr>
            <w:tcW w:type="dxa" w:w="1650"/>
            <w:tcBorders>
              <w:top w:val="single" w:color="B8C4D2" w:sz="4"/>
              <w:left w:val="single" w:color="B8C4D2" w:sz="4"/>
              <w:bottom w:val="single" w:color="B8C4D2" w:sz="4"/>
              <w:right w:val="single" w:color="B8C4D2" w:sz="4"/>
            </w:tcBorders>
            <w:shd w:fill="F3F5F8" w:color="auto" w:val="clear"/>
            <w:tcMar>
              <w:top w:type="dxa" w:w="50"/>
              <w:left w:type="dxa" w:w="90"/>
              <w:bottom w:type="dxa" w:w="50"/>
              <w:right w:type="dxa" w:w="90"/>
            </w:tcMar>
          </w:tcPr>
          <w:p>
            <w:pPr>
              <w:spacing w:after="0" w:line="240"/>
            </w:pPr>
            <w:r>
              <w:rPr>
                <w:rFonts w:ascii="Calibri" w:cs="Calibri" w:eastAsia="Calibri" w:hAnsi="Calibri"/>
                <w:b/>
                <w:bCs/>
                <w:sz w:val="16"/>
                <w:szCs w:val="16"/>
              </w:rPr>
              <w:t xml:space="preserve">Provedores de modelo fundacional</w:t>
            </w:r>
          </w:p>
        </w:tc>
        <w:tc>
          <w:tcPr>
            <w:tcW w:type="dxa" w:w="1350"/>
            <w:tcBorders>
              <w:top w:val="single" w:color="B8C4D2" w:sz="4"/>
              <w:left w:val="single" w:color="B8C4D2" w:sz="4"/>
              <w:bottom w:val="single" w:color="B8C4D2" w:sz="4"/>
              <w:right w:val="single" w:color="B8C4D2" w:sz="4"/>
            </w:tcBorders>
            <w:shd w:fill="F3F5F8" w:color="auto" w:val="clear"/>
            <w:tcMar>
              <w:top w:type="dxa" w:w="50"/>
              <w:left w:type="dxa" w:w="90"/>
              <w:bottom w:type="dxa" w:w="50"/>
              <w:right w:type="dxa" w:w="90"/>
            </w:tcMar>
          </w:tcPr>
          <w:p>
            <w:pPr>
              <w:spacing w:after="0" w:line="240"/>
            </w:pPr>
            <w:r>
              <w:rPr>
                <w:rFonts w:ascii="Calibri" w:cs="Calibri" w:eastAsia="Calibri" w:hAnsi="Calibri"/>
                <w:sz w:val="16"/>
                <w:szCs w:val="16"/>
              </w:rPr>
              <w:t xml:space="preserve">Fornecedor e concorrente potencial</w:t>
            </w:r>
          </w:p>
        </w:tc>
        <w:tc>
          <w:tcPr>
            <w:tcW w:type="dxa" w:w="6638"/>
            <w:tcBorders>
              <w:top w:val="single" w:color="B8C4D2" w:sz="4"/>
              <w:left w:val="single" w:color="B8C4D2" w:sz="4"/>
              <w:bottom w:val="single" w:color="B8C4D2" w:sz="4"/>
              <w:right w:val="single" w:color="B8C4D2" w:sz="4"/>
            </w:tcBorders>
            <w:shd w:fill="F3F5F8" w:color="auto" w:val="clear"/>
            <w:tcMar>
              <w:top w:type="dxa" w:w="50"/>
              <w:left w:type="dxa" w:w="90"/>
              <w:bottom w:type="dxa" w:w="50"/>
              <w:right w:type="dxa" w:w="90"/>
            </w:tcMar>
          </w:tcPr>
          <w:p>
            <w:pPr>
              <w:spacing w:after="0" w:line="240"/>
            </w:pPr>
            <w:r>
              <w:rPr>
                <w:rFonts w:ascii="Calibri" w:cs="Calibri" w:eastAsia="Calibri" w:hAnsi="Calibri"/>
                <w:sz w:val="16"/>
                <w:szCs w:val="16"/>
              </w:rPr>
              <w:t xml:space="preserve">O fornecedor da Lumis anunciou um módulo próprio para saúde. O movimento é real no mercado: a OpenAI lançou o OpenAI for Healthcare em 08/01/2026⁴, e a Anthropic lançou o Claude for Healthcare em 11/01/2026⁵ (análogos).</w:t>
            </w:r>
          </w:p>
        </w:tc>
      </w:tr>
      <w:tr>
        <w:trPr>
          <w:cantSplit/>
          <w:tblHeader w:val="off"/>
        </w:trPr>
        <w:tc>
          <w:tcPr>
            <w:tcW w:type="dxa" w:w="1650"/>
            <w:tcBorders>
              <w:top w:val="single" w:color="B8C4D2" w:sz="4"/>
              <w:left w:val="single" w:color="B8C4D2" w:sz="4"/>
              <w:bottom w:val="single" w:color="B8C4D2" w:sz="4"/>
              <w:right w:val="single" w:color="B8C4D2" w:sz="4"/>
            </w:tcBorders>
            <w:shd w:fill="FFFFFF" w:color="auto" w:val="clear"/>
            <w:tcMar>
              <w:top w:type="dxa" w:w="50"/>
              <w:left w:type="dxa" w:w="90"/>
              <w:bottom w:type="dxa" w:w="50"/>
              <w:right w:type="dxa" w:w="90"/>
            </w:tcMar>
          </w:tcPr>
          <w:p>
            <w:pPr>
              <w:spacing w:after="0" w:line="240"/>
            </w:pPr>
            <w:r>
              <w:rPr>
                <w:rFonts w:ascii="Calibri" w:cs="Calibri" w:eastAsia="Calibri" w:hAnsi="Calibri"/>
                <w:b/>
                <w:bCs/>
                <w:sz w:val="16"/>
                <w:szCs w:val="16"/>
              </w:rPr>
              <w:t xml:space="preserve">Grandes clientes</w:t>
            </w:r>
            <w:r>
              <w:rPr>
                <w:rFonts w:ascii="Calibri" w:cs="Calibri" w:eastAsia="Calibri" w:hAnsi="Calibri"/>
                <w:sz w:val="16"/>
                <w:szCs w:val="16"/>
              </w:rPr>
              <w:t xml:space="preserve"> (redes, operadoras, bancos)</w:t>
            </w:r>
          </w:p>
        </w:tc>
        <w:tc>
          <w:tcPr>
            <w:tcW w:type="dxa" w:w="1350"/>
            <w:tcBorders>
              <w:top w:val="single" w:color="B8C4D2" w:sz="4"/>
              <w:left w:val="single" w:color="B8C4D2" w:sz="4"/>
              <w:bottom w:val="single" w:color="B8C4D2" w:sz="4"/>
              <w:right w:val="single" w:color="B8C4D2" w:sz="4"/>
            </w:tcBorders>
            <w:shd w:fill="FFFFFF" w:color="auto" w:val="clear"/>
            <w:tcMar>
              <w:top w:type="dxa" w:w="50"/>
              <w:left w:type="dxa" w:w="90"/>
              <w:bottom w:type="dxa" w:w="50"/>
              <w:right w:type="dxa" w:w="90"/>
            </w:tcMar>
          </w:tcPr>
          <w:p>
            <w:pPr>
              <w:spacing w:after="0" w:line="240"/>
            </w:pPr>
            <w:r>
              <w:rPr>
                <w:rFonts w:ascii="Calibri" w:cs="Calibri" w:eastAsia="Calibri" w:hAnsi="Calibri"/>
                <w:sz w:val="16"/>
                <w:szCs w:val="16"/>
              </w:rPr>
              <w:t xml:space="preserve">Potencial, por internalização</w:t>
            </w:r>
          </w:p>
        </w:tc>
        <w:tc>
          <w:tcPr>
            <w:tcW w:type="dxa" w:w="6638"/>
            <w:tcBorders>
              <w:top w:val="single" w:color="B8C4D2" w:sz="4"/>
              <w:left w:val="single" w:color="B8C4D2" w:sz="4"/>
              <w:bottom w:val="single" w:color="B8C4D2" w:sz="4"/>
              <w:right w:val="single" w:color="B8C4D2" w:sz="4"/>
            </w:tcBorders>
            <w:shd w:fill="FFFFFF" w:color="auto" w:val="clear"/>
            <w:tcMar>
              <w:top w:type="dxa" w:w="50"/>
              <w:left w:type="dxa" w:w="90"/>
              <w:bottom w:type="dxa" w:w="50"/>
              <w:right w:type="dxa" w:w="90"/>
            </w:tcMar>
          </w:tcPr>
          <w:p>
            <w:pPr>
              <w:spacing w:after="0" w:line="240"/>
            </w:pPr>
            <w:r>
              <w:rPr>
                <w:rFonts w:ascii="Calibri" w:cs="Calibri" w:eastAsia="Calibri" w:hAnsi="Calibri"/>
                <w:sz w:val="16"/>
                <w:szCs w:val="16"/>
              </w:rPr>
              <w:t xml:space="preserve">Os compradores mais valiosos são os que mais conseguem dispensar a Lumis. Análogos: o Einstein tem perto de 120 algoritmos próprios em uso⁶, e o Itaú opera mais de 1,3 mil modelos de IA⁷. Eles são concorrentes que já "têm distribuição junto aos mesmos clientes", porque são os próprios clientes.</w:t>
            </w:r>
          </w:p>
        </w:tc>
      </w:tr>
    </w:tbl>
    <w:p>
      <w:pPr>
        <w:spacing w:after="80"/>
      </w:pPr>
    </w:p>
    <w:p>
      <w:pPr>
        <w:spacing w:after="110" w:line="276"/>
        <w:jc w:val="both"/>
      </w:pPr>
      <w:r>
        <w:rPr>
          <w:rFonts w:ascii="Calibri" w:cs="Calibri" w:eastAsia="Calibri" w:hAnsi="Calibri"/>
          <w:b/>
          <w:bCs/>
          <w:sz w:val="20"/>
          <w:szCs w:val="20"/>
        </w:rPr>
        <w:t xml:space="preserve">Fora da saúde.</w:t>
      </w:r>
      <w:r>
        <w:rPr>
          <w:rFonts w:ascii="Calibri" w:cs="Calibri" w:eastAsia="Calibri" w:hAnsi="Calibri"/>
          <w:sz w:val="20"/>
          <w:szCs w:val="20"/>
        </w:rPr>
        <w:t xml:space="preserve"> 14 das 38 contas (36,8%) são seguradoras e bancos. A Aster não chega a esses clientes, mas os grandes compradores desses setores tendem a desenvolver IA internamente ou a comprar de birôs de dados. Isso torna a presença em três segmentos um diferencial contra a Aster, mas não contra a internalização.</w:t>
      </w:r>
    </w:p>
    <w:p>
      <w:pPr>
        <w:spacing w:after="110" w:line="276"/>
        <w:jc w:val="both"/>
      </w:pPr>
      <w:r>
        <w:rPr>
          <w:rFonts w:ascii="Calibri" w:cs="Calibri" w:eastAsia="Calibri" w:hAnsi="Calibri"/>
          <w:b/>
          <w:bCs/>
          <w:sz w:val="20"/>
          <w:szCs w:val="20"/>
        </w:rPr>
        <w:t xml:space="preserve">Contraevidência: distribuição não garante qualidade.</w:t>
      </w:r>
      <w:r>
        <w:rPr>
          <w:rFonts w:ascii="Calibri" w:cs="Calibri" w:eastAsia="Calibri" w:hAnsi="Calibri"/>
          <w:sz w:val="20"/>
          <w:szCs w:val="20"/>
        </w:rPr>
        <w:t xml:space="preserve"> O modelo de sepse da Epic, embutido no prontuário e adotado em larga escala, teve AUC de 0,63 na validação externa e deixou de identificar 67% dos casos (Wong et al., 2021)⁸. Esse caso já foi usado no nosso Mapa da Situação. Ele abre espaço para competir por </w:t>
      </w:r>
      <w:r>
        <w:rPr>
          <w:rFonts w:ascii="Calibri" w:cs="Calibri" w:eastAsia="Calibri" w:hAnsi="Calibri"/>
          <w:b/>
          <w:bCs/>
          <w:sz w:val="20"/>
          <w:szCs w:val="20"/>
        </w:rPr>
        <w:t xml:space="preserve">qualidade comprovada</w:t>
      </w:r>
      <w:r>
        <w:rPr>
          <w:rFonts w:ascii="Calibri" w:cs="Calibri" w:eastAsia="Calibri" w:hAnsi="Calibri"/>
          <w:sz w:val="20"/>
          <w:szCs w:val="20"/>
        </w:rPr>
        <w:t xml:space="preserve">. Só que a Lumis tem o mesmo problema: o "94% de acurácia" vem de uma validação de 2023 com dois hospitais da mesma região. Em campo, a acurácia é de 87,6%, e o falso negativo sobe de 7,4% para 17,7%, chegando a 31,8% em pacientes com 60 anos ou mais de CEP D/E (dados de desempenho do Anexo A). Esse argumento só vale para a Lumis depois que ela corrigir essa distância.</w:t>
      </w:r>
    </w:p>
    <w:p>
      <w:pPr>
        <w:pStyle w:val="Heading1"/>
        <w:keepNext/>
        <w:spacing w:after="100" w:before="220"/>
      </w:pPr>
      <w:r>
        <w:rPr>
          <w:rFonts w:ascii="Calibri" w:cs="Calibri" w:eastAsia="Calibri" w:hAnsi="Calibri"/>
          <w:b/>
          <w:bCs/>
          <w:color w:val="1F3A5F"/>
          <w:sz w:val="24"/>
          <w:szCs w:val="24"/>
        </w:rPr>
        <w:t xml:space="preserve">4. Dependências críticas: o que acontece se cada fornecedor mudar</w:t>
      </w:r>
    </w:p>
    <w:p>
      <w:pPr>
        <w:spacing w:after="110" w:line="276"/>
        <w:jc w:val="both"/>
      </w:pPr>
      <w:r>
        <w:rPr>
          <w:rFonts w:ascii="Calibri" w:cs="Calibri" w:eastAsia="Calibri" w:hAnsi="Calibri"/>
          <w:sz w:val="20"/>
          <w:szCs w:val="20"/>
        </w:rPr>
        <w:t xml:space="preserve">A tabela segue a ordem de criticidade. </w:t>
      </w:r>
      <w:r>
        <w:rPr>
          <w:rFonts w:ascii="Calibri" w:cs="Calibri" w:eastAsia="Calibri" w:hAnsi="Calibri"/>
          <w:b/>
          <w:bCs/>
          <w:sz w:val="20"/>
          <w:szCs w:val="20"/>
        </w:rPr>
        <w:t xml:space="preserve">Dados de clientes</w:t>
      </w:r>
      <w:r>
        <w:rPr>
          <w:rFonts w:ascii="Calibri" w:cs="Calibri" w:eastAsia="Calibri" w:hAnsi="Calibri"/>
          <w:sz w:val="20"/>
          <w:szCs w:val="20"/>
        </w:rPr>
        <w:t xml:space="preserve"> vêm primeiro porque são a única dependência estrutural: sustentam o único ativo próprio e não têm substituto. O </w:t>
      </w:r>
      <w:r>
        <w:rPr>
          <w:rFonts w:ascii="Calibri" w:cs="Calibri" w:eastAsia="Calibri" w:hAnsi="Calibri"/>
          <w:b/>
          <w:bCs/>
          <w:sz w:val="20"/>
          <w:szCs w:val="20"/>
        </w:rPr>
        <w:t xml:space="preserve">modelo fundacional</w:t>
      </w:r>
      <w:r>
        <w:rPr>
          <w:rFonts w:ascii="Calibri" w:cs="Calibri" w:eastAsia="Calibri" w:hAnsi="Calibri"/>
          <w:sz w:val="20"/>
          <w:szCs w:val="20"/>
        </w:rPr>
        <w:t xml:space="preserve"> vem em seguida porque é a dependência mais rápida, com só 30 dias de aviso. As respostas são recomendações e não práticas que a Lumis já adote.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50"/>
        <w:gridCol w:w="2000"/>
        <w:gridCol w:w="2050"/>
        <w:gridCol w:w="2050"/>
        <w:gridCol w:w="2088"/>
      </w:tblGrid>
      <w:tr>
        <w:trPr>
          <w:cantSplit/>
          <w:tblHeader/>
        </w:trPr>
        <w:tc>
          <w:tcPr>
            <w:tcW w:type="dxa" w:w="1450"/>
            <w:tcBorders>
              <w:top w:val="single" w:color="B8C4D2" w:sz="4"/>
              <w:left w:val="single" w:color="B8C4D2" w:sz="4"/>
              <w:bottom w:val="single" w:color="B8C4D2" w:sz="4"/>
              <w:right w:val="single" w:color="B8C4D2" w:sz="4"/>
            </w:tcBorders>
            <w:shd w:fill="1F3A5F" w:color="auto" w:val="clear"/>
            <w:tcMar>
              <w:top w:type="dxa" w:w="50"/>
              <w:left w:type="dxa" w:w="90"/>
              <w:bottom w:type="dxa" w:w="50"/>
              <w:right w:type="dxa" w:w="90"/>
            </w:tcMar>
          </w:tcPr>
          <w:p>
            <w:pPr>
              <w:spacing w:after="0" w:line="240"/>
            </w:pPr>
            <w:r>
              <w:rPr>
                <w:rFonts w:ascii="Calibri" w:cs="Calibri" w:eastAsia="Calibri" w:hAnsi="Calibri"/>
                <w:b/>
                <w:bCs/>
                <w:color w:val="FFFFFF"/>
                <w:sz w:val="16"/>
                <w:szCs w:val="16"/>
              </w:rPr>
              <w:t xml:space="preserve">Dependência</w:t>
            </w:r>
          </w:p>
        </w:tc>
        <w:tc>
          <w:tcPr>
            <w:tcW w:type="dxa" w:w="2000"/>
            <w:tcBorders>
              <w:top w:val="single" w:color="B8C4D2" w:sz="4"/>
              <w:left w:val="single" w:color="B8C4D2" w:sz="4"/>
              <w:bottom w:val="single" w:color="B8C4D2" w:sz="4"/>
              <w:right w:val="single" w:color="B8C4D2" w:sz="4"/>
            </w:tcBorders>
            <w:shd w:fill="1F3A5F" w:color="auto" w:val="clear"/>
            <w:tcMar>
              <w:top w:type="dxa" w:w="50"/>
              <w:left w:type="dxa" w:w="90"/>
              <w:bottom w:type="dxa" w:w="50"/>
              <w:right w:type="dxa" w:w="90"/>
            </w:tcMar>
          </w:tcPr>
          <w:p>
            <w:pPr>
              <w:spacing w:after="0" w:line="240"/>
            </w:pPr>
            <w:r>
              <w:rPr>
                <w:rFonts w:ascii="Calibri" w:cs="Calibri" w:eastAsia="Calibri" w:hAnsi="Calibri"/>
                <w:b/>
                <w:bCs/>
                <w:color w:val="FFFFFF"/>
                <w:sz w:val="16"/>
                <w:szCs w:val="16"/>
              </w:rPr>
              <w:t xml:space="preserve">Se mudar PREÇO</w:t>
            </w:r>
          </w:p>
        </w:tc>
        <w:tc>
          <w:tcPr>
            <w:tcW w:type="dxa" w:w="2050"/>
            <w:tcBorders>
              <w:top w:val="single" w:color="B8C4D2" w:sz="4"/>
              <w:left w:val="single" w:color="B8C4D2" w:sz="4"/>
              <w:bottom w:val="single" w:color="B8C4D2" w:sz="4"/>
              <w:right w:val="single" w:color="B8C4D2" w:sz="4"/>
            </w:tcBorders>
            <w:shd w:fill="1F3A5F" w:color="auto" w:val="clear"/>
            <w:tcMar>
              <w:top w:type="dxa" w:w="50"/>
              <w:left w:type="dxa" w:w="90"/>
              <w:bottom w:type="dxa" w:w="50"/>
              <w:right w:type="dxa" w:w="90"/>
            </w:tcMar>
          </w:tcPr>
          <w:p>
            <w:pPr>
              <w:spacing w:after="0" w:line="240"/>
            </w:pPr>
            <w:r>
              <w:rPr>
                <w:rFonts w:ascii="Calibri" w:cs="Calibri" w:eastAsia="Calibri" w:hAnsi="Calibri"/>
                <w:b/>
                <w:bCs/>
                <w:color w:val="FFFFFF"/>
                <w:sz w:val="16"/>
                <w:szCs w:val="16"/>
              </w:rPr>
              <w:t xml:space="preserve">Se mudar TERMOS</w:t>
            </w:r>
          </w:p>
        </w:tc>
        <w:tc>
          <w:tcPr>
            <w:tcW w:type="dxa" w:w="2050"/>
            <w:tcBorders>
              <w:top w:val="single" w:color="B8C4D2" w:sz="4"/>
              <w:left w:val="single" w:color="B8C4D2" w:sz="4"/>
              <w:bottom w:val="single" w:color="B8C4D2" w:sz="4"/>
              <w:right w:val="single" w:color="B8C4D2" w:sz="4"/>
            </w:tcBorders>
            <w:shd w:fill="1F3A5F" w:color="auto" w:val="clear"/>
            <w:tcMar>
              <w:top w:type="dxa" w:w="50"/>
              <w:left w:type="dxa" w:w="90"/>
              <w:bottom w:type="dxa" w:w="50"/>
              <w:right w:type="dxa" w:w="90"/>
            </w:tcMar>
          </w:tcPr>
          <w:p>
            <w:pPr>
              <w:spacing w:after="0" w:line="240"/>
            </w:pPr>
            <w:r>
              <w:rPr>
                <w:rFonts w:ascii="Calibri" w:cs="Calibri" w:eastAsia="Calibri" w:hAnsi="Calibri"/>
                <w:b/>
                <w:bCs/>
                <w:color w:val="FFFFFF"/>
                <w:sz w:val="16"/>
                <w:szCs w:val="16"/>
              </w:rPr>
              <w:t xml:space="preserve">Se mudar ESCOPO</w:t>
            </w:r>
          </w:p>
        </w:tc>
        <w:tc>
          <w:tcPr>
            <w:tcW w:type="dxa" w:w="2088"/>
            <w:tcBorders>
              <w:top w:val="single" w:color="B8C4D2" w:sz="4"/>
              <w:left w:val="single" w:color="B8C4D2" w:sz="4"/>
              <w:bottom w:val="single" w:color="B8C4D2" w:sz="4"/>
              <w:right w:val="single" w:color="B8C4D2" w:sz="4"/>
            </w:tcBorders>
            <w:shd w:fill="1F3A5F" w:color="auto" w:val="clear"/>
            <w:tcMar>
              <w:top w:type="dxa" w:w="50"/>
              <w:left w:type="dxa" w:w="90"/>
              <w:bottom w:type="dxa" w:w="50"/>
              <w:right w:type="dxa" w:w="90"/>
            </w:tcMar>
          </w:tcPr>
          <w:p>
            <w:pPr>
              <w:spacing w:after="0" w:line="240"/>
            </w:pPr>
            <w:r>
              <w:rPr>
                <w:rFonts w:ascii="Calibri" w:cs="Calibri" w:eastAsia="Calibri" w:hAnsi="Calibri"/>
                <w:b/>
                <w:bCs/>
                <w:color w:val="FFFFFF"/>
                <w:sz w:val="16"/>
                <w:szCs w:val="16"/>
              </w:rPr>
              <w:t xml:space="preserve">Resposta possível</w:t>
            </w:r>
          </w:p>
        </w:tc>
      </w:tr>
      <w:tr>
        <w:trPr>
          <w:cantSplit/>
          <w:tblHeader w:val="off"/>
        </w:trPr>
        <w:tc>
          <w:tcPr>
            <w:tcW w:type="dxa" w:w="1450"/>
            <w:tcBorders>
              <w:top w:val="single" w:color="B8C4D2" w:sz="4"/>
              <w:left w:val="single" w:color="B8C4D2" w:sz="4"/>
              <w:bottom w:val="single" w:color="B8C4D2" w:sz="4"/>
              <w:right w:val="single" w:color="B8C4D2" w:sz="4"/>
            </w:tcBorders>
            <w:shd w:fill="FFFFFF" w:color="auto" w:val="clear"/>
            <w:tcMar>
              <w:top w:type="dxa" w:w="50"/>
              <w:left w:type="dxa" w:w="90"/>
              <w:bottom w:type="dxa" w:w="50"/>
              <w:right w:type="dxa" w:w="90"/>
            </w:tcMar>
          </w:tcPr>
          <w:p>
            <w:pPr>
              <w:spacing w:after="0" w:line="240"/>
            </w:pPr>
            <w:r>
              <w:rPr>
                <w:rFonts w:ascii="Calibri" w:cs="Calibri" w:eastAsia="Calibri" w:hAnsi="Calibri"/>
                <w:b/>
                <w:bCs/>
                <w:sz w:val="16"/>
                <w:szCs w:val="16"/>
              </w:rPr>
              <w:t xml:space="preserve">1. Dados de clientes</w:t>
            </w:r>
            <w:r>
              <w:rPr>
                <w:rFonts w:ascii="Calibri" w:cs="Calibri" w:eastAsia="Calibri" w:hAnsi="Calibri"/>
                <w:sz w:val="16"/>
                <w:szCs w:val="16"/>
              </w:rPr>
              <w:t xml:space="preserve"> (38 contratos). Hospital Vila Ipê: cláusula genérica, vence em 03/2027. Seguradora Prisma: contrato silente, vence em 12/2026.</w:t>
            </w:r>
          </w:p>
        </w:tc>
        <w:tc>
          <w:tcPr>
            <w:tcW w:type="dxa" w:w="2000"/>
            <w:tcBorders>
              <w:top w:val="single" w:color="B8C4D2" w:sz="4"/>
              <w:left w:val="single" w:color="B8C4D2" w:sz="4"/>
              <w:bottom w:val="single" w:color="B8C4D2" w:sz="4"/>
              <w:right w:val="single" w:color="B8C4D2" w:sz="4"/>
            </w:tcBorders>
            <w:shd w:fill="FFFFFF" w:color="auto" w:val="clear"/>
            <w:tcMar>
              <w:top w:type="dxa" w:w="50"/>
              <w:left w:type="dxa" w:w="90"/>
              <w:bottom w:type="dxa" w:w="50"/>
              <w:right w:type="dxa" w:w="90"/>
            </w:tcMar>
          </w:tcPr>
          <w:p>
            <w:pPr>
              <w:spacing w:after="0" w:line="240"/>
            </w:pPr>
            <w:r>
              <w:rPr>
                <w:rFonts w:ascii="Calibri" w:cs="Calibri" w:eastAsia="Calibri" w:hAnsi="Calibri"/>
                <w:sz w:val="16"/>
                <w:szCs w:val="16"/>
              </w:rPr>
              <w:t xml:space="preserve">Clientes podem passar a cobrar pelo dado ou exigir contrapartida.</w:t>
            </w:r>
          </w:p>
        </w:tc>
        <w:tc>
          <w:tcPr>
            <w:tcW w:type="dxa" w:w="2050"/>
            <w:tcBorders>
              <w:top w:val="single" w:color="B8C4D2" w:sz="4"/>
              <w:left w:val="single" w:color="B8C4D2" w:sz="4"/>
              <w:bottom w:val="single" w:color="B8C4D2" w:sz="4"/>
              <w:right w:val="single" w:color="B8C4D2" w:sz="4"/>
            </w:tcBorders>
            <w:shd w:fill="FFFFFF" w:color="auto" w:val="clear"/>
            <w:tcMar>
              <w:top w:type="dxa" w:w="50"/>
              <w:left w:type="dxa" w:w="90"/>
              <w:bottom w:type="dxa" w:w="50"/>
              <w:right w:type="dxa" w:w="90"/>
            </w:tcMar>
          </w:tcPr>
          <w:p>
            <w:pPr>
              <w:spacing w:after="0" w:line="240"/>
            </w:pPr>
            <w:r>
              <w:rPr>
                <w:rFonts w:ascii="Calibri" w:cs="Calibri" w:eastAsia="Calibri" w:hAnsi="Calibri"/>
                <w:sz w:val="16"/>
                <w:szCs w:val="16"/>
              </w:rPr>
              <w:t xml:space="preserve">Uma renegociação pode restringir o treinamento ou exigir a retirada de 35,4% dos dados de clientes, o que forçaria retreinar o modelo.</w:t>
            </w:r>
          </w:p>
        </w:tc>
        <w:tc>
          <w:tcPr>
            <w:tcW w:type="dxa" w:w="2050"/>
            <w:tcBorders>
              <w:top w:val="single" w:color="B8C4D2" w:sz="4"/>
              <w:left w:val="single" w:color="B8C4D2" w:sz="4"/>
              <w:bottom w:val="single" w:color="B8C4D2" w:sz="4"/>
              <w:right w:val="single" w:color="B8C4D2" w:sz="4"/>
            </w:tcBorders>
            <w:shd w:fill="FFFFFF" w:color="auto" w:val="clear"/>
            <w:tcMar>
              <w:top w:type="dxa" w:w="50"/>
              <w:left w:type="dxa" w:w="90"/>
              <w:bottom w:type="dxa" w:w="50"/>
              <w:right w:type="dxa" w:w="90"/>
            </w:tcMar>
          </w:tcPr>
          <w:p>
            <w:pPr>
              <w:spacing w:after="0" w:line="240"/>
            </w:pPr>
            <w:r>
              <w:rPr>
                <w:rFonts w:ascii="Calibri" w:cs="Calibri" w:eastAsia="Calibri" w:hAnsi="Calibri"/>
                <w:sz w:val="16"/>
                <w:szCs w:val="16"/>
              </w:rPr>
              <w:t xml:space="preserve">Clientes grandes podem levar os próprios dados para a Aster ou para o fornecedor de modelo.</w:t>
            </w:r>
          </w:p>
        </w:tc>
        <w:tc>
          <w:tcPr>
            <w:tcW w:type="dxa" w:w="2088"/>
            <w:tcBorders>
              <w:top w:val="single" w:color="B8C4D2" w:sz="4"/>
              <w:left w:val="single" w:color="B8C4D2" w:sz="4"/>
              <w:bottom w:val="single" w:color="B8C4D2" w:sz="4"/>
              <w:right w:val="single" w:color="B8C4D2" w:sz="4"/>
            </w:tcBorders>
            <w:shd w:fill="FFFFFF" w:color="auto" w:val="clear"/>
            <w:tcMar>
              <w:top w:type="dxa" w:w="50"/>
              <w:left w:type="dxa" w:w="90"/>
              <w:bottom w:type="dxa" w:w="50"/>
              <w:right w:type="dxa" w:w="90"/>
            </w:tcMar>
          </w:tcPr>
          <w:p>
            <w:pPr>
              <w:spacing w:after="0" w:line="240"/>
            </w:pPr>
            <w:r>
              <w:rPr>
                <w:rFonts w:ascii="Calibri" w:cs="Calibri" w:eastAsia="Calibri" w:hAnsi="Calibri"/>
                <w:sz w:val="16"/>
                <w:szCs w:val="16"/>
              </w:rPr>
              <w:t xml:space="preserve">Assinar aditivos de direito de uso antes dos vencimentos. Montar a linhagem de dados para isolar os registros frágeis. (A auditoria completa fica na Entrega 2.)</w:t>
            </w:r>
          </w:p>
        </w:tc>
      </w:tr>
      <w:tr>
        <w:trPr>
          <w:cantSplit/>
          <w:tblHeader w:val="off"/>
        </w:trPr>
        <w:tc>
          <w:tcPr>
            <w:tcW w:type="dxa" w:w="1450"/>
            <w:tcBorders>
              <w:top w:val="single" w:color="B8C4D2" w:sz="4"/>
              <w:left w:val="single" w:color="B8C4D2" w:sz="4"/>
              <w:bottom w:val="single" w:color="B8C4D2" w:sz="4"/>
              <w:right w:val="single" w:color="B8C4D2" w:sz="4"/>
            </w:tcBorders>
            <w:shd w:fill="F3F5F8" w:color="auto" w:val="clear"/>
            <w:tcMar>
              <w:top w:type="dxa" w:w="50"/>
              <w:left w:type="dxa" w:w="90"/>
              <w:bottom w:type="dxa" w:w="50"/>
              <w:right w:type="dxa" w:w="90"/>
            </w:tcMar>
          </w:tcPr>
          <w:p>
            <w:pPr>
              <w:spacing w:after="0" w:line="240"/>
            </w:pPr>
            <w:r>
              <w:rPr>
                <w:rFonts w:ascii="Calibri" w:cs="Calibri" w:eastAsia="Calibri" w:hAnsi="Calibri"/>
                <w:b/>
                <w:bCs/>
                <w:sz w:val="16"/>
                <w:szCs w:val="16"/>
              </w:rPr>
              <w:t xml:space="preserve">2. Modelo fundacional</w:t>
            </w:r>
            <w:r>
              <w:rPr>
                <w:rFonts w:ascii="Calibri" w:cs="Calibri" w:eastAsia="Calibri" w:hAnsi="Calibri"/>
                <w:sz w:val="16"/>
                <w:szCs w:val="16"/>
              </w:rPr>
              <w:t xml:space="preserve"> (fornecedor único, 44,3% do custo direto, 30 dias de aviso).</w:t>
            </w:r>
          </w:p>
        </w:tc>
        <w:tc>
          <w:tcPr>
            <w:tcW w:type="dxa" w:w="2000"/>
            <w:tcBorders>
              <w:top w:val="single" w:color="B8C4D2" w:sz="4"/>
              <w:left w:val="single" w:color="B8C4D2" w:sz="4"/>
              <w:bottom w:val="single" w:color="B8C4D2" w:sz="4"/>
              <w:right w:val="single" w:color="B8C4D2" w:sz="4"/>
            </w:tcBorders>
            <w:shd w:fill="F3F5F8" w:color="auto" w:val="clear"/>
            <w:tcMar>
              <w:top w:type="dxa" w:w="50"/>
              <w:left w:type="dxa" w:w="90"/>
              <w:bottom w:type="dxa" w:w="50"/>
              <w:right w:type="dxa" w:w="90"/>
            </w:tcMar>
          </w:tcPr>
          <w:p>
            <w:pPr>
              <w:spacing w:after="0" w:line="240"/>
            </w:pPr>
            <w:r>
              <w:rPr>
                <w:rFonts w:ascii="Calibri" w:cs="Calibri" w:eastAsia="Calibri" w:hAnsi="Calibri"/>
                <w:sz w:val="16"/>
                <w:szCs w:val="16"/>
              </w:rPr>
              <w:t xml:space="preserve">Com +20%, a margem bruta cai para 54,3%. Com +100%, cai para 39,5%, a queima vai a R$ 2,54 mi por mês e o runway cai de 11,6 para 8,7 meses. Há precedente: a Anthropic quadruplicou o preço do Haiku em 2024⁹.</w:t>
            </w:r>
          </w:p>
        </w:tc>
        <w:tc>
          <w:tcPr>
            <w:tcW w:type="dxa" w:w="2050"/>
            <w:tcBorders>
              <w:top w:val="single" w:color="B8C4D2" w:sz="4"/>
              <w:left w:val="single" w:color="B8C4D2" w:sz="4"/>
              <w:bottom w:val="single" w:color="B8C4D2" w:sz="4"/>
              <w:right w:val="single" w:color="B8C4D2" w:sz="4"/>
            </w:tcBorders>
            <w:shd w:fill="F3F5F8" w:color="auto" w:val="clear"/>
            <w:tcMar>
              <w:top w:type="dxa" w:w="50"/>
              <w:left w:type="dxa" w:w="90"/>
              <w:bottom w:type="dxa" w:w="50"/>
              <w:right w:type="dxa" w:w="90"/>
            </w:tcMar>
          </w:tcPr>
          <w:p>
            <w:pPr>
              <w:spacing w:after="0" w:line="240"/>
            </w:pPr>
            <w:r>
              <w:rPr>
                <w:rFonts w:ascii="Calibri" w:cs="Calibri" w:eastAsia="Calibri" w:hAnsi="Calibri"/>
                <w:sz w:val="16"/>
                <w:szCs w:val="16"/>
              </w:rPr>
              <w:t xml:space="preserve">A descontinuação de um modelo obriga a revalidar o sistema clínico. Já houve queda de desempenho depois de uma atualização do fornecedor (09/2025, registro de incidentes).</w:t>
            </w:r>
          </w:p>
        </w:tc>
        <w:tc>
          <w:tcPr>
            <w:tcW w:type="dxa" w:w="2050"/>
            <w:tcBorders>
              <w:top w:val="single" w:color="B8C4D2" w:sz="4"/>
              <w:left w:val="single" w:color="B8C4D2" w:sz="4"/>
              <w:bottom w:val="single" w:color="B8C4D2" w:sz="4"/>
              <w:right w:val="single" w:color="B8C4D2" w:sz="4"/>
            </w:tcBorders>
            <w:shd w:fill="F3F5F8" w:color="auto" w:val="clear"/>
            <w:tcMar>
              <w:top w:type="dxa" w:w="50"/>
              <w:left w:type="dxa" w:w="90"/>
              <w:bottom w:type="dxa" w:w="50"/>
              <w:right w:type="dxa" w:w="90"/>
            </w:tcMar>
          </w:tcPr>
          <w:p>
            <w:pPr>
              <w:spacing w:after="0" w:line="240"/>
            </w:pPr>
            <w:r>
              <w:rPr>
                <w:rFonts w:ascii="Calibri" w:cs="Calibri" w:eastAsia="Calibri" w:hAnsi="Calibri"/>
                <w:sz w:val="16"/>
                <w:szCs w:val="16"/>
              </w:rPr>
              <w:t xml:space="preserve">O módulo próprio de saúde transforma o fornecedor em concorrente na camada de aplicação.</w:t>
            </w:r>
          </w:p>
        </w:tc>
        <w:tc>
          <w:tcPr>
            <w:tcW w:type="dxa" w:w="2088"/>
            <w:tcBorders>
              <w:top w:val="single" w:color="B8C4D2" w:sz="4"/>
              <w:left w:val="single" w:color="B8C4D2" w:sz="4"/>
              <w:bottom w:val="single" w:color="B8C4D2" w:sz="4"/>
              <w:right w:val="single" w:color="B8C4D2" w:sz="4"/>
            </w:tcBorders>
            <w:shd w:fill="F3F5F8" w:color="auto" w:val="clear"/>
            <w:tcMar>
              <w:top w:type="dxa" w:w="50"/>
              <w:left w:type="dxa" w:w="90"/>
              <w:bottom w:type="dxa" w:w="50"/>
              <w:right w:type="dxa" w:w="90"/>
            </w:tcMar>
          </w:tcPr>
          <w:p>
            <w:pPr>
              <w:spacing w:after="0" w:line="240"/>
            </w:pPr>
            <w:r>
              <w:rPr>
                <w:rFonts w:ascii="Calibri" w:cs="Calibri" w:eastAsia="Calibri" w:hAnsi="Calibri"/>
                <w:sz w:val="16"/>
                <w:szCs w:val="16"/>
              </w:rPr>
              <w:t xml:space="preserve">Homologar um segundo fornecedor. Negociar preço e versão travados. Avaliar se o núcleo preditivo pode rodar em modelo próprio [hipótese: viável se a predição for sobre dados tabulares].</w:t>
            </w:r>
          </w:p>
        </w:tc>
      </w:tr>
      <w:tr>
        <w:trPr>
          <w:cantSplit/>
          <w:tblHeader w:val="off"/>
        </w:trPr>
        <w:tc>
          <w:tcPr>
            <w:tcW w:type="dxa" w:w="1450"/>
            <w:tcBorders>
              <w:top w:val="single" w:color="B8C4D2" w:sz="4"/>
              <w:left w:val="single" w:color="B8C4D2" w:sz="4"/>
              <w:bottom w:val="single" w:color="B8C4D2" w:sz="4"/>
              <w:right w:val="single" w:color="B8C4D2" w:sz="4"/>
            </w:tcBorders>
            <w:shd w:fill="FFFFFF" w:color="auto" w:val="clear"/>
            <w:tcMar>
              <w:top w:type="dxa" w:w="50"/>
              <w:left w:type="dxa" w:w="90"/>
              <w:bottom w:type="dxa" w:w="50"/>
              <w:right w:type="dxa" w:w="90"/>
            </w:tcMar>
          </w:tcPr>
          <w:p>
            <w:pPr>
              <w:spacing w:after="0" w:line="240"/>
            </w:pPr>
            <w:r>
              <w:rPr>
                <w:rFonts w:ascii="Calibri" w:cs="Calibri" w:eastAsia="Calibri" w:hAnsi="Calibri"/>
                <w:b/>
                <w:bCs/>
                <w:sz w:val="16"/>
                <w:szCs w:val="16"/>
              </w:rPr>
              <w:t xml:space="preserve">3. Câmbio</w:t>
            </w:r>
            <w:r>
              <w:rPr>
                <w:rFonts w:ascii="Calibri" w:cs="Calibri" w:eastAsia="Calibri" w:hAnsi="Calibri"/>
                <w:sz w:val="16"/>
                <w:szCs w:val="16"/>
              </w:rPr>
              <w:t xml:space="preserve"> (72,2% do custo em US$, receita em R$).</w:t>
            </w:r>
          </w:p>
        </w:tc>
        <w:tc>
          <w:tcPr>
            <w:tcW w:type="dxa" w:w="2000"/>
            <w:tcBorders>
              <w:top w:val="single" w:color="B8C4D2" w:sz="4"/>
              <w:left w:val="single" w:color="B8C4D2" w:sz="4"/>
              <w:bottom w:val="single" w:color="B8C4D2" w:sz="4"/>
              <w:right w:val="single" w:color="B8C4D2" w:sz="4"/>
            </w:tcBorders>
            <w:shd w:fill="FFFFFF" w:color="auto" w:val="clear"/>
            <w:tcMar>
              <w:top w:type="dxa" w:w="50"/>
              <w:left w:type="dxa" w:w="90"/>
              <w:bottom w:type="dxa" w:w="50"/>
              <w:right w:type="dxa" w:w="90"/>
            </w:tcMar>
          </w:tcPr>
          <w:p>
            <w:pPr>
              <w:spacing w:after="0" w:line="240"/>
            </w:pPr>
            <w:r>
              <w:rPr>
                <w:rFonts w:ascii="Calibri" w:cs="Calibri" w:eastAsia="Calibri" w:hAnsi="Calibri"/>
                <w:sz w:val="16"/>
                <w:szCs w:val="16"/>
              </w:rPr>
              <w:t xml:space="preserve">Cada R$ 0,10 a mais no dólar custa R$ 19.240 por mês. Com dólar a R$ 6,00, a margem bruta é de 54,7%; a R$ 6,50, de 51,9%.</w:t>
            </w:r>
          </w:p>
        </w:tc>
        <w:tc>
          <w:tcPr>
            <w:tcW w:type="dxa" w:w="2050"/>
            <w:tcBorders>
              <w:top w:val="single" w:color="B8C4D2" w:sz="4"/>
              <w:left w:val="single" w:color="B8C4D2" w:sz="4"/>
              <w:bottom w:val="single" w:color="B8C4D2" w:sz="4"/>
              <w:right w:val="single" w:color="B8C4D2" w:sz="4"/>
            </w:tcBorders>
            <w:shd w:fill="FFFFFF" w:color="auto" w:val="clear"/>
            <w:tcMar>
              <w:top w:type="dxa" w:w="50"/>
              <w:left w:type="dxa" w:w="90"/>
              <w:bottom w:type="dxa" w:w="50"/>
              <w:right w:type="dxa" w:w="90"/>
            </w:tcMar>
          </w:tcPr>
          <w:p>
            <w:pPr>
              <w:spacing w:after="0" w:line="240"/>
            </w:pPr>
            <w:r>
              <w:rPr>
                <w:rFonts w:ascii="Calibri" w:cs="Calibri" w:eastAsia="Calibri" w:hAnsi="Calibri"/>
                <w:sz w:val="16"/>
                <w:szCs w:val="16"/>
              </w:rPr>
              <w:t xml:space="preserve">—</w:t>
            </w:r>
          </w:p>
        </w:tc>
        <w:tc>
          <w:tcPr>
            <w:tcW w:type="dxa" w:w="2050"/>
            <w:tcBorders>
              <w:top w:val="single" w:color="B8C4D2" w:sz="4"/>
              <w:left w:val="single" w:color="B8C4D2" w:sz="4"/>
              <w:bottom w:val="single" w:color="B8C4D2" w:sz="4"/>
              <w:right w:val="single" w:color="B8C4D2" w:sz="4"/>
            </w:tcBorders>
            <w:shd w:fill="FFFFFF" w:color="auto" w:val="clear"/>
            <w:tcMar>
              <w:top w:type="dxa" w:w="50"/>
              <w:left w:type="dxa" w:w="90"/>
              <w:bottom w:type="dxa" w:w="50"/>
              <w:right w:type="dxa" w:w="90"/>
            </w:tcMar>
          </w:tcPr>
          <w:p>
            <w:pPr>
              <w:spacing w:after="0" w:line="240"/>
            </w:pPr>
            <w:r>
              <w:rPr>
                <w:rFonts w:ascii="Calibri" w:cs="Calibri" w:eastAsia="Calibri" w:hAnsi="Calibri"/>
                <w:sz w:val="16"/>
                <w:szCs w:val="16"/>
              </w:rPr>
              <w:t xml:space="preserve">—</w:t>
            </w:r>
          </w:p>
        </w:tc>
        <w:tc>
          <w:tcPr>
            <w:tcW w:type="dxa" w:w="2088"/>
            <w:tcBorders>
              <w:top w:val="single" w:color="B8C4D2" w:sz="4"/>
              <w:left w:val="single" w:color="B8C4D2" w:sz="4"/>
              <w:bottom w:val="single" w:color="B8C4D2" w:sz="4"/>
              <w:right w:val="single" w:color="B8C4D2" w:sz="4"/>
            </w:tcBorders>
            <w:shd w:fill="FFFFFF" w:color="auto" w:val="clear"/>
            <w:tcMar>
              <w:top w:type="dxa" w:w="50"/>
              <w:left w:type="dxa" w:w="90"/>
              <w:bottom w:type="dxa" w:w="50"/>
              <w:right w:type="dxa" w:w="90"/>
            </w:tcMar>
          </w:tcPr>
          <w:p>
            <w:pPr>
              <w:spacing w:after="0" w:line="240"/>
            </w:pPr>
            <w:r>
              <w:rPr>
                <w:rFonts w:ascii="Calibri" w:cs="Calibri" w:eastAsia="Calibri" w:hAnsi="Calibri"/>
                <w:sz w:val="16"/>
                <w:szCs w:val="16"/>
              </w:rPr>
              <w:t xml:space="preserve">Avaliar proteção cambial e cláusula de reajuste nos contratos com clientes. Hoje, a existência de hedge não consta.</w:t>
            </w:r>
          </w:p>
        </w:tc>
      </w:tr>
      <w:tr>
        <w:trPr>
          <w:cantSplit/>
          <w:tblHeader w:val="off"/>
        </w:trPr>
        <w:tc>
          <w:tcPr>
            <w:tcW w:type="dxa" w:w="1450"/>
            <w:tcBorders>
              <w:top w:val="single" w:color="B8C4D2" w:sz="4"/>
              <w:left w:val="single" w:color="B8C4D2" w:sz="4"/>
              <w:bottom w:val="single" w:color="B8C4D2" w:sz="4"/>
              <w:right w:val="single" w:color="B8C4D2" w:sz="4"/>
            </w:tcBorders>
            <w:shd w:fill="F3F5F8" w:color="auto" w:val="clear"/>
            <w:tcMar>
              <w:top w:type="dxa" w:w="50"/>
              <w:left w:type="dxa" w:w="90"/>
              <w:bottom w:type="dxa" w:w="50"/>
              <w:right w:type="dxa" w:w="90"/>
            </w:tcMar>
          </w:tcPr>
          <w:p>
            <w:pPr>
              <w:spacing w:after="0" w:line="240"/>
            </w:pPr>
            <w:r>
              <w:rPr>
                <w:rFonts w:ascii="Calibri" w:cs="Calibri" w:eastAsia="Calibri" w:hAnsi="Calibri"/>
                <w:b/>
                <w:bCs/>
                <w:sz w:val="16"/>
                <w:szCs w:val="16"/>
              </w:rPr>
              <w:t xml:space="preserve">4. Nuvem</w:t>
            </w:r>
            <w:r>
              <w:rPr>
                <w:rFonts w:ascii="Calibri" w:cs="Calibri" w:eastAsia="Calibri" w:hAnsi="Calibri"/>
                <w:sz w:val="16"/>
                <w:szCs w:val="16"/>
              </w:rPr>
              <w:t xml:space="preserve"> (provedor global, 27,9% do custo, renovação em 04/2027).</w:t>
            </w:r>
          </w:p>
        </w:tc>
        <w:tc>
          <w:tcPr>
            <w:tcW w:type="dxa" w:w="2000"/>
            <w:tcBorders>
              <w:top w:val="single" w:color="B8C4D2" w:sz="4"/>
              <w:left w:val="single" w:color="B8C4D2" w:sz="4"/>
              <w:bottom w:val="single" w:color="B8C4D2" w:sz="4"/>
              <w:right w:val="single" w:color="B8C4D2" w:sz="4"/>
            </w:tcBorders>
            <w:shd w:fill="F3F5F8" w:color="auto" w:val="clear"/>
            <w:tcMar>
              <w:top w:type="dxa" w:w="50"/>
              <w:left w:type="dxa" w:w="90"/>
              <w:bottom w:type="dxa" w:w="50"/>
              <w:right w:type="dxa" w:w="90"/>
            </w:tcMar>
          </w:tcPr>
          <w:p>
            <w:pPr>
              <w:spacing w:after="0" w:line="240"/>
            </w:pPr>
            <w:r>
              <w:rPr>
                <w:rFonts w:ascii="Calibri" w:cs="Calibri" w:eastAsia="Calibri" w:hAnsi="Calibri"/>
                <w:sz w:val="16"/>
                <w:szCs w:val="16"/>
              </w:rPr>
              <w:t xml:space="preserve">Cada 10% de reajuste custa R$ 40.176 por mês. Como a migração leva 7 meses, a Lumis aceita a renovação praticamente sem alternativa.</w:t>
            </w:r>
          </w:p>
        </w:tc>
        <w:tc>
          <w:tcPr>
            <w:tcW w:type="dxa" w:w="2050"/>
            <w:tcBorders>
              <w:top w:val="single" w:color="B8C4D2" w:sz="4"/>
              <w:left w:val="single" w:color="B8C4D2" w:sz="4"/>
              <w:bottom w:val="single" w:color="B8C4D2" w:sz="4"/>
              <w:right w:val="single" w:color="B8C4D2" w:sz="4"/>
            </w:tcBorders>
            <w:shd w:fill="F3F5F8" w:color="auto" w:val="clear"/>
            <w:tcMar>
              <w:top w:type="dxa" w:w="50"/>
              <w:left w:type="dxa" w:w="90"/>
              <w:bottom w:type="dxa" w:w="50"/>
              <w:right w:type="dxa" w:w="90"/>
            </w:tcMar>
          </w:tcPr>
          <w:p>
            <w:pPr>
              <w:spacing w:after="0" w:line="240"/>
            </w:pPr>
            <w:r>
              <w:rPr>
                <w:rFonts w:ascii="Calibri" w:cs="Calibri" w:eastAsia="Calibri" w:hAnsi="Calibri"/>
                <w:sz w:val="16"/>
                <w:szCs w:val="16"/>
              </w:rPr>
              <w:t xml:space="preserve">Uma mudança de região ou de condições técnicas pode trazer exigências de transferência internacional de dados de saúde [hipótese].</w:t>
            </w:r>
          </w:p>
        </w:tc>
        <w:tc>
          <w:tcPr>
            <w:tcW w:type="dxa" w:w="2050"/>
            <w:tcBorders>
              <w:top w:val="single" w:color="B8C4D2" w:sz="4"/>
              <w:left w:val="single" w:color="B8C4D2" w:sz="4"/>
              <w:bottom w:val="single" w:color="B8C4D2" w:sz="4"/>
              <w:right w:val="single" w:color="B8C4D2" w:sz="4"/>
            </w:tcBorders>
            <w:shd w:fill="F3F5F8" w:color="auto" w:val="clear"/>
            <w:tcMar>
              <w:top w:type="dxa" w:w="50"/>
              <w:left w:type="dxa" w:w="90"/>
              <w:bottom w:type="dxa" w:w="50"/>
              <w:right w:type="dxa" w:w="90"/>
            </w:tcMar>
          </w:tcPr>
          <w:p>
            <w:pPr>
              <w:spacing w:after="0" w:line="240"/>
            </w:pPr>
            <w:r>
              <w:rPr>
                <w:rFonts w:ascii="Calibri" w:cs="Calibri" w:eastAsia="Calibri" w:hAnsi="Calibri"/>
                <w:sz w:val="16"/>
                <w:szCs w:val="16"/>
              </w:rPr>
              <w:t xml:space="preserve">Os provedores de nuvem também vendem IA para saúde [hipótese de sobreposição].</w:t>
            </w:r>
          </w:p>
        </w:tc>
        <w:tc>
          <w:tcPr>
            <w:tcW w:type="dxa" w:w="2088"/>
            <w:tcBorders>
              <w:top w:val="single" w:color="B8C4D2" w:sz="4"/>
              <w:left w:val="single" w:color="B8C4D2" w:sz="4"/>
              <w:bottom w:val="single" w:color="B8C4D2" w:sz="4"/>
              <w:right w:val="single" w:color="B8C4D2" w:sz="4"/>
            </w:tcBorders>
            <w:shd w:fill="F3F5F8" w:color="auto" w:val="clear"/>
            <w:tcMar>
              <w:top w:type="dxa" w:w="50"/>
              <w:left w:type="dxa" w:w="90"/>
              <w:bottom w:type="dxa" w:w="50"/>
              <w:right w:type="dxa" w:w="90"/>
            </w:tcMar>
          </w:tcPr>
          <w:p>
            <w:pPr>
              <w:spacing w:after="0" w:line="240"/>
            </w:pPr>
            <w:r>
              <w:rPr>
                <w:rFonts w:ascii="Calibri" w:cs="Calibri" w:eastAsia="Calibri" w:hAnsi="Calibri"/>
                <w:sz w:val="16"/>
                <w:szCs w:val="16"/>
              </w:rPr>
              <w:t xml:space="preserve">Começar já um plano de portabilidade e negociar a renovação com cláusulas de saída.</w:t>
            </w:r>
          </w:p>
        </w:tc>
      </w:tr>
      <w:tr>
        <w:trPr>
          <w:cantSplit/>
          <w:tblHeader w:val="off"/>
        </w:trPr>
        <w:tc>
          <w:tcPr>
            <w:tcW w:type="dxa" w:w="1450"/>
            <w:tcBorders>
              <w:top w:val="single" w:color="B8C4D2" w:sz="4"/>
              <w:left w:val="single" w:color="B8C4D2" w:sz="4"/>
              <w:bottom w:val="single" w:color="B8C4D2" w:sz="4"/>
              <w:right w:val="single" w:color="B8C4D2" w:sz="4"/>
            </w:tcBorders>
            <w:shd w:fill="FFFFFF" w:color="auto" w:val="clear"/>
            <w:tcMar>
              <w:top w:type="dxa" w:w="50"/>
              <w:left w:type="dxa" w:w="90"/>
              <w:bottom w:type="dxa" w:w="50"/>
              <w:right w:type="dxa" w:w="90"/>
            </w:tcMar>
          </w:tcPr>
          <w:p>
            <w:pPr>
              <w:spacing w:after="0" w:line="240"/>
            </w:pPr>
            <w:r>
              <w:rPr>
                <w:rFonts w:ascii="Calibri" w:cs="Calibri" w:eastAsia="Calibri" w:hAnsi="Calibri"/>
                <w:b/>
                <w:bCs/>
                <w:sz w:val="16"/>
                <w:szCs w:val="16"/>
              </w:rPr>
              <w:t xml:space="preserve">5. Bases clínicas</w:t>
            </w:r>
            <w:r>
              <w:rPr>
                <w:rFonts w:ascii="Calibri" w:cs="Calibri" w:eastAsia="Calibri" w:hAnsi="Calibri"/>
                <w:sz w:val="16"/>
                <w:szCs w:val="16"/>
              </w:rPr>
              <w:t xml:space="preserve"> (consórcio, 7,8% do custo).</w:t>
            </w:r>
          </w:p>
        </w:tc>
        <w:tc>
          <w:tcPr>
            <w:tcW w:type="dxa" w:w="2000"/>
            <w:tcBorders>
              <w:top w:val="single" w:color="B8C4D2" w:sz="4"/>
              <w:left w:val="single" w:color="B8C4D2" w:sz="4"/>
              <w:bottom w:val="single" w:color="B8C4D2" w:sz="4"/>
              <w:right w:val="single" w:color="B8C4D2" w:sz="4"/>
            </w:tcBorders>
            <w:shd w:fill="FFFFFF" w:color="auto" w:val="clear"/>
            <w:tcMar>
              <w:top w:type="dxa" w:w="50"/>
              <w:left w:type="dxa" w:w="90"/>
              <w:bottom w:type="dxa" w:w="50"/>
              <w:right w:type="dxa" w:w="90"/>
            </w:tcMar>
          </w:tcPr>
          <w:p>
            <w:pPr>
              <w:spacing w:after="0" w:line="240"/>
            </w:pPr>
            <w:r>
              <w:rPr>
                <w:rFonts w:ascii="Calibri" w:cs="Calibri" w:eastAsia="Calibri" w:hAnsi="Calibri"/>
                <w:sz w:val="16"/>
                <w:szCs w:val="16"/>
              </w:rPr>
              <w:t xml:space="preserve">O reajuste é indexado e não tem teto. Cada 10% custa R$ 11.204 por mês.</w:t>
            </w:r>
          </w:p>
        </w:tc>
        <w:tc>
          <w:tcPr>
            <w:tcW w:type="dxa" w:w="2050"/>
            <w:tcBorders>
              <w:top w:val="single" w:color="B8C4D2" w:sz="4"/>
              <w:left w:val="single" w:color="B8C4D2" w:sz="4"/>
              <w:bottom w:val="single" w:color="B8C4D2" w:sz="4"/>
              <w:right w:val="single" w:color="B8C4D2" w:sz="4"/>
            </w:tcBorders>
            <w:shd w:fill="FFFFFF" w:color="auto" w:val="clear"/>
            <w:tcMar>
              <w:top w:type="dxa" w:w="50"/>
              <w:left w:type="dxa" w:w="90"/>
              <w:bottom w:type="dxa" w:w="50"/>
              <w:right w:type="dxa" w:w="90"/>
            </w:tcMar>
          </w:tcPr>
          <w:p>
            <w:pPr>
              <w:spacing w:after="0" w:line="240"/>
            </w:pPr>
            <w:r>
              <w:rPr>
                <w:rFonts w:ascii="Calibri" w:cs="Calibri" w:eastAsia="Calibri" w:hAnsi="Calibri"/>
                <w:sz w:val="16"/>
                <w:szCs w:val="16"/>
              </w:rPr>
              <w:t xml:space="preserve">A renovação automática pode travar a saída.</w:t>
            </w:r>
          </w:p>
        </w:tc>
        <w:tc>
          <w:tcPr>
            <w:tcW w:type="dxa" w:w="2050"/>
            <w:tcBorders>
              <w:top w:val="single" w:color="B8C4D2" w:sz="4"/>
              <w:left w:val="single" w:color="B8C4D2" w:sz="4"/>
              <w:bottom w:val="single" w:color="B8C4D2" w:sz="4"/>
              <w:right w:val="single" w:color="B8C4D2" w:sz="4"/>
            </w:tcBorders>
            <w:shd w:fill="FFFFFF" w:color="auto" w:val="clear"/>
            <w:tcMar>
              <w:top w:type="dxa" w:w="50"/>
              <w:left w:type="dxa" w:w="90"/>
              <w:bottom w:type="dxa" w:w="50"/>
              <w:right w:type="dxa" w:w="90"/>
            </w:tcMar>
          </w:tcPr>
          <w:p>
            <w:pPr>
              <w:spacing w:after="0" w:line="240"/>
            </w:pPr>
            <w:r>
              <w:rPr>
                <w:rFonts w:ascii="Calibri" w:cs="Calibri" w:eastAsia="Calibri" w:hAnsi="Calibri"/>
                <w:sz w:val="16"/>
                <w:szCs w:val="16"/>
              </w:rPr>
              <w:t xml:space="preserve">—</w:t>
            </w:r>
          </w:p>
        </w:tc>
        <w:tc>
          <w:tcPr>
            <w:tcW w:type="dxa" w:w="2088"/>
            <w:tcBorders>
              <w:top w:val="single" w:color="B8C4D2" w:sz="4"/>
              <w:left w:val="single" w:color="B8C4D2" w:sz="4"/>
              <w:bottom w:val="single" w:color="B8C4D2" w:sz="4"/>
              <w:right w:val="single" w:color="B8C4D2" w:sz="4"/>
            </w:tcBorders>
            <w:shd w:fill="FFFFFF" w:color="auto" w:val="clear"/>
            <w:tcMar>
              <w:top w:type="dxa" w:w="50"/>
              <w:left w:type="dxa" w:w="90"/>
              <w:bottom w:type="dxa" w:w="50"/>
              <w:right w:type="dxa" w:w="90"/>
            </w:tcMar>
          </w:tcPr>
          <w:p>
            <w:pPr>
              <w:spacing w:after="0" w:line="240"/>
            </w:pPr>
            <w:r>
              <w:rPr>
                <w:rFonts w:ascii="Calibri" w:cs="Calibri" w:eastAsia="Calibri" w:hAnsi="Calibri"/>
                <w:sz w:val="16"/>
                <w:szCs w:val="16"/>
              </w:rPr>
              <w:t xml:space="preserve">Negociar teto de reajuste na renovação.</w:t>
            </w:r>
          </w:p>
        </w:tc>
      </w:tr>
    </w:tbl>
    <w:p>
      <w:pPr>
        <w:spacing w:after="80"/>
      </w:pPr>
    </w:p>
    <w:p>
      <w:pPr>
        <w:spacing w:after="110" w:line="276"/>
        <w:jc w:val="both"/>
      </w:pPr>
      <w:r>
        <w:rPr>
          <w:rFonts w:ascii="Calibri" w:cs="Calibri" w:eastAsia="Calibri" w:hAnsi="Calibri"/>
          <w:b/>
          <w:bCs/>
          <w:sz w:val="20"/>
          <w:szCs w:val="20"/>
        </w:rPr>
        <w:t xml:space="preserve">Cenário combinado.</w:t>
      </w:r>
      <w:r>
        <w:rPr>
          <w:rFonts w:ascii="Calibri" w:cs="Calibri" w:eastAsia="Calibri" w:hAnsi="Calibri"/>
          <w:sz w:val="20"/>
          <w:szCs w:val="20"/>
        </w:rPr>
        <w:t xml:space="preserve"> Com o preço do modelo dobrado e o dólar a R$ 6,50, a margem bruta cai para </w:t>
      </w:r>
      <w:r>
        <w:rPr>
          <w:rFonts w:ascii="Calibri" w:cs="Calibri" w:eastAsia="Calibri" w:hAnsi="Calibri"/>
          <w:b/>
          <w:bCs/>
          <w:sz w:val="20"/>
          <w:szCs w:val="20"/>
        </w:rPr>
        <w:t xml:space="preserve">29,6%</w:t>
      </w:r>
      <w:r>
        <w:rPr>
          <w:rFonts w:ascii="Calibri" w:cs="Calibri" w:eastAsia="Calibri" w:hAnsi="Calibri"/>
          <w:sz w:val="20"/>
          <w:szCs w:val="20"/>
        </w:rPr>
        <w:t xml:space="preserve">. Isso mostra que o risco de margem se concentra em duas variáveis que a Lumis não controla. </w:t>
      </w:r>
      <w:r>
        <w:rPr>
          <w:rFonts w:ascii="Calibri" w:cs="Calibri" w:eastAsia="Calibri" w:hAnsi="Calibri"/>
          <w:b/>
          <w:bCs/>
          <w:sz w:val="20"/>
          <w:szCs w:val="20"/>
        </w:rPr>
        <w:t xml:space="preserve">Poder de negociação:</w:t>
      </w:r>
      <w:r>
        <w:rPr>
          <w:rFonts w:ascii="Calibri" w:cs="Calibri" w:eastAsia="Calibri" w:hAnsi="Calibri"/>
          <w:sz w:val="20"/>
          <w:szCs w:val="20"/>
        </w:rPr>
        <w:t xml:space="preserve"> a Lumis é tomadora de preço nas três dependências de cima (modelo, nuvem e bases) e enfrenta, embaixo, compradores grandes que conseguem internalizar. O poder dela é maior nos clientes médios, sem time próprio de IA.</w:t>
      </w:r>
    </w:p>
    <w:p>
      <w:pPr>
        <w:spacing w:after="110" w:line="276"/>
        <w:jc w:val="both"/>
      </w:pPr>
      <w:r>
        <w:rPr>
          <w:rFonts w:ascii="Calibri" w:cs="Calibri" w:eastAsia="Calibri" w:hAnsi="Calibri"/>
          <w:b/>
          <w:bCs/>
          <w:sz w:val="20"/>
          <w:szCs w:val="20"/>
        </w:rPr>
        <w:t xml:space="preserve">Risco operacional transversal.</w:t>
      </w:r>
      <w:r>
        <w:rPr>
          <w:rFonts w:ascii="Calibri" w:cs="Calibri" w:eastAsia="Calibri" w:hAnsi="Calibri"/>
          <w:sz w:val="20"/>
          <w:szCs w:val="20"/>
        </w:rPr>
        <w:t xml:space="preserve"> Uma implementação fraca, treinamento insuficiente ou pouca incorporação à rotina reduzem a adoção e o valor percebido do produto, mesmo com tecnologia, nuvem e dados disponíveis.</w:t>
      </w:r>
    </w:p>
    <w:p>
      <w:pPr>
        <w:pStyle w:val="Heading1"/>
        <w:keepNext/>
        <w:spacing w:after="100" w:before="220"/>
      </w:pPr>
      <w:r>
        <w:rPr>
          <w:rFonts w:ascii="Calibri" w:cs="Calibri" w:eastAsia="Calibri" w:hAnsi="Calibri"/>
          <w:b/>
          <w:bCs/>
          <w:color w:val="1F3A5F"/>
          <w:sz w:val="24"/>
          <w:szCs w:val="24"/>
        </w:rPr>
        <w:t xml:space="preserve">5. O que, exatamente, é difícil de copiar na Lumis?</w:t>
      </w:r>
    </w:p>
    <w:p>
      <w:pPr>
        <w:spacing w:after="110" w:line="276"/>
        <w:jc w:val="both"/>
      </w:pPr>
      <w:r>
        <w:rPr>
          <w:rFonts w:ascii="Calibri" w:cs="Calibri" w:eastAsia="Calibri" w:hAnsi="Calibri"/>
          <w:sz w:val="20"/>
          <w:szCs w:val="20"/>
        </w:rPr>
        <w:t xml:space="preserve">Partimos da leitura de que o diferencial não está em uma tecnologia isolada, mas na combinação de produto, integração e conhecimento. Testamos cada elemento dessa combinação contra os dados: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700"/>
        <w:gridCol w:w="5638"/>
      </w:tblGrid>
      <w:tr>
        <w:trPr>
          <w:cantSplit/>
          <w:tblHeader/>
        </w:trPr>
        <w:tc>
          <w:tcPr>
            <w:tcW w:type="dxa" w:w="2300"/>
            <w:tcBorders>
              <w:top w:val="single" w:color="B8C4D2" w:sz="4"/>
              <w:left w:val="single" w:color="B8C4D2" w:sz="4"/>
              <w:bottom w:val="single" w:color="B8C4D2" w:sz="4"/>
              <w:right w:val="single" w:color="B8C4D2" w:sz="4"/>
            </w:tcBorders>
            <w:shd w:fill="1F3A5F" w:color="auto" w:val="clear"/>
            <w:tcMar>
              <w:top w:type="dxa" w:w="50"/>
              <w:left w:type="dxa" w:w="90"/>
              <w:bottom w:type="dxa" w:w="50"/>
              <w:right w:type="dxa" w:w="90"/>
            </w:tcMar>
          </w:tcPr>
          <w:p>
            <w:pPr>
              <w:spacing w:after="0" w:line="240"/>
            </w:pPr>
            <w:r>
              <w:rPr>
                <w:rFonts w:ascii="Calibri" w:cs="Calibri" w:eastAsia="Calibri" w:hAnsi="Calibri"/>
                <w:b/>
                <w:bCs/>
                <w:color w:val="FFFFFF"/>
                <w:sz w:val="16"/>
                <w:szCs w:val="16"/>
              </w:rPr>
              <w:t xml:space="preserve">Elemento</w:t>
            </w:r>
          </w:p>
        </w:tc>
        <w:tc>
          <w:tcPr>
            <w:tcW w:type="dxa" w:w="1700"/>
            <w:tcBorders>
              <w:top w:val="single" w:color="B8C4D2" w:sz="4"/>
              <w:left w:val="single" w:color="B8C4D2" w:sz="4"/>
              <w:bottom w:val="single" w:color="B8C4D2" w:sz="4"/>
              <w:right w:val="single" w:color="B8C4D2" w:sz="4"/>
            </w:tcBorders>
            <w:shd w:fill="1F3A5F" w:color="auto" w:val="clear"/>
            <w:tcMar>
              <w:top w:type="dxa" w:w="50"/>
              <w:left w:type="dxa" w:w="90"/>
              <w:bottom w:type="dxa" w:w="50"/>
              <w:right w:type="dxa" w:w="90"/>
            </w:tcMar>
          </w:tcPr>
          <w:p>
            <w:pPr>
              <w:spacing w:after="0" w:line="240"/>
            </w:pPr>
            <w:r>
              <w:rPr>
                <w:rFonts w:ascii="Calibri" w:cs="Calibri" w:eastAsia="Calibri" w:hAnsi="Calibri"/>
                <w:b/>
                <w:bCs/>
                <w:color w:val="FFFFFF"/>
                <w:sz w:val="16"/>
                <w:szCs w:val="16"/>
              </w:rPr>
              <w:t xml:space="preserve">Veredito hoje</w:t>
            </w:r>
          </w:p>
        </w:tc>
        <w:tc>
          <w:tcPr>
            <w:tcW w:type="dxa" w:w="5638"/>
            <w:tcBorders>
              <w:top w:val="single" w:color="B8C4D2" w:sz="4"/>
              <w:left w:val="single" w:color="B8C4D2" w:sz="4"/>
              <w:bottom w:val="single" w:color="B8C4D2" w:sz="4"/>
              <w:right w:val="single" w:color="B8C4D2" w:sz="4"/>
            </w:tcBorders>
            <w:shd w:fill="1F3A5F" w:color="auto" w:val="clear"/>
            <w:tcMar>
              <w:top w:type="dxa" w:w="50"/>
              <w:left w:type="dxa" w:w="90"/>
              <w:bottom w:type="dxa" w:w="50"/>
              <w:right w:type="dxa" w:w="90"/>
            </w:tcMar>
          </w:tcPr>
          <w:p>
            <w:pPr>
              <w:spacing w:after="0" w:line="240"/>
            </w:pPr>
            <w:r>
              <w:rPr>
                <w:rFonts w:ascii="Calibri" w:cs="Calibri" w:eastAsia="Calibri" w:hAnsi="Calibri"/>
                <w:b/>
                <w:bCs/>
                <w:color w:val="FFFFFF"/>
                <w:sz w:val="16"/>
                <w:szCs w:val="16"/>
              </w:rPr>
              <w:t xml:space="preserve">Por quê</w:t>
            </w:r>
          </w:p>
        </w:tc>
      </w:tr>
      <w:tr>
        <w:trPr>
          <w:cantSplit/>
          <w:tblHeader w:val="off"/>
        </w:trPr>
        <w:tc>
          <w:tcPr>
            <w:tcW w:type="dxa" w:w="2300"/>
            <w:tcBorders>
              <w:top w:val="single" w:color="B8C4D2" w:sz="4"/>
              <w:left w:val="single" w:color="B8C4D2" w:sz="4"/>
              <w:bottom w:val="single" w:color="B8C4D2" w:sz="4"/>
              <w:right w:val="single" w:color="B8C4D2" w:sz="4"/>
            </w:tcBorders>
            <w:shd w:fill="FFFFFF" w:color="auto" w:val="clear"/>
            <w:tcMar>
              <w:top w:type="dxa" w:w="50"/>
              <w:left w:type="dxa" w:w="90"/>
              <w:bottom w:type="dxa" w:w="50"/>
              <w:right w:type="dxa" w:w="90"/>
            </w:tcMar>
          </w:tcPr>
          <w:p>
            <w:pPr>
              <w:spacing w:after="0" w:line="240"/>
            </w:pPr>
            <w:r>
              <w:rPr>
                <w:rFonts w:ascii="Calibri" w:cs="Calibri" w:eastAsia="Calibri" w:hAnsi="Calibri"/>
                <w:sz w:val="16"/>
                <w:szCs w:val="16"/>
              </w:rPr>
              <w:t xml:space="preserve">Modelo e tecnologia de IA</w:t>
            </w:r>
          </w:p>
        </w:tc>
        <w:tc>
          <w:tcPr>
            <w:tcW w:type="dxa" w:w="1700"/>
            <w:tcBorders>
              <w:top w:val="single" w:color="B8C4D2" w:sz="4"/>
              <w:left w:val="single" w:color="B8C4D2" w:sz="4"/>
              <w:bottom w:val="single" w:color="B8C4D2" w:sz="4"/>
              <w:right w:val="single" w:color="B8C4D2" w:sz="4"/>
            </w:tcBorders>
            <w:shd w:fill="FFFFFF" w:color="auto" w:val="clear"/>
            <w:tcMar>
              <w:top w:type="dxa" w:w="50"/>
              <w:left w:type="dxa" w:w="90"/>
              <w:bottom w:type="dxa" w:w="50"/>
              <w:right w:type="dxa" w:w="90"/>
            </w:tcMar>
          </w:tcPr>
          <w:p>
            <w:pPr>
              <w:spacing w:after="0" w:line="240"/>
            </w:pPr>
            <w:r>
              <w:rPr>
                <w:rFonts w:ascii="Calibri" w:cs="Calibri" w:eastAsia="Calibri" w:hAnsi="Calibri"/>
                <w:sz w:val="16"/>
                <w:szCs w:val="16"/>
              </w:rPr>
              <w:t xml:space="preserve">Copiável</w:t>
            </w:r>
          </w:p>
        </w:tc>
        <w:tc>
          <w:tcPr>
            <w:tcW w:type="dxa" w:w="5638"/>
            <w:tcBorders>
              <w:top w:val="single" w:color="B8C4D2" w:sz="4"/>
              <w:left w:val="single" w:color="B8C4D2" w:sz="4"/>
              <w:bottom w:val="single" w:color="B8C4D2" w:sz="4"/>
              <w:right w:val="single" w:color="B8C4D2" w:sz="4"/>
            </w:tcBorders>
            <w:shd w:fill="FFFFFF" w:color="auto" w:val="clear"/>
            <w:tcMar>
              <w:top w:type="dxa" w:w="50"/>
              <w:left w:type="dxa" w:w="90"/>
              <w:bottom w:type="dxa" w:w="50"/>
              <w:right w:type="dxa" w:w="90"/>
            </w:tcMar>
          </w:tcPr>
          <w:p>
            <w:pPr>
              <w:spacing w:after="0" w:line="240"/>
            </w:pPr>
            <w:r>
              <w:rPr>
                <w:rFonts w:ascii="Calibri" w:cs="Calibri" w:eastAsia="Calibri" w:hAnsi="Calibri"/>
                <w:sz w:val="16"/>
                <w:szCs w:val="16"/>
              </w:rPr>
              <w:t xml:space="preserve">É de terceiro e está disponível para qualquer empresa por consumo, com preço em queda.</w:t>
            </w:r>
          </w:p>
        </w:tc>
      </w:tr>
      <w:tr>
        <w:trPr>
          <w:cantSplit/>
          <w:tblHeader w:val="off"/>
        </w:trPr>
        <w:tc>
          <w:tcPr>
            <w:tcW w:type="dxa" w:w="2300"/>
            <w:tcBorders>
              <w:top w:val="single" w:color="B8C4D2" w:sz="4"/>
              <w:left w:val="single" w:color="B8C4D2" w:sz="4"/>
              <w:bottom w:val="single" w:color="B8C4D2" w:sz="4"/>
              <w:right w:val="single" w:color="B8C4D2" w:sz="4"/>
            </w:tcBorders>
            <w:shd w:fill="F3F5F8" w:color="auto" w:val="clear"/>
            <w:tcMar>
              <w:top w:type="dxa" w:w="50"/>
              <w:left w:type="dxa" w:w="90"/>
              <w:bottom w:type="dxa" w:w="50"/>
              <w:right w:type="dxa" w:w="90"/>
            </w:tcMar>
          </w:tcPr>
          <w:p>
            <w:pPr>
              <w:spacing w:after="0" w:line="240"/>
            </w:pPr>
            <w:r>
              <w:rPr>
                <w:rFonts w:ascii="Calibri" w:cs="Calibri" w:eastAsia="Calibri" w:hAnsi="Calibri"/>
                <w:sz w:val="16"/>
                <w:szCs w:val="16"/>
              </w:rPr>
              <w:t xml:space="preserve">Produto especializado (priorização e risco em 3 segmentos)</w:t>
            </w:r>
          </w:p>
        </w:tc>
        <w:tc>
          <w:tcPr>
            <w:tcW w:type="dxa" w:w="1700"/>
            <w:tcBorders>
              <w:top w:val="single" w:color="B8C4D2" w:sz="4"/>
              <w:left w:val="single" w:color="B8C4D2" w:sz="4"/>
              <w:bottom w:val="single" w:color="B8C4D2" w:sz="4"/>
              <w:right w:val="single" w:color="B8C4D2" w:sz="4"/>
            </w:tcBorders>
            <w:shd w:fill="F3F5F8" w:color="auto" w:val="clear"/>
            <w:tcMar>
              <w:top w:type="dxa" w:w="50"/>
              <w:left w:type="dxa" w:w="90"/>
              <w:bottom w:type="dxa" w:w="50"/>
              <w:right w:type="dxa" w:w="90"/>
            </w:tcMar>
          </w:tcPr>
          <w:p>
            <w:pPr>
              <w:spacing w:after="0" w:line="240"/>
            </w:pPr>
            <w:r>
              <w:rPr>
                <w:rFonts w:ascii="Calibri" w:cs="Calibri" w:eastAsia="Calibri" w:hAnsi="Calibri"/>
                <w:sz w:val="16"/>
                <w:szCs w:val="16"/>
              </w:rPr>
              <w:t xml:space="preserve">Parcialmente difícil</w:t>
            </w:r>
          </w:p>
        </w:tc>
        <w:tc>
          <w:tcPr>
            <w:tcW w:type="dxa" w:w="5638"/>
            <w:tcBorders>
              <w:top w:val="single" w:color="B8C4D2" w:sz="4"/>
              <w:left w:val="single" w:color="B8C4D2" w:sz="4"/>
              <w:bottom w:val="single" w:color="B8C4D2" w:sz="4"/>
              <w:right w:val="single" w:color="B8C4D2" w:sz="4"/>
            </w:tcBorders>
            <w:shd w:fill="F3F5F8" w:color="auto" w:val="clear"/>
            <w:tcMar>
              <w:top w:type="dxa" w:w="50"/>
              <w:left w:type="dxa" w:w="90"/>
              <w:bottom w:type="dxa" w:w="50"/>
              <w:right w:type="dxa" w:w="90"/>
            </w:tcMar>
          </w:tcPr>
          <w:p>
            <w:pPr>
              <w:spacing w:after="0" w:line="240"/>
            </w:pPr>
            <w:r>
              <w:rPr>
                <w:rFonts w:ascii="Calibri" w:cs="Calibri" w:eastAsia="Calibri" w:hAnsi="Calibri"/>
                <w:sz w:val="16"/>
                <w:szCs w:val="16"/>
              </w:rPr>
              <w:t xml:space="preserve">O foco é real. Mas a Aster entrega priorização embutida no hospital, e em bancos e seguradoras os grandes compradores internalizam.</w:t>
            </w:r>
          </w:p>
        </w:tc>
      </w:tr>
      <w:tr>
        <w:trPr>
          <w:cantSplit/>
          <w:tblHeader w:val="off"/>
        </w:trPr>
        <w:tc>
          <w:tcPr>
            <w:tcW w:type="dxa" w:w="2300"/>
            <w:tcBorders>
              <w:top w:val="single" w:color="B8C4D2" w:sz="4"/>
              <w:left w:val="single" w:color="B8C4D2" w:sz="4"/>
              <w:bottom w:val="single" w:color="B8C4D2" w:sz="4"/>
              <w:right w:val="single" w:color="B8C4D2" w:sz="4"/>
            </w:tcBorders>
            <w:shd w:fill="FFFFFF" w:color="auto" w:val="clear"/>
            <w:tcMar>
              <w:top w:type="dxa" w:w="50"/>
              <w:left w:type="dxa" w:w="90"/>
              <w:bottom w:type="dxa" w:w="50"/>
              <w:right w:type="dxa" w:w="90"/>
            </w:tcMar>
          </w:tcPr>
          <w:p>
            <w:pPr>
              <w:spacing w:after="0" w:line="240"/>
            </w:pPr>
            <w:r>
              <w:rPr>
                <w:rFonts w:ascii="Calibri" w:cs="Calibri" w:eastAsia="Calibri" w:hAnsi="Calibri"/>
                <w:sz w:val="16"/>
                <w:szCs w:val="16"/>
              </w:rPr>
              <w:t xml:space="preserve">Integração e relacionamento com 38 contas</w:t>
            </w:r>
          </w:p>
        </w:tc>
        <w:tc>
          <w:tcPr>
            <w:tcW w:type="dxa" w:w="1700"/>
            <w:tcBorders>
              <w:top w:val="single" w:color="B8C4D2" w:sz="4"/>
              <w:left w:val="single" w:color="B8C4D2" w:sz="4"/>
              <w:bottom w:val="single" w:color="B8C4D2" w:sz="4"/>
              <w:right w:val="single" w:color="B8C4D2" w:sz="4"/>
            </w:tcBorders>
            <w:shd w:fill="FFFFFF" w:color="auto" w:val="clear"/>
            <w:tcMar>
              <w:top w:type="dxa" w:w="50"/>
              <w:left w:type="dxa" w:w="90"/>
              <w:bottom w:type="dxa" w:w="50"/>
              <w:right w:type="dxa" w:w="90"/>
            </w:tcMar>
          </w:tcPr>
          <w:p>
            <w:pPr>
              <w:spacing w:after="0" w:line="240"/>
            </w:pPr>
            <w:r>
              <w:rPr>
                <w:rFonts w:ascii="Calibri" w:cs="Calibri" w:eastAsia="Calibri" w:hAnsi="Calibri"/>
                <w:sz w:val="16"/>
                <w:szCs w:val="16"/>
              </w:rPr>
              <w:t xml:space="preserve">Parcialmente difícil</w:t>
            </w:r>
          </w:p>
        </w:tc>
        <w:tc>
          <w:tcPr>
            <w:tcW w:type="dxa" w:w="5638"/>
            <w:tcBorders>
              <w:top w:val="single" w:color="B8C4D2" w:sz="4"/>
              <w:left w:val="single" w:color="B8C4D2" w:sz="4"/>
              <w:bottom w:val="single" w:color="B8C4D2" w:sz="4"/>
              <w:right w:val="single" w:color="B8C4D2" w:sz="4"/>
            </w:tcBorders>
            <w:shd w:fill="FFFFFF" w:color="auto" w:val="clear"/>
            <w:tcMar>
              <w:top w:type="dxa" w:w="50"/>
              <w:left w:type="dxa" w:w="90"/>
              <w:bottom w:type="dxa" w:w="50"/>
              <w:right w:type="dxa" w:w="90"/>
            </w:tcMar>
          </w:tcPr>
          <w:p>
            <w:pPr>
              <w:spacing w:after="0" w:line="240"/>
            </w:pPr>
            <w:r>
              <w:rPr>
                <w:rFonts w:ascii="Calibri" w:cs="Calibri" w:eastAsia="Calibri" w:hAnsi="Calibri"/>
                <w:sz w:val="16"/>
                <w:szCs w:val="16"/>
              </w:rPr>
              <w:t xml:space="preserve">O churn é de 11% ao ano: cerca de 4 contas e R$ 4,5 mi de ARR. A retenção ainda não foi testada contra um concorrente embutido no prontuário.</w:t>
            </w:r>
          </w:p>
        </w:tc>
      </w:tr>
      <w:tr>
        <w:trPr>
          <w:cantSplit/>
          <w:tblHeader w:val="off"/>
        </w:trPr>
        <w:tc>
          <w:tcPr>
            <w:tcW w:type="dxa" w:w="2300"/>
            <w:tcBorders>
              <w:top w:val="single" w:color="B8C4D2" w:sz="4"/>
              <w:left w:val="single" w:color="B8C4D2" w:sz="4"/>
              <w:bottom w:val="single" w:color="B8C4D2" w:sz="4"/>
              <w:right w:val="single" w:color="B8C4D2" w:sz="4"/>
            </w:tcBorders>
            <w:shd w:fill="F3F5F8" w:color="auto" w:val="clear"/>
            <w:tcMar>
              <w:top w:type="dxa" w:w="50"/>
              <w:left w:type="dxa" w:w="90"/>
              <w:bottom w:type="dxa" w:w="50"/>
              <w:right w:type="dxa" w:w="90"/>
            </w:tcMar>
          </w:tcPr>
          <w:p>
            <w:pPr>
              <w:spacing w:after="0" w:line="240"/>
            </w:pPr>
            <w:r>
              <w:rPr>
                <w:rFonts w:ascii="Calibri" w:cs="Calibri" w:eastAsia="Calibri" w:hAnsi="Calibri"/>
                <w:sz w:val="16"/>
                <w:szCs w:val="16"/>
              </w:rPr>
              <w:t xml:space="preserve">Conhecimento acumulado e equipe</w:t>
            </w:r>
          </w:p>
        </w:tc>
        <w:tc>
          <w:tcPr>
            <w:tcW w:type="dxa" w:w="1700"/>
            <w:tcBorders>
              <w:top w:val="single" w:color="B8C4D2" w:sz="4"/>
              <w:left w:val="single" w:color="B8C4D2" w:sz="4"/>
              <w:bottom w:val="single" w:color="B8C4D2" w:sz="4"/>
              <w:right w:val="single" w:color="B8C4D2" w:sz="4"/>
            </w:tcBorders>
            <w:shd w:fill="F3F5F8" w:color="auto" w:val="clear"/>
            <w:tcMar>
              <w:top w:type="dxa" w:w="50"/>
              <w:left w:type="dxa" w:w="90"/>
              <w:bottom w:type="dxa" w:w="50"/>
              <w:right w:type="dxa" w:w="90"/>
            </w:tcMar>
          </w:tcPr>
          <w:p>
            <w:pPr>
              <w:spacing w:after="0" w:line="240"/>
            </w:pPr>
            <w:r>
              <w:rPr>
                <w:rFonts w:ascii="Calibri" w:cs="Calibri" w:eastAsia="Calibri" w:hAnsi="Calibri"/>
                <w:sz w:val="16"/>
                <w:szCs w:val="16"/>
              </w:rPr>
              <w:t xml:space="preserve">Moderadamente difícil</w:t>
            </w:r>
          </w:p>
        </w:tc>
        <w:tc>
          <w:tcPr>
            <w:tcW w:type="dxa" w:w="5638"/>
            <w:tcBorders>
              <w:top w:val="single" w:color="B8C4D2" w:sz="4"/>
              <w:left w:val="single" w:color="B8C4D2" w:sz="4"/>
              <w:bottom w:val="single" w:color="B8C4D2" w:sz="4"/>
              <w:right w:val="single" w:color="B8C4D2" w:sz="4"/>
            </w:tcBorders>
            <w:shd w:fill="F3F5F8" w:color="auto" w:val="clear"/>
            <w:tcMar>
              <w:top w:type="dxa" w:w="50"/>
              <w:left w:type="dxa" w:w="90"/>
              <w:bottom w:type="dxa" w:w="50"/>
              <w:right w:type="dxa" w:w="90"/>
            </w:tcMar>
          </w:tcPr>
          <w:p>
            <w:pPr>
              <w:spacing w:after="0" w:line="240"/>
            </w:pPr>
            <w:r>
              <w:rPr>
                <w:rFonts w:ascii="Calibri" w:cs="Calibri" w:eastAsia="Calibri" w:hAnsi="Calibri"/>
                <w:sz w:val="16"/>
                <w:szCs w:val="16"/>
              </w:rPr>
              <w:t xml:space="preserve">São 48 técnicos e 4 anos de domínio, mas o conhecimento vai embora com as pessoas.</w:t>
            </w:r>
          </w:p>
        </w:tc>
      </w:tr>
      <w:tr>
        <w:trPr>
          <w:cantSplit/>
          <w:tblHeader w:val="off"/>
        </w:trPr>
        <w:tc>
          <w:tcPr>
            <w:tcW w:type="dxa" w:w="2300"/>
            <w:tcBorders>
              <w:top w:val="single" w:color="B8C4D2" w:sz="4"/>
              <w:left w:val="single" w:color="B8C4D2" w:sz="4"/>
              <w:bottom w:val="single" w:color="B8C4D2" w:sz="4"/>
              <w:right w:val="single" w:color="B8C4D2" w:sz="4"/>
            </w:tcBorders>
            <w:shd w:fill="FFFFFF" w:color="auto" w:val="clear"/>
            <w:tcMar>
              <w:top w:type="dxa" w:w="50"/>
              <w:left w:type="dxa" w:w="90"/>
              <w:bottom w:type="dxa" w:w="50"/>
              <w:right w:type="dxa" w:w="90"/>
            </w:tcMar>
          </w:tcPr>
          <w:p>
            <w:pPr>
              <w:spacing w:after="0" w:line="240"/>
            </w:pPr>
            <w:r>
              <w:rPr>
                <w:rFonts w:ascii="Calibri" w:cs="Calibri" w:eastAsia="Calibri" w:hAnsi="Calibri"/>
                <w:sz w:val="16"/>
                <w:szCs w:val="16"/>
              </w:rPr>
              <w:t xml:space="preserve">Base histórica de dados</w:t>
            </w:r>
          </w:p>
        </w:tc>
        <w:tc>
          <w:tcPr>
            <w:tcW w:type="dxa" w:w="1700"/>
            <w:tcBorders>
              <w:top w:val="single" w:color="B8C4D2" w:sz="4"/>
              <w:left w:val="single" w:color="B8C4D2" w:sz="4"/>
              <w:bottom w:val="single" w:color="B8C4D2" w:sz="4"/>
              <w:right w:val="single" w:color="B8C4D2" w:sz="4"/>
            </w:tcBorders>
            <w:shd w:fill="FFFFFF" w:color="auto" w:val="clear"/>
            <w:tcMar>
              <w:top w:type="dxa" w:w="50"/>
              <w:left w:type="dxa" w:w="90"/>
              <w:bottom w:type="dxa" w:w="50"/>
              <w:right w:type="dxa" w:w="90"/>
            </w:tcMar>
          </w:tcPr>
          <w:p>
            <w:pPr>
              <w:spacing w:after="0" w:line="240"/>
            </w:pPr>
            <w:r>
              <w:rPr>
                <w:rFonts w:ascii="Calibri" w:cs="Calibri" w:eastAsia="Calibri" w:hAnsi="Calibri"/>
                <w:b/>
                <w:bCs/>
                <w:sz w:val="16"/>
                <w:szCs w:val="16"/>
              </w:rPr>
              <w:t xml:space="preserve">Hoje é passivo</w:t>
            </w:r>
          </w:p>
        </w:tc>
        <w:tc>
          <w:tcPr>
            <w:tcW w:type="dxa" w:w="5638"/>
            <w:tcBorders>
              <w:top w:val="single" w:color="B8C4D2" w:sz="4"/>
              <w:left w:val="single" w:color="B8C4D2" w:sz="4"/>
              <w:bottom w:val="single" w:color="B8C4D2" w:sz="4"/>
              <w:right w:val="single" w:color="B8C4D2" w:sz="4"/>
            </w:tcBorders>
            <w:shd w:fill="FFFFFF" w:color="auto" w:val="clear"/>
            <w:tcMar>
              <w:top w:type="dxa" w:w="50"/>
              <w:left w:type="dxa" w:w="90"/>
              <w:bottom w:type="dxa" w:w="50"/>
              <w:right w:type="dxa" w:w="90"/>
            </w:tcMar>
          </w:tcPr>
          <w:p>
            <w:pPr>
              <w:spacing w:after="0" w:line="240"/>
            </w:pPr>
            <w:r>
              <w:rPr>
                <w:rFonts w:ascii="Calibri" w:cs="Calibri" w:eastAsia="Calibri" w:hAnsi="Calibri"/>
                <w:sz w:val="16"/>
                <w:szCs w:val="16"/>
              </w:rPr>
              <w:t xml:space="preserve">63,6% é dado público. Dos dados de clientes, 35,4% não têm autorização clara para treinamento, e nenhum contrato foi revisado. Só 2 clientes da saúde fornecem dados clínicos (Quadro 7).</w:t>
            </w:r>
          </w:p>
        </w:tc>
      </w:tr>
      <w:tr>
        <w:trPr>
          <w:cantSplit/>
          <w:tblHeader w:val="off"/>
        </w:trPr>
        <w:tc>
          <w:tcPr>
            <w:tcW w:type="dxa" w:w="2300"/>
            <w:tcBorders>
              <w:top w:val="single" w:color="B8C4D2" w:sz="4"/>
              <w:left w:val="single" w:color="B8C4D2" w:sz="4"/>
              <w:bottom w:val="single" w:color="B8C4D2" w:sz="4"/>
              <w:right w:val="single" w:color="B8C4D2" w:sz="4"/>
            </w:tcBorders>
            <w:shd w:fill="F3F5F8" w:color="auto" w:val="clear"/>
            <w:tcMar>
              <w:top w:type="dxa" w:w="50"/>
              <w:left w:type="dxa" w:w="90"/>
              <w:bottom w:type="dxa" w:w="50"/>
              <w:right w:type="dxa" w:w="90"/>
            </w:tcMar>
          </w:tcPr>
          <w:p>
            <w:pPr>
              <w:spacing w:after="0" w:line="240"/>
            </w:pPr>
            <w:r>
              <w:rPr>
                <w:rFonts w:ascii="Calibri" w:cs="Calibri" w:eastAsia="Calibri" w:hAnsi="Calibri"/>
                <w:sz w:val="16"/>
                <w:szCs w:val="16"/>
              </w:rPr>
              <w:t xml:space="preserve">Validação clínica</w:t>
            </w:r>
          </w:p>
        </w:tc>
        <w:tc>
          <w:tcPr>
            <w:tcW w:type="dxa" w:w="1700"/>
            <w:tcBorders>
              <w:top w:val="single" w:color="B8C4D2" w:sz="4"/>
              <w:left w:val="single" w:color="B8C4D2" w:sz="4"/>
              <w:bottom w:val="single" w:color="B8C4D2" w:sz="4"/>
              <w:right w:val="single" w:color="B8C4D2" w:sz="4"/>
            </w:tcBorders>
            <w:shd w:fill="F3F5F8" w:color="auto" w:val="clear"/>
            <w:tcMar>
              <w:top w:type="dxa" w:w="50"/>
              <w:left w:type="dxa" w:w="90"/>
              <w:bottom w:type="dxa" w:w="50"/>
              <w:right w:type="dxa" w:w="90"/>
            </w:tcMar>
          </w:tcPr>
          <w:p>
            <w:pPr>
              <w:spacing w:after="0" w:line="240"/>
            </w:pPr>
            <w:r>
              <w:rPr>
                <w:rFonts w:ascii="Calibri" w:cs="Calibri" w:eastAsia="Calibri" w:hAnsi="Calibri"/>
                <w:b/>
                <w:bCs/>
                <w:sz w:val="16"/>
                <w:szCs w:val="16"/>
              </w:rPr>
              <w:t xml:space="preserve">Hoje é passivo</w:t>
            </w:r>
          </w:p>
        </w:tc>
        <w:tc>
          <w:tcPr>
            <w:tcW w:type="dxa" w:w="5638"/>
            <w:tcBorders>
              <w:top w:val="single" w:color="B8C4D2" w:sz="4"/>
              <w:left w:val="single" w:color="B8C4D2" w:sz="4"/>
              <w:bottom w:val="single" w:color="B8C4D2" w:sz="4"/>
              <w:right w:val="single" w:color="B8C4D2" w:sz="4"/>
            </w:tcBorders>
            <w:shd w:fill="F3F5F8" w:color="auto" w:val="clear"/>
            <w:tcMar>
              <w:top w:type="dxa" w:w="50"/>
              <w:left w:type="dxa" w:w="90"/>
              <w:bottom w:type="dxa" w:w="50"/>
              <w:right w:type="dxa" w:w="90"/>
            </w:tcMar>
          </w:tcPr>
          <w:p>
            <w:pPr>
              <w:spacing w:after="0" w:line="240"/>
            </w:pPr>
            <w:r>
              <w:rPr>
                <w:rFonts w:ascii="Calibri" w:cs="Calibri" w:eastAsia="Calibri" w:hAnsi="Calibri"/>
                <w:sz w:val="16"/>
                <w:szCs w:val="16"/>
              </w:rPr>
              <w:t xml:space="preserve">O "94%" não se reproduz em campo. A diferença entre validação e campo é maior justamente no grupo que originou a reclamação do hospital.</w:t>
            </w:r>
          </w:p>
        </w:tc>
      </w:tr>
    </w:tbl>
    <w:p>
      <w:pPr>
        <w:spacing w:after="80"/>
      </w:pPr>
    </w:p>
    <w:p>
      <w:pPr>
        <w:spacing w:after="110" w:line="276"/>
        <w:jc w:val="both"/>
      </w:pPr>
      <w:r>
        <w:rPr>
          <w:rFonts w:ascii="Calibri" w:cs="Calibri" w:eastAsia="Calibri" w:hAnsi="Calibri"/>
          <w:b/>
          <w:bCs/>
          <w:sz w:val="20"/>
          <w:szCs w:val="20"/>
        </w:rPr>
        <w:t xml:space="preserve">Resposta.</w:t>
      </w:r>
      <w:r>
        <w:rPr>
          <w:rFonts w:ascii="Calibri" w:cs="Calibri" w:eastAsia="Calibri" w:hAnsi="Calibri"/>
          <w:sz w:val="20"/>
          <w:szCs w:val="20"/>
        </w:rPr>
        <w:t xml:space="preserve"> Hoje, pouco na Lumis é difícil de copiar. A combinação de produto especializado, integração e conhecimento existe, mas se apoia em um ativo de dados com direito de uso incerto e em métricas que não se reproduzem fora do ambiente de validação. Um concorrente com mais capital consegue replicar a tecnologia em meses. O dono do prontuário consegue replicar a distribuição imediatamente.</w:t>
      </w:r>
    </w:p>
    <w:p>
      <w:pPr>
        <w:spacing w:after="110" w:line="276"/>
        <w:jc w:val="both"/>
      </w:pPr>
      <w:r>
        <w:rPr>
          <w:rFonts w:ascii="Calibri" w:cs="Calibri" w:eastAsia="Calibri" w:hAnsi="Calibri"/>
          <w:b/>
          <w:bCs/>
          <w:sz w:val="20"/>
          <w:szCs w:val="20"/>
        </w:rPr>
        <w:t xml:space="preserve">O que pode vir a ser difícil de copiar</w:t>
      </w:r>
      <w:r>
        <w:rPr>
          <w:rFonts w:ascii="Calibri" w:cs="Calibri" w:eastAsia="Calibri" w:hAnsi="Calibri"/>
          <w:sz w:val="20"/>
          <w:szCs w:val="20"/>
        </w:rPr>
        <w:t xml:space="preserve"> é o </w:t>
      </w:r>
      <w:r>
        <w:rPr>
          <w:rFonts w:ascii="Calibri" w:cs="Calibri" w:eastAsia="Calibri" w:hAnsi="Calibri"/>
          <w:b/>
          <w:bCs/>
          <w:sz w:val="20"/>
          <w:szCs w:val="20"/>
        </w:rPr>
        <w:t xml:space="preserve">dado de desfecho da priorização clínica em fluxo brasileiro, com direito de uso limpo, somado à prova auditável de desempenho por subgrupo</w:t>
      </w:r>
      <w:r>
        <w:rPr>
          <w:rFonts w:ascii="Calibri" w:cs="Calibri" w:eastAsia="Calibri" w:hAnsi="Calibri"/>
          <w:sz w:val="20"/>
          <w:szCs w:val="20"/>
        </w:rPr>
        <w:t xml:space="preserve">. Hoje, nem o dono do prontuário nem o provedor de modelo têm isso. Para chegar lá, três condições precisam se cumprir:</w:t>
      </w:r>
    </w:p>
    <w:p>
      <w:pPr>
        <w:pStyle w:val="ListParagraph"/>
        <w:numPr>
          <w:ilvl w:val="0"/>
          <w:numId w:val="2"/>
        </w:numPr>
        <w:spacing w:after="70" w:line="264"/>
        <w:jc w:val="both"/>
      </w:pPr>
      <w:r>
        <w:rPr>
          <w:rFonts w:ascii="Calibri" w:cs="Calibri" w:eastAsia="Calibri" w:hAnsi="Calibri"/>
          <w:b/>
          <w:bCs/>
          <w:sz w:val="20"/>
          <w:szCs w:val="20"/>
        </w:rPr>
        <w:t xml:space="preserve">Regularizar os contratos de dados</w:t>
      </w:r>
      <w:r>
        <w:rPr>
          <w:rFonts w:ascii="Calibri" w:cs="Calibri" w:eastAsia="Calibri" w:hAnsi="Calibri"/>
          <w:sz w:val="20"/>
          <w:szCs w:val="20"/>
        </w:rPr>
        <w:t xml:space="preserve"> antes dos vencimentos (Prisma em 12/2026 e Vila Ipê em 03/2027) e estender o direito de uso aos clientes que hoje não contribuem dados.</w:t>
      </w:r>
    </w:p>
    <w:p>
      <w:pPr>
        <w:pStyle w:val="ListParagraph"/>
        <w:numPr>
          <w:ilvl w:val="0"/>
          <w:numId w:val="2"/>
        </w:numPr>
        <w:spacing w:after="70" w:line="264"/>
        <w:jc w:val="both"/>
      </w:pPr>
      <w:r>
        <w:rPr>
          <w:rFonts w:ascii="Calibri" w:cs="Calibri" w:eastAsia="Calibri" w:hAnsi="Calibri"/>
          <w:b/>
          <w:bCs/>
          <w:sz w:val="20"/>
          <w:szCs w:val="20"/>
        </w:rPr>
        <w:t xml:space="preserve">Substituir o "94%" por validação em campo, estratificada e publicada.</w:t>
      </w:r>
      <w:r>
        <w:rPr>
          <w:rFonts w:ascii="Calibri" w:cs="Calibri" w:eastAsia="Calibri" w:hAnsi="Calibri"/>
          <w:sz w:val="20"/>
          <w:szCs w:val="20"/>
        </w:rPr>
        <w:t xml:space="preserve"> Isso também cumpre o nosso compromisso de Não Amplificação de Danos (Declaração de Intenção, Fase 1).</w:t>
      </w:r>
    </w:p>
    <w:p>
      <w:pPr>
        <w:pStyle w:val="ListParagraph"/>
        <w:numPr>
          <w:ilvl w:val="0"/>
          <w:numId w:val="2"/>
        </w:numPr>
        <w:spacing w:after="70" w:line="264"/>
        <w:jc w:val="both"/>
      </w:pPr>
      <w:r>
        <w:rPr>
          <w:rFonts w:ascii="Calibri" w:cs="Calibri" w:eastAsia="Calibri" w:hAnsi="Calibri"/>
          <w:b/>
          <w:bCs/>
          <w:sz w:val="20"/>
          <w:szCs w:val="20"/>
        </w:rPr>
        <w:t xml:space="preserve">Concentrar a operação em hospitais e seguradoras médios</w:t>
      </w:r>
      <w:r>
        <w:rPr>
          <w:rFonts w:ascii="Calibri" w:cs="Calibri" w:eastAsia="Calibri" w:hAnsi="Calibri"/>
          <w:sz w:val="20"/>
          <w:szCs w:val="20"/>
        </w:rPr>
        <w:t xml:space="preserve">, sem time próprio de IA, onde a integração vale mais e o comprador não internaliza.</w:t>
      </w:r>
    </w:p>
    <w:p>
      <w:pPr>
        <w:pStyle w:val="Heading1"/>
        <w:keepNext/>
        <w:spacing w:after="100" w:before="220"/>
      </w:pPr>
      <w:r>
        <w:rPr>
          <w:rFonts w:ascii="Calibri" w:cs="Calibri" w:eastAsia="Calibri" w:hAnsi="Calibri"/>
          <w:b/>
          <w:bCs/>
          <w:color w:val="1F3A5F"/>
          <w:sz w:val="24"/>
          <w:szCs w:val="24"/>
        </w:rPr>
        <w:t xml:space="preserve">6. Síntese consolidada</w:t>
      </w:r>
    </w:p>
    <w:p>
      <w:pPr>
        <w:spacing w:after="110" w:line="276"/>
        <w:jc w:val="both"/>
      </w:pPr>
      <w:r>
        <w:rPr>
          <w:rFonts w:ascii="Calibri" w:cs="Calibri" w:eastAsia="Calibri" w:hAnsi="Calibri"/>
          <w:sz w:val="20"/>
          <w:szCs w:val="20"/>
        </w:rPr>
        <w:t xml:space="preserve">A Lumis é uma empresa de aplicação que aluga as duas camadas de baixo, que são concentradas e cobram em dólar, e tem controle apenas condicional sobre a camada que poderia diferenciá-la, a de dados. A competição se decide menos pela qualidade do modelo e mais por quem está dentro do fluxo hospitalar e por quem tem direito de usar o dado. Nos dois casos, a Lumis está em desvantagem. As dependências mais críticas são, nesta ordem: os dados de clientes (estrutural), o modelo fundacional (rápida), o câmbio, a nuvem e as bases clínicas. A tese de crescimento a ser apresentada ao Vetor Capital precisa começar pelo que a Lumis tem de </w:t>
      </w:r>
      <w:r>
        <w:rPr>
          <w:rFonts w:ascii="Calibri" w:cs="Calibri" w:eastAsia="Calibri" w:hAnsi="Calibri"/>
          <w:b/>
          <w:bCs/>
          <w:sz w:val="20"/>
          <w:szCs w:val="20"/>
        </w:rPr>
        <w:t xml:space="preserve">construir</w:t>
      </w:r>
      <w:r>
        <w:rPr>
          <w:rFonts w:ascii="Calibri" w:cs="Calibri" w:eastAsia="Calibri" w:hAnsi="Calibri"/>
          <w:sz w:val="20"/>
          <w:szCs w:val="20"/>
        </w:rPr>
        <w:t xml:space="preserve"> para merecer o múltiplo de 10,3 vezes o ARR, e não pelo que ela já teria de exclusivo.</w:t>
      </w:r>
    </w:p>
    <w:p>
      <w:pPr>
        <w:pStyle w:val="Heading1"/>
        <w:keepNext/>
        <w:spacing w:after="100" w:before="220"/>
      </w:pPr>
      <w:r>
        <w:rPr>
          <w:rFonts w:ascii="Calibri" w:cs="Calibri" w:eastAsia="Calibri" w:hAnsi="Calibri"/>
          <w:b/>
          <w:bCs/>
          <w:color w:val="1F3A5F"/>
          <w:sz w:val="24"/>
          <w:szCs w:val="24"/>
        </w:rPr>
        <w:t xml:space="preserve">7. Desdobramentos para as próximas entregas</w:t>
      </w:r>
    </w:p>
    <w:p>
      <w:pPr>
        <w:pStyle w:val="ListParagraph"/>
        <w:numPr>
          <w:ilvl w:val="0"/>
          <w:numId w:val="2"/>
        </w:numPr>
        <w:spacing w:after="70" w:line="264"/>
        <w:jc w:val="both"/>
      </w:pPr>
      <w:r>
        <w:rPr>
          <w:rFonts w:ascii="Calibri" w:cs="Calibri" w:eastAsia="Calibri" w:hAnsi="Calibri"/>
          <w:b/>
          <w:bCs/>
          <w:sz w:val="20"/>
          <w:szCs w:val="20"/>
        </w:rPr>
        <w:t xml:space="preserve">Entrega 2 (auditoria do ativo):</w:t>
      </w:r>
      <w:r>
        <w:rPr>
          <w:rFonts w:ascii="Calibri" w:cs="Calibri" w:eastAsia="Calibri" w:hAnsi="Calibri"/>
          <w:sz w:val="20"/>
          <w:szCs w:val="20"/>
        </w:rPr>
        <w:t xml:space="preserve"> contratos e direito de uso dos dados, variáveis e a distância entre as métricas comerciais e o desempenho em campo.</w:t>
      </w:r>
    </w:p>
    <w:p>
      <w:pPr>
        <w:pStyle w:val="ListParagraph"/>
        <w:numPr>
          <w:ilvl w:val="0"/>
          <w:numId w:val="2"/>
        </w:numPr>
        <w:spacing w:after="70" w:line="264"/>
        <w:jc w:val="both"/>
      </w:pPr>
      <w:r>
        <w:rPr>
          <w:rFonts w:ascii="Calibri" w:cs="Calibri" w:eastAsia="Calibri" w:hAnsi="Calibri"/>
          <w:b/>
          <w:bCs/>
          <w:sz w:val="20"/>
          <w:szCs w:val="20"/>
        </w:rPr>
        <w:t xml:space="preserve">Entrega 3 (linha de responsabilidade):</w:t>
      </w:r>
      <w:r>
        <w:rPr>
          <w:rFonts w:ascii="Calibri" w:cs="Calibri" w:eastAsia="Calibri" w:hAnsi="Calibri"/>
          <w:sz w:val="20"/>
          <w:szCs w:val="20"/>
        </w:rPr>
        <w:t xml:space="preserve"> quem decide trocar de fornecedor, quem aprova uma nova versão de modelo depois de mudança do fornecedor e quem pode suspender o sistema.</w:t>
      </w:r>
    </w:p>
    <w:p>
      <w:pPr>
        <w:pStyle w:val="ListParagraph"/>
        <w:numPr>
          <w:ilvl w:val="0"/>
          <w:numId w:val="2"/>
        </w:numPr>
        <w:spacing w:after="70" w:line="264"/>
        <w:jc w:val="both"/>
      </w:pPr>
      <w:r>
        <w:rPr>
          <w:rFonts w:ascii="Calibri" w:cs="Calibri" w:eastAsia="Calibri" w:hAnsi="Calibri"/>
          <w:b/>
          <w:bCs/>
          <w:sz w:val="20"/>
          <w:szCs w:val="20"/>
        </w:rPr>
        <w:t xml:space="preserve">Entrega 4 (cultura e inovação):</w:t>
      </w:r>
      <w:r>
        <w:rPr>
          <w:rFonts w:ascii="Calibri" w:cs="Calibri" w:eastAsia="Calibri" w:hAnsi="Calibri"/>
          <w:sz w:val="20"/>
          <w:szCs w:val="20"/>
        </w:rPr>
        <w:t xml:space="preserve"> priorizar iniciativas que reduzam dependência (dados, segundo fornecedor) antes de iniciativas de expansão.</w:t>
      </w:r>
    </w:p>
    <w:p>
      <w:pPr>
        <w:pStyle w:val="ListParagraph"/>
        <w:numPr>
          <w:ilvl w:val="0"/>
          <w:numId w:val="2"/>
        </w:numPr>
        <w:spacing w:after="70" w:line="264"/>
        <w:jc w:val="both"/>
      </w:pPr>
      <w:r>
        <w:rPr>
          <w:rFonts w:ascii="Calibri" w:cs="Calibri" w:eastAsia="Calibri" w:hAnsi="Calibri"/>
          <w:b/>
          <w:bCs/>
          <w:sz w:val="20"/>
          <w:szCs w:val="20"/>
        </w:rPr>
        <w:t xml:space="preserve">Entrega 5 (ESG):</w:t>
      </w:r>
      <w:r>
        <w:rPr>
          <w:rFonts w:ascii="Calibri" w:cs="Calibri" w:eastAsia="Calibri" w:hAnsi="Calibri"/>
          <w:sz w:val="20"/>
          <w:szCs w:val="20"/>
        </w:rPr>
        <w:t xml:space="preserve"> a validação por subgrupo como métrica pública de equidade.</w:t>
      </w:r>
    </w:p>
    <w:p>
      <w:pPr>
        <w:pStyle w:val="Heading2"/>
        <w:keepNext/>
        <w:spacing w:after="80" w:before="180"/>
      </w:pPr>
      <w:r>
        <w:rPr>
          <w:rFonts w:ascii="Calibri" w:cs="Calibri" w:eastAsia="Calibri" w:hAnsi="Calibri"/>
          <w:b/>
          <w:bCs/>
          <w:color w:val="1F3A5F"/>
          <w:sz w:val="21"/>
          <w:szCs w:val="21"/>
        </w:rPr>
        <w:t xml:space="preserve">Referências (contexto externo, análogos reais)</w:t>
      </w:r>
    </w:p>
    <w:p>
      <w:pPr>
        <w:spacing w:after="40"/>
        <w:ind w:left="280" w:hanging="280"/>
      </w:pPr>
      <w:r>
        <w:rPr>
          <w:rFonts w:ascii="Calibri" w:cs="Calibri" w:eastAsia="Calibri" w:hAnsi="Calibri"/>
          <w:b/>
          <w:bCs/>
          <w:sz w:val="16"/>
          <w:szCs w:val="16"/>
        </w:rPr>
        <w:t xml:space="preserve">1. </w:t>
      </w:r>
      <w:r>
        <w:rPr>
          <w:rFonts w:ascii="Calibri" w:cs="Calibri" w:eastAsia="Calibri" w:hAnsi="Calibri"/>
          <w:sz w:val="16"/>
          <w:szCs w:val="16"/>
        </w:rPr>
        <w:t xml:space="preserve">SYNERGY RESEARCH GROUP. Q2 Cloud Market Passes $143 Billion. 30 jul. 2026. Disponível em: https://www.srgresearch.com/articles/q2-cloud-market-passes-143-billion-highest-growth-rate-in-eight-years.</w:t>
      </w:r>
    </w:p>
    <w:p>
      <w:pPr>
        <w:spacing w:after="40"/>
        <w:ind w:left="280" w:hanging="280"/>
      </w:pPr>
      <w:r>
        <w:rPr>
          <w:rFonts w:ascii="Calibri" w:cs="Calibri" w:eastAsia="Calibri" w:hAnsi="Calibri"/>
          <w:b/>
          <w:bCs/>
          <w:sz w:val="16"/>
          <w:szCs w:val="16"/>
        </w:rPr>
        <w:t xml:space="preserve">2. </w:t>
      </w:r>
      <w:r>
        <w:rPr>
          <w:rFonts w:ascii="Calibri" w:cs="Calibri" w:eastAsia="Calibri" w:hAnsi="Calibri"/>
          <w:sz w:val="16"/>
          <w:szCs w:val="16"/>
        </w:rPr>
        <w:t xml:space="preserve">MV. MV se torna a 5ª maior fornecedora global de prontuário eletrônico hospitalar (dados KLAS 2025). 4 ago. 2025. Disponível em: https://mv.com.br/imprensa/mv-se-torna-a-5a-maior-fornecedora-global-de-prontuario-eletronico-hospitalar.</w:t>
      </w:r>
    </w:p>
    <w:p>
      <w:pPr>
        <w:spacing w:after="40"/>
        <w:ind w:left="280" w:hanging="280"/>
      </w:pPr>
      <w:r>
        <w:rPr>
          <w:rFonts w:ascii="Calibri" w:cs="Calibri" w:eastAsia="Calibri" w:hAnsi="Calibri"/>
          <w:b/>
          <w:bCs/>
          <w:sz w:val="16"/>
          <w:szCs w:val="16"/>
        </w:rPr>
        <w:t xml:space="preserve">3. </w:t>
      </w:r>
      <w:r>
        <w:rPr>
          <w:rFonts w:ascii="Calibri" w:cs="Calibri" w:eastAsia="Calibri" w:hAnsi="Calibri"/>
          <w:sz w:val="16"/>
          <w:szCs w:val="16"/>
        </w:rPr>
        <w:t xml:space="preserve">PHILIPS. Philips expande acesso ao Tasy EMR na Rede D'Or. 19 ago. 2025. Disponível em: https://www.philips.com.br/a-w/about/news/archive/standard/news/press/2025/20250819-philips-expands-access-to-tasy-emr-in-rede-d-or-improving-patient-care.html.</w:t>
      </w:r>
    </w:p>
    <w:p>
      <w:pPr>
        <w:spacing w:after="40"/>
        <w:ind w:left="280" w:hanging="280"/>
      </w:pPr>
      <w:r>
        <w:rPr>
          <w:rFonts w:ascii="Calibri" w:cs="Calibri" w:eastAsia="Calibri" w:hAnsi="Calibri"/>
          <w:b/>
          <w:bCs/>
          <w:sz w:val="16"/>
          <w:szCs w:val="16"/>
        </w:rPr>
        <w:t xml:space="preserve">4. </w:t>
      </w:r>
      <w:r>
        <w:rPr>
          <w:rFonts w:ascii="Calibri" w:cs="Calibri" w:eastAsia="Calibri" w:hAnsi="Calibri"/>
          <w:sz w:val="16"/>
          <w:szCs w:val="16"/>
        </w:rPr>
        <w:t xml:space="preserve">TESTINGCATALOG. OpenAI launches ChatGPT for Healthcare with US hospitals. 8 jan. 2026. Disponível em: https://www.testingcatalog.com/openai-launches-chatgpt-for-healthcare-with-us-hospitals/.</w:t>
      </w:r>
    </w:p>
    <w:p>
      <w:pPr>
        <w:spacing w:after="40"/>
        <w:ind w:left="280" w:hanging="280"/>
      </w:pPr>
      <w:r>
        <w:rPr>
          <w:rFonts w:ascii="Calibri" w:cs="Calibri" w:eastAsia="Calibri" w:hAnsi="Calibri"/>
          <w:b/>
          <w:bCs/>
          <w:sz w:val="16"/>
          <w:szCs w:val="16"/>
        </w:rPr>
        <w:t xml:space="preserve">5. </w:t>
      </w:r>
      <w:r>
        <w:rPr>
          <w:rFonts w:ascii="Calibri" w:cs="Calibri" w:eastAsia="Calibri" w:hAnsi="Calibri"/>
          <w:sz w:val="16"/>
          <w:szCs w:val="16"/>
        </w:rPr>
        <w:t xml:space="preserve">ANTHROPIC. Advancing Claude in healthcare and the life sciences. 11 jan. 2026. Disponível em: https://www.anthropic.com/news/healthcare-life-sciences.</w:t>
      </w:r>
    </w:p>
    <w:p>
      <w:pPr>
        <w:spacing w:after="40"/>
        <w:ind w:left="280" w:hanging="280"/>
      </w:pPr>
      <w:r>
        <w:rPr>
          <w:rFonts w:ascii="Calibri" w:cs="Calibri" w:eastAsia="Calibri" w:hAnsi="Calibri"/>
          <w:b/>
          <w:bCs/>
          <w:sz w:val="16"/>
          <w:szCs w:val="16"/>
        </w:rPr>
        <w:t xml:space="preserve">6. </w:t>
      </w:r>
      <w:r>
        <w:rPr>
          <w:rFonts w:ascii="Calibri" w:cs="Calibri" w:eastAsia="Calibri" w:hAnsi="Calibri"/>
          <w:sz w:val="16"/>
          <w:szCs w:val="16"/>
        </w:rPr>
        <w:t xml:space="preserve">CONVERGÊNCIA DIGITAL. Hospital Israelita Albert Einstein: algoritmos, IA e inovação salvam vidas. 8 jan. 2025. Disponível em: https://convergenciadigital.com.br/mercado/hospital-israelita-albert-einstein-algoritmos-ia-e-inovacao-salvam-vidas/.</w:t>
      </w:r>
    </w:p>
    <w:p>
      <w:pPr>
        <w:spacing w:after="40"/>
        <w:ind w:left="280" w:hanging="280"/>
      </w:pPr>
      <w:r>
        <w:rPr>
          <w:rFonts w:ascii="Calibri" w:cs="Calibri" w:eastAsia="Calibri" w:hAnsi="Calibri"/>
          <w:b/>
          <w:bCs/>
          <w:sz w:val="16"/>
          <w:szCs w:val="16"/>
        </w:rPr>
        <w:t xml:space="preserve">7. </w:t>
      </w:r>
      <w:r>
        <w:rPr>
          <w:rFonts w:ascii="Calibri" w:cs="Calibri" w:eastAsia="Calibri" w:hAnsi="Calibri"/>
          <w:sz w:val="16"/>
          <w:szCs w:val="16"/>
        </w:rPr>
        <w:t xml:space="preserve">LET'S MONEY. Itaú usa mais de 1,3 mil modelos de IA. 2026. Disponível em: https://www.letsmoney.com.br/noticias/itau-usa-mais-de-mil-modelos-ia/.</w:t>
      </w:r>
    </w:p>
    <w:p>
      <w:pPr>
        <w:spacing w:after="40"/>
        <w:ind w:left="280" w:hanging="280"/>
      </w:pPr>
      <w:r>
        <w:rPr>
          <w:rFonts w:ascii="Calibri" w:cs="Calibri" w:eastAsia="Calibri" w:hAnsi="Calibri"/>
          <w:b/>
          <w:bCs/>
          <w:sz w:val="16"/>
          <w:szCs w:val="16"/>
        </w:rPr>
        <w:t xml:space="preserve">8. </w:t>
      </w:r>
      <w:r>
        <w:rPr>
          <w:rFonts w:ascii="Calibri" w:cs="Calibri" w:eastAsia="Calibri" w:hAnsi="Calibri"/>
          <w:sz w:val="16"/>
          <w:szCs w:val="16"/>
        </w:rPr>
        <w:t xml:space="preserve">WONG, A. et al. External Validation of a Widely Implemented Proprietary Sepsis Prediction Model in Hospitalized Patients. JAMA Internal Medicine, v. 181, n. 8, p. 1065-1070, 2021.</w:t>
      </w:r>
    </w:p>
    <w:p>
      <w:pPr>
        <w:spacing w:after="40"/>
        <w:ind w:left="280" w:hanging="280"/>
      </w:pPr>
      <w:r>
        <w:rPr>
          <w:rFonts w:ascii="Calibri" w:cs="Calibri" w:eastAsia="Calibri" w:hAnsi="Calibri"/>
          <w:b/>
          <w:bCs/>
          <w:sz w:val="16"/>
          <w:szCs w:val="16"/>
        </w:rPr>
        <w:t xml:space="preserve">9. </w:t>
      </w:r>
      <w:r>
        <w:rPr>
          <w:rFonts w:ascii="Calibri" w:cs="Calibri" w:eastAsia="Calibri" w:hAnsi="Calibri"/>
          <w:sz w:val="16"/>
          <w:szCs w:val="16"/>
        </w:rPr>
        <w:t xml:space="preserve">TECHCRUNCH. Anthropic hikes the price of its Haiku model. 4 nov. 2024. Disponível em: https://techcrunch.com/2024/11/04/anthropic-hikes-the-price-of-its-haiku-model.</w:t>
      </w:r>
    </w:p>
    <w:p>
      <w:pPr>
        <w:spacing w:after="40"/>
        <w:ind w:left="280" w:hanging="280"/>
      </w:pPr>
      <w:r>
        <w:rPr>
          <w:rFonts w:ascii="Calibri" w:cs="Calibri" w:eastAsia="Calibri" w:hAnsi="Calibri"/>
          <w:b/>
          <w:bCs/>
          <w:sz w:val="16"/>
          <w:szCs w:val="16"/>
        </w:rPr>
        <w:t xml:space="preserve">10. </w:t>
      </w:r>
      <w:r>
        <w:rPr>
          <w:rFonts w:ascii="Calibri" w:cs="Calibri" w:eastAsia="Calibri" w:hAnsi="Calibri"/>
          <w:sz w:val="16"/>
          <w:szCs w:val="16"/>
        </w:rPr>
        <w:t xml:space="preserve">SHAPIRO, C.; VARIAN, H. R. Information Rules: A Strategic Guide to the Network Economy. Boston: Harvard Business School Press, 1999.</w:t>
      </w:r>
    </w:p>
    <w:p>
      <w:pPr>
        <w:spacing w:after="80" w:before="80"/>
      </w:pPr>
      <w:r>
        <w:rPr>
          <w:rFonts w:ascii="Calibri" w:cs="Calibri" w:eastAsia="Calibri" w:hAnsi="Calibri"/>
          <w:i/>
          <w:iCs/>
          <w:color w:val="6B7A8C"/>
          <w:sz w:val="16"/>
          <w:szCs w:val="16"/>
        </w:rPr>
        <w:t xml:space="preserve">Dados da Lumis: Anexo A do Cap. 2 (Quadros 3 a 6; para dados e desempenho, Quadros 7, 9, 10 e 14). Os números calculados (margens, cenários, crescimento) partem do Quadro 4 e estão detalhados no material de apoio da equipe. As empresas reais citadas são análogos e não fazem parte do caso Lumis.</w:t>
      </w:r>
    </w:p>
    <w:p>
      <w:pPr>
        <w:pageBreakBefore/>
      </w:pPr>
    </w:p>
    <w:p>
      <w:pPr>
        <w:pStyle w:val="Heading1"/>
        <w:keepNext/>
        <w:spacing w:after="100" w:before="220"/>
      </w:pPr>
      <w:r>
        <w:rPr>
          <w:rFonts w:ascii="Calibri" w:cs="Calibri" w:eastAsia="Calibri" w:hAnsi="Calibri"/>
          <w:b/>
          <w:bCs/>
          <w:color w:val="1F3A5F"/>
          <w:sz w:val="24"/>
          <w:szCs w:val="24"/>
        </w:rPr>
        <w:t xml:space="preserve">APÊNDICE A: Uso de IA generativa como instrumento de pesquisa</w:t>
      </w:r>
    </w:p>
    <w:p>
      <w:pPr>
        <w:spacing w:after="110" w:line="276"/>
        <w:jc w:val="both"/>
      </w:pPr>
      <w:r>
        <w:rPr>
          <w:rFonts w:ascii="Calibri" w:cs="Calibri" w:eastAsia="Calibri" w:hAnsi="Calibri"/>
          <w:b/>
          <w:bCs/>
          <w:sz w:val="20"/>
          <w:szCs w:val="20"/>
        </w:rPr>
        <w:t xml:space="preserve">Ferramenta e data:</w:t>
      </w:r>
      <w:r>
        <w:rPr>
          <w:rFonts w:ascii="Calibri" w:cs="Calibri" w:eastAsia="Calibri" w:hAnsi="Calibri"/>
          <w:sz w:val="20"/>
          <w:szCs w:val="20"/>
        </w:rPr>
        <w:t xml:space="preserve"> Claude Code (Anthropic), em 05/10/2026, com subagentes autorizados a buscar e abrir páginas na web.</w:t>
      </w:r>
    </w:p>
    <w:p>
      <w:pPr>
        <w:spacing w:after="110" w:line="276"/>
        <w:jc w:val="both"/>
      </w:pPr>
      <w:r>
        <w:rPr>
          <w:rFonts w:ascii="Calibri" w:cs="Calibri" w:eastAsia="Calibri" w:hAnsi="Calibri"/>
          <w:b/>
          <w:bCs/>
          <w:sz w:val="20"/>
          <w:szCs w:val="20"/>
        </w:rPr>
        <w:t xml:space="preserve">Método.</w:t>
      </w:r>
      <w:r>
        <w:rPr>
          <w:rFonts w:ascii="Calibri" w:cs="Calibri" w:eastAsia="Calibri" w:hAnsi="Calibri"/>
          <w:sz w:val="20"/>
          <w:szCs w:val="20"/>
        </w:rPr>
        <w:t xml:space="preserve"> A IA foi usada para </w:t>
      </w:r>
      <w:r>
        <w:rPr>
          <w:rFonts w:ascii="Calibri" w:cs="Calibri" w:eastAsia="Calibri" w:hAnsi="Calibri"/>
          <w:b/>
          <w:bCs/>
          <w:sz w:val="20"/>
          <w:szCs w:val="20"/>
        </w:rPr>
        <w:t xml:space="preserve">pesquisar</w:t>
      </w:r>
      <w:r>
        <w:rPr>
          <w:rFonts w:ascii="Calibri" w:cs="Calibri" w:eastAsia="Calibri" w:hAnsi="Calibri"/>
          <w:sz w:val="20"/>
          <w:szCs w:val="20"/>
        </w:rPr>
        <w:t xml:space="preserve">, não para redigir. Cinco frentes de pesquisa rodaram em paralelo: camadas, concorrência, dependências, defensabilidade e cálculos. Todas receberam o mesmo bloco de contexto, com os Quadros 3 a 6 transcritos e regras explícitas:</w:t>
      </w:r>
    </w:p>
    <w:p>
      <w:pPr>
        <w:pStyle w:val="ListParagraph"/>
        <w:numPr>
          <w:ilvl w:val="0"/>
          <w:numId w:val="2"/>
        </w:numPr>
        <w:spacing w:after="70" w:line="264"/>
        <w:jc w:val="both"/>
      </w:pPr>
      <w:r>
        <w:rPr>
          <w:rFonts w:ascii="Calibri" w:cs="Calibri" w:eastAsia="Calibri" w:hAnsi="Calibri"/>
          <w:sz w:val="20"/>
          <w:szCs w:val="20"/>
        </w:rPr>
        <w:t xml:space="preserve">não inventar números sobre a Lumis;</w:t>
      </w:r>
    </w:p>
    <w:p>
      <w:pPr>
        <w:pStyle w:val="ListParagraph"/>
        <w:numPr>
          <w:ilvl w:val="0"/>
          <w:numId w:val="2"/>
        </w:numPr>
        <w:spacing w:after="70" w:line="264"/>
        <w:jc w:val="both"/>
      </w:pPr>
      <w:r>
        <w:rPr>
          <w:rFonts w:ascii="Calibri" w:cs="Calibri" w:eastAsia="Calibri" w:hAnsi="Calibri"/>
          <w:sz w:val="20"/>
          <w:szCs w:val="20"/>
        </w:rPr>
        <w:t xml:space="preserve">não pesquisar as empresas fictícias, e sim buscar análogos reais rotulados como tal;</w:t>
      </w:r>
    </w:p>
    <w:p>
      <w:pPr>
        <w:pStyle w:val="ListParagraph"/>
        <w:numPr>
          <w:ilvl w:val="0"/>
          <w:numId w:val="2"/>
        </w:numPr>
        <w:spacing w:after="70" w:line="264"/>
        <w:jc w:val="both"/>
      </w:pPr>
      <w:r>
        <w:rPr>
          <w:rFonts w:ascii="Calibri" w:cs="Calibri" w:eastAsia="Calibri" w:hAnsi="Calibri"/>
          <w:sz w:val="20"/>
          <w:szCs w:val="20"/>
        </w:rPr>
        <w:t xml:space="preserve">citar fonte aberta para todo fato externo;</w:t>
      </w:r>
    </w:p>
    <w:p>
      <w:pPr>
        <w:pStyle w:val="ListParagraph"/>
        <w:numPr>
          <w:ilvl w:val="0"/>
          <w:numId w:val="2"/>
        </w:numPr>
        <w:spacing w:after="70" w:line="264"/>
        <w:jc w:val="both"/>
      </w:pPr>
      <w:r>
        <w:rPr>
          <w:rFonts w:ascii="Calibri" w:cs="Calibri" w:eastAsia="Calibri" w:hAnsi="Calibri"/>
          <w:sz w:val="20"/>
          <w:szCs w:val="20"/>
        </w:rPr>
        <w:t xml:space="preserve">separar fato, dado do caso, cálculo e hipótese.</w:t>
      </w:r>
    </w:p>
    <w:p>
      <w:pPr>
        <w:spacing w:after="110" w:line="276"/>
        <w:jc w:val="both"/>
      </w:pPr>
      <w:r>
        <w:rPr>
          <w:rFonts w:ascii="Calibri" w:cs="Calibri" w:eastAsia="Calibri" w:hAnsi="Calibri"/>
          <w:sz w:val="20"/>
          <w:szCs w:val="20"/>
        </w:rPr>
        <w:t xml:space="preserve">Cada frente passou por um </w:t>
      </w:r>
      <w:r>
        <w:rPr>
          <w:rFonts w:ascii="Calibri" w:cs="Calibri" w:eastAsia="Calibri" w:hAnsi="Calibri"/>
          <w:b/>
          <w:bCs/>
          <w:sz w:val="20"/>
          <w:szCs w:val="20"/>
        </w:rPr>
        <w:t xml:space="preserve">segundo agente verificador</w:t>
      </w:r>
      <w:r>
        <w:rPr>
          <w:rFonts w:ascii="Calibri" w:cs="Calibri" w:eastAsia="Calibri" w:hAnsi="Calibri"/>
          <w:sz w:val="20"/>
          <w:szCs w:val="20"/>
        </w:rPr>
        <w:t xml:space="preserve">, instruído a tentar refutar cada achado: reabrir a fonte e refazer as contas. Dos 85 achados, 52 foram confirmados, 32 corrigidos ("parcial") e 1 descartado. Os não confirmados não entraram no texto. Abaixo estão os dois prompts de pesquisa mais usados e o prompt de verificação. Os demais estão no registro completo da equipe.</w:t>
      </w:r>
    </w:p>
    <w:p>
      <w:pPr>
        <w:spacing w:after="110" w:line="276"/>
        <w:jc w:val="both"/>
      </w:pPr>
      <w:r>
        <w:rPr>
          <w:rFonts w:ascii="Calibri" w:cs="Calibri" w:eastAsia="Calibri" w:hAnsi="Calibri"/>
          <w:b/>
          <w:bCs/>
          <w:sz w:val="20"/>
          <w:szCs w:val="20"/>
        </w:rPr>
        <w:t xml:space="preserve">Bloco de contexto comum (resumido):</w:t>
      </w:r>
      <w:r>
        <w:rPr>
          <w:rFonts w:ascii="Calibri" w:cs="Calibri" w:eastAsia="Calibri" w:hAnsi="Calibri"/>
          <w:sz w:val="20"/>
          <w:szCs w:val="20"/>
        </w:rPr>
        <w:t xml:space="preserve"> papel de analista sênior de estratégia de IA em saúde, com experiência em due diligence de venture capital no Brasil; contexto da Lumis e do Vetor Capital; Quadros 3 a 6 na íntegra; as seis regras acima.</w:t>
      </w:r>
    </w:p>
    <w:p>
      <w:pPr>
        <w:pStyle w:val="Heading2"/>
        <w:keepNext/>
        <w:spacing w:after="80" w:before="180"/>
      </w:pPr>
      <w:r>
        <w:rPr>
          <w:rFonts w:ascii="Calibri" w:cs="Calibri" w:eastAsia="Calibri" w:hAnsi="Calibri"/>
          <w:b/>
          <w:bCs/>
          <w:color w:val="1F3A5F"/>
          <w:sz w:val="21"/>
          <w:szCs w:val="21"/>
        </w:rPr>
        <w:t xml:space="preserve">Prompt 1: Concorrentes diretos, indiretos e potenciais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C4D2" w:sz="4"/>
              <w:left w:val="single" w:color="B8C4D2" w:sz="4"/>
              <w:bottom w:val="single" w:color="B8C4D2" w:sz="4"/>
              <w:right w:val="single" w:color="B8C4D2" w:sz="4"/>
            </w:tcBorders>
            <w:shd w:fill="F3F5F8" w:color="auto" w:val="clear"/>
            <w:tcMar>
              <w:top w:type="dxa" w:w="80"/>
              <w:left w:type="dxa" w:w="140"/>
              <w:bottom w:type="dxa" w:w="80"/>
              <w:right w:type="dxa" w:w="140"/>
            </w:tcMar>
          </w:tcPr>
          <w:p>
            <w:pPr>
              <w:spacing w:after="20"/>
            </w:pPr>
            <w:r>
              <w:rPr>
                <w:rFonts w:ascii="Consolas" w:cs="Consolas" w:eastAsia="Consolas" w:hAnsi="Consolas"/>
                <w:sz w:val="15"/>
                <w:szCs w:val="15"/>
              </w:rPr>
              <w:t xml:space="preserve">## Tarefa: concorrentes diretos, indiretos e potenciais (incluindo quem tem distribuição)</w:t>
            </w:r>
          </w:p>
          <w:p>
            <w:pPr>
              <w:spacing w:after="20"/>
            </w:pPr>
            <w:r>
              <w:rPr>
                <w:rFonts w:ascii="Consolas" w:cs="Consolas" w:eastAsia="Consolas" w:hAnsi="Consolas"/>
                <w:sz w:val="15"/>
                <w:szCs w:val="15"/>
              </w:rPr>
              <w:t xml:space="preserve">Levante análogos REAIS no Brasil (e globais com presença no Brasil) para cada tipo de participante do Quadro 6, e acrescente tipos que o quadro não lista:</w:t>
            </w:r>
          </w:p>
          <w:p>
            <w:pPr>
              <w:spacing w:after="20"/>
            </w:pPr>
            <w:r>
              <w:rPr>
                <w:rFonts w:ascii="Consolas" w:cs="Consolas" w:eastAsia="Consolas" w:hAnsi="Consolas"/>
                <w:sz w:val="15"/>
                <w:szCs w:val="15"/>
              </w:rPr>
              <w:t xml:space="preserve">- sistemas hospitalares/prontuário eletrônico (EHR/HIS) com IA embutida ou anunciada (ex.: verificar Epic, Oracle Health/Cerner, Philips Tasy, MV, TOTVS Saúde e outros com presença no Brasil): base instalada no Brasil, recursos de IA preditiva, triagem ou priorização anunciados, com fonte e data;</w:t>
            </w:r>
          </w:p>
          <w:p>
            <w:pPr>
              <w:spacing w:after="20"/>
            </w:pPr>
            <w:r>
              <w:rPr>
                <w:rFonts w:ascii="Consolas" w:cs="Consolas" w:eastAsia="Consolas" w:hAnsi="Consolas"/>
                <w:sz w:val="15"/>
                <w:szCs w:val="15"/>
              </w:rPr>
              <w:t xml:space="preserve">- healthtechs brasileiras de IA clínica, triagem ou risco (confirme a existência e o produto de cada uma; não liste nomes sem fonte);</w:t>
            </w:r>
          </w:p>
          <w:p>
            <w:pPr>
              <w:spacing w:after="20"/>
            </w:pPr>
            <w:r>
              <w:rPr>
                <w:rFonts w:ascii="Consolas" w:cs="Consolas" w:eastAsia="Consolas" w:hAnsi="Consolas"/>
                <w:sz w:val="15"/>
                <w:szCs w:val="15"/>
              </w:rPr>
              <w:t xml:space="preserve">- BI e analytics hospitalar; consultorias e integradores que fazem IA sob medida em saúde;</w:t>
            </w:r>
          </w:p>
          <w:p>
            <w:pPr>
              <w:spacing w:after="20"/>
            </w:pPr>
            <w:r>
              <w:rPr>
                <w:rFonts w:ascii="Consolas" w:cs="Consolas" w:eastAsia="Consolas" w:hAnsi="Consolas"/>
                <w:sz w:val="15"/>
                <w:szCs w:val="15"/>
              </w:rPr>
              <w:t xml:space="preserve">- big techs e provedores de modelo com produtos de saúde (ex.: verificar ofertas de Microsoft, Google, Amazon, OpenAI, Anthropic voltadas à saúde, com data de lançamento);</w:t>
            </w:r>
          </w:p>
          <w:p>
            <w:pPr>
              <w:spacing w:after="20"/>
            </w:pPr>
            <w:r>
              <w:rPr>
                <w:rFonts w:ascii="Consolas" w:cs="Consolas" w:eastAsia="Consolas" w:hAnsi="Consolas"/>
                <w:sz w:val="15"/>
                <w:szCs w:val="15"/>
              </w:rPr>
              <w:t xml:space="preserve">- concorrentes nos outros dois segmentos da Lumis (seguradoras: classificação de sinistros; bancos: risco de crédito), pois 14 das 38 contas estão fora da saúde (Quadro 3).</w:t>
            </w:r>
          </w:p>
          <w:p>
            <w:pPr>
              <w:spacing w:after="20"/>
            </w:pPr>
            <w:r>
              <w:rPr>
                <w:rFonts w:ascii="Consolas" w:cs="Consolas" w:eastAsia="Consolas" w:hAnsi="Consolas"/>
                <w:sz w:val="15"/>
                <w:szCs w:val="15"/>
              </w:rPr>
              <w:t xml:space="preserve">Para cada um, classifique como DIRETO (mesmo problema, mesmo cliente), INDIRETO (resolve o problema de outro jeito) ou POTENCIAL (ainda não compete, mas tem distribuição nos mesmos clientes), e explique o mecanismo de ameaça. Destaque o padrão "distribuição vence qualidade isolada" (bundling no EHR) com evidência real, se existir.</w:t>
            </w:r>
          </w:p>
        </w:tc>
      </w:tr>
    </w:tbl>
    <w:p>
      <w:pPr>
        <w:spacing w:after="60"/>
      </w:pPr>
    </w:p>
    <w:p>
      <w:pPr>
        <w:spacing w:after="110" w:line="276"/>
        <w:jc w:val="both"/>
      </w:pPr>
      <w:r>
        <w:rPr>
          <w:rFonts w:ascii="Calibri" w:cs="Calibri" w:eastAsia="Calibri" w:hAnsi="Calibri"/>
          <w:b/>
          <w:bCs/>
          <w:sz w:val="20"/>
          <w:szCs w:val="20"/>
        </w:rPr>
        <w:t xml:space="preserve">Resultado obtido:</w:t>
      </w:r>
      <w:r>
        <w:rPr>
          <w:rFonts w:ascii="Calibri" w:cs="Calibri" w:eastAsia="Calibri" w:hAnsi="Calibri"/>
          <w:sz w:val="20"/>
          <w:szCs w:val="20"/>
        </w:rPr>
        <w:t xml:space="preserve"> 17 achados a partir de 25 buscas. O principal é o padrão de distribuição embutida no prontuário, com análogos brasileiros (MV com 894 hospitais e Tasy com 500 na América Latina, segundo o KLAS; Tasy na Rede D'Or). Também apareceram a entrada de OpenAI e Anthropic na saúde (jan/2026), healthtechs e integradores nacionais e concorrentes em seguros e crédito.</w:t>
      </w:r>
    </w:p>
    <w:p>
      <w:pPr>
        <w:spacing w:after="110" w:line="276"/>
        <w:jc w:val="both"/>
      </w:pPr>
      <w:r>
        <w:rPr>
          <w:rFonts w:ascii="Calibri" w:cs="Calibri" w:eastAsia="Calibri" w:hAnsi="Calibri"/>
          <w:b/>
          <w:bCs/>
          <w:sz w:val="20"/>
          <w:szCs w:val="20"/>
        </w:rPr>
        <w:t xml:space="preserve">Verificação:</w:t>
      </w:r>
      <w:r>
        <w:rPr>
          <w:rFonts w:ascii="Calibri" w:cs="Calibri" w:eastAsia="Calibri" w:hAnsi="Calibri"/>
          <w:sz w:val="20"/>
          <w:szCs w:val="20"/>
        </w:rPr>
        <w:t xml:space="preserve"> 6 achados confirmados, 10 corrigidos e 1 descartado (um resultado de caso clínico atribuído à empresa errada). Uma crítica de completude apontou a ausência dos grandes compradores que desenvolvem IA própria, e uma pesquisa complementar trouxe Einstein, Itaú, Bradesco e Porto. Antes de entrarem no texto, as fontes 2 a 7 das referências foram reabertas em 05/10/2026, e os números citados foram confirmados.</w:t>
      </w:r>
    </w:p>
    <w:p>
      <w:pPr>
        <w:pStyle w:val="Heading2"/>
        <w:keepNext/>
        <w:spacing w:after="80" w:before="180"/>
      </w:pPr>
      <w:r>
        <w:rPr>
          <w:rFonts w:ascii="Calibri" w:cs="Calibri" w:eastAsia="Calibri" w:hAnsi="Calibri"/>
          <w:b/>
          <w:bCs/>
          <w:color w:val="1F3A5F"/>
          <w:sz w:val="21"/>
          <w:szCs w:val="21"/>
        </w:rPr>
        <w:t xml:space="preserve">Prompt 2: Dependências críticas de fornecedores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C4D2" w:sz="4"/>
              <w:left w:val="single" w:color="B8C4D2" w:sz="4"/>
              <w:bottom w:val="single" w:color="B8C4D2" w:sz="4"/>
              <w:right w:val="single" w:color="B8C4D2" w:sz="4"/>
            </w:tcBorders>
            <w:shd w:fill="F3F5F8" w:color="auto" w:val="clear"/>
            <w:tcMar>
              <w:top w:type="dxa" w:w="80"/>
              <w:left w:type="dxa" w:w="140"/>
              <w:bottom w:type="dxa" w:w="80"/>
              <w:right w:type="dxa" w:w="140"/>
            </w:tcMar>
          </w:tcPr>
          <w:p>
            <w:pPr>
              <w:spacing w:after="20"/>
            </w:pPr>
            <w:r>
              <w:rPr>
                <w:rFonts w:ascii="Consolas" w:cs="Consolas" w:eastAsia="Consolas" w:hAnsi="Consolas"/>
                <w:sz w:val="15"/>
                <w:szCs w:val="15"/>
              </w:rPr>
              <w:t xml:space="preserve">## Tarefa: dependências críticas e o que acontece se cada fornecedor mudar preço, termos ou escopo</w:t>
            </w:r>
          </w:p>
          <w:p>
            <w:pPr>
              <w:spacing w:after="20"/>
            </w:pPr>
            <w:r>
              <w:rPr>
                <w:rFonts w:ascii="Consolas" w:cs="Consolas" w:eastAsia="Consolas" w:hAnsi="Consolas"/>
                <w:sz w:val="15"/>
                <w:szCs w:val="15"/>
              </w:rPr>
              <w:t xml:space="preserve">Os quatro fornecedores estruturais estão no Quadro 5 (modelo fundacional único, nuvem global, consórcio de bases clínicas, 38 contratos de dados de clientes). Para cada um, levante PRECEDENTES REAIS que mostram que o risco é concreto:</w:t>
            </w:r>
          </w:p>
          <w:p>
            <w:pPr>
              <w:spacing w:after="20"/>
            </w:pPr>
            <w:r>
              <w:rPr>
                <w:rFonts w:ascii="Consolas" w:cs="Consolas" w:eastAsia="Consolas" w:hAnsi="Consolas"/>
                <w:sz w:val="15"/>
                <w:szCs w:val="15"/>
              </w:rPr>
              <w:t xml:space="preserve">- modelos fundacionais: casos documentados de mudança de preço, descontinuação/depreciação de modelos com prazo curto, mudanças de termos de uso ou de política de dados, e provedores lançando produto próprio para saúde (data e fonte);</w:t>
            </w:r>
          </w:p>
          <w:p>
            <w:pPr>
              <w:spacing w:after="20"/>
            </w:pPr>
            <w:r>
              <w:rPr>
                <w:rFonts w:ascii="Consolas" w:cs="Consolas" w:eastAsia="Consolas" w:hAnsi="Consolas"/>
                <w:sz w:val="15"/>
                <w:szCs w:val="15"/>
              </w:rPr>
              <w:t xml:space="preserve">- nuvem: custos e prazos típicos de migração, taxas de saída de dados (egress) e mudanças regulatórias recentes sobre elas (ex.: EU Data Act), lock-in, regiões de dados no Brasil;</w:t>
            </w:r>
          </w:p>
          <w:p>
            <w:pPr>
              <w:spacing w:after="20"/>
            </w:pPr>
            <w:r>
              <w:rPr>
                <w:rFonts w:ascii="Consolas" w:cs="Consolas" w:eastAsia="Consolas" w:hAnsi="Consolas"/>
                <w:sz w:val="15"/>
                <w:szCs w:val="15"/>
              </w:rPr>
              <w:t xml:space="preserve">- bases clínicas de referência licenciadas: como funcionam o licenciamento e os reajustes no setor (se não achar fonte, diga);</w:t>
            </w:r>
          </w:p>
          <w:p>
            <w:pPr>
              <w:spacing w:after="20"/>
            </w:pPr>
            <w:r>
              <w:rPr>
                <w:rFonts w:ascii="Consolas" w:cs="Consolas" w:eastAsia="Consolas" w:hAnsi="Consolas"/>
                <w:sz w:val="15"/>
                <w:szCs w:val="15"/>
              </w:rPr>
              <w:t xml:space="preserve">- dados de clientes: o que a LGPD (dado de saúde é sensível, art. 11) e a ANPD dizem sobre reutilizar dados de clientes para treinar modelos; precedentes de disputa contratual ou regulatória sobre uso de dados de saúde para IA;</w:t>
            </w:r>
          </w:p>
          <w:p>
            <w:pPr>
              <w:spacing w:after="20"/>
            </w:pPr>
            <w:r>
              <w:rPr>
                <w:rFonts w:ascii="Consolas" w:cs="Consolas" w:eastAsia="Consolas" w:hAnsi="Consolas"/>
                <w:sz w:val="15"/>
                <w:szCs w:val="15"/>
              </w:rPr>
              <w:t xml:space="preserve">- câmbio: volatilidade do real frente ao dólar nos últimos 3–5 anos (máximas e mínimas, com fonte, ex.: Banco Central), já que 72,2% do custo é em dólar.</w:t>
            </w:r>
          </w:p>
          <w:p>
            <w:pPr>
              <w:spacing w:after="20"/>
            </w:pPr>
            <w:r>
              <w:rPr>
                <w:rFonts w:ascii="Consolas" w:cs="Consolas" w:eastAsia="Consolas" w:hAnsi="Consolas"/>
                <w:sz w:val="15"/>
                <w:szCs w:val="15"/>
              </w:rPr>
              <w:t xml:space="preserve">Para cada fornecedor, descreva qualitativamente o impacto no negócio da Lumis se ele (i) subir preço, (ii) mudar termos, (iii) mudar escopo ou virar concorrente. A quantificação fica a cargo de outra frente; aqui foque em evidência de que o evento é plausível.</w:t>
            </w:r>
          </w:p>
        </w:tc>
      </w:tr>
    </w:tbl>
    <w:p>
      <w:pPr>
        <w:spacing w:after="60"/>
      </w:pPr>
    </w:p>
    <w:p>
      <w:pPr>
        <w:spacing w:after="110" w:line="276"/>
        <w:jc w:val="both"/>
      </w:pPr>
      <w:r>
        <w:rPr>
          <w:rFonts w:ascii="Calibri" w:cs="Calibri" w:eastAsia="Calibri" w:hAnsi="Calibri"/>
          <w:b/>
          <w:bCs/>
          <w:sz w:val="20"/>
          <w:szCs w:val="20"/>
        </w:rPr>
        <w:t xml:space="preserve">Resultado obtido:</w:t>
      </w:r>
      <w:r>
        <w:rPr>
          <w:rFonts w:ascii="Calibri" w:cs="Calibri" w:eastAsia="Calibri" w:hAnsi="Calibri"/>
          <w:sz w:val="20"/>
          <w:szCs w:val="20"/>
        </w:rPr>
        <w:t xml:space="preserve"> 20 achados a partir de 22 buscas. Os principais precedentes reais: descontinuação de modelos com aviso curto, o aumento de 4 vezes no preço do Haiku em 2024, a concentração da nuvem e os custos de saída, os limites da LGPD para dado de saúde (art. 11) e a volatilidade do câmbio, com PTAX entre R$ 4,62 e R$ 6,21 em cinco anos (Banco Central).</w:t>
      </w:r>
    </w:p>
    <w:p>
      <w:pPr>
        <w:spacing w:after="110" w:line="276"/>
        <w:jc w:val="both"/>
      </w:pPr>
      <w:r>
        <w:rPr>
          <w:rFonts w:ascii="Calibri" w:cs="Calibri" w:eastAsia="Calibri" w:hAnsi="Calibri"/>
          <w:b/>
          <w:bCs/>
          <w:sz w:val="20"/>
          <w:szCs w:val="20"/>
        </w:rPr>
        <w:t xml:space="preserve">Verificação:</w:t>
      </w:r>
      <w:r>
        <w:rPr>
          <w:rFonts w:ascii="Calibri" w:cs="Calibri" w:eastAsia="Calibri" w:hAnsi="Calibri"/>
          <w:sz w:val="20"/>
          <w:szCs w:val="20"/>
        </w:rPr>
        <w:t xml:space="preserve"> 15 achados confirmados e 5 corrigidos. Uma pesquisa complementar sobre o poder de negociação com o fornecedor de modelo (alternativas e custo de troca) mudou a ordem de criticidade: os dados de clientes passaram à frente do modelo. Os cálculos de sensibilidade (margem, câmbio, runway) foram refeitos a partir do Quadro 4, e a fonte do aumento de preço do Haiku foi reaberta.</w:t>
      </w:r>
    </w:p>
    <w:p>
      <w:pPr>
        <w:pStyle w:val="Heading2"/>
        <w:keepNext/>
        <w:spacing w:after="80" w:before="180"/>
      </w:pPr>
      <w:r>
        <w:rPr>
          <w:rFonts w:ascii="Calibri" w:cs="Calibri" w:eastAsia="Calibri" w:hAnsi="Calibri"/>
          <w:b/>
          <w:bCs/>
          <w:color w:val="1F3A5F"/>
          <w:sz w:val="21"/>
          <w:szCs w:val="21"/>
        </w:rPr>
        <w:t xml:space="preserve">Prompt 3: Verificação adversarial (usado em todas as frentes)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C4D2" w:sz="4"/>
              <w:left w:val="single" w:color="B8C4D2" w:sz="4"/>
              <w:bottom w:val="single" w:color="B8C4D2" w:sz="4"/>
              <w:right w:val="single" w:color="B8C4D2" w:sz="4"/>
            </w:tcBorders>
            <w:shd w:fill="F3F5F8" w:color="auto" w:val="clear"/>
            <w:tcMar>
              <w:top w:type="dxa" w:w="80"/>
              <w:left w:type="dxa" w:w="140"/>
              <w:bottom w:type="dxa" w:w="80"/>
              <w:right w:type="dxa" w:w="140"/>
            </w:tcMar>
          </w:tcPr>
          <w:p>
            <w:pPr>
              <w:spacing w:after="20"/>
            </w:pPr>
            <w:r>
              <w:rPr>
                <w:rFonts w:ascii="Consolas" w:cs="Consolas" w:eastAsia="Consolas" w:hAnsi="Consolas"/>
                <w:sz w:val="15"/>
                <w:szCs w:val="15"/>
              </w:rPr>
              <w:t xml:space="preserve">Você é verificador independente e cético de uma due diligence. Sua função é REFUTAR, não confirmar. Na dúvida, marque "nao_confirmado".</w:t>
            </w:r>
          </w:p>
          <w:p>
            <w:pPr>
              <w:spacing w:after="20"/>
            </w:pPr>
            <w:r>
              <w:rPr>
                <w:rFonts w:ascii="Consolas" w:cs="Consolas" w:eastAsia="Consolas" w:hAnsi="Consolas"/>
                <w:sz w:val="15"/>
                <w:szCs w:val="15"/>
              </w:rPr>
              <w:t xml:space="preserve">[bloco de contexto comum]</w:t>
            </w:r>
          </w:p>
          <w:p>
            <w:pPr>
              <w:spacing w:after="20"/>
            </w:pPr>
            <w:r>
              <w:rPr>
                <w:rFonts w:ascii="Consolas" w:cs="Consolas" w:eastAsia="Consolas" w:hAnsi="Consolas"/>
                <w:sz w:val="15"/>
                <w:szCs w:val="15"/>
              </w:rPr>
              <w:t xml:space="preserve">## Achados a verificar: &lt;lista de achados da frente&gt;</w:t>
            </w:r>
          </w:p>
          <w:p>
            <w:pPr>
              <w:spacing w:after="20"/>
            </w:pPr>
            <w:r>
              <w:rPr>
                <w:rFonts w:ascii="Consolas" w:cs="Consolas" w:eastAsia="Consolas" w:hAnsi="Consolas"/>
                <w:sz w:val="15"/>
                <w:szCs w:val="15"/>
              </w:rPr>
              <w:t xml:space="preserve">## Como verificar</w:t>
            </w:r>
          </w:p>
          <w:p>
            <w:pPr>
              <w:spacing w:after="20"/>
            </w:pPr>
            <w:r>
              <w:rPr>
                <w:rFonts w:ascii="Consolas" w:cs="Consolas" w:eastAsia="Consolas" w:hAnsi="Consolas"/>
                <w:sz w:val="15"/>
                <w:szCs w:val="15"/>
              </w:rPr>
              <w:t xml:space="preserve">- fato_externo: abra a URL e confirme se a fonte diz exatamente o que a afirmação diz (número, data, autoria). Se a URL falhar, procure a mesma informação em outra fonte primária. Afirmação mais forte que a fonte = "parcial", com correção.</w:t>
            </w:r>
          </w:p>
          <w:p>
            <w:pPr>
              <w:spacing w:after="20"/>
            </w:pPr>
            <w:r>
              <w:rPr>
                <w:rFonts w:ascii="Consolas" w:cs="Consolas" w:eastAsia="Consolas" w:hAnsi="Consolas"/>
                <w:sz w:val="15"/>
                <w:szCs w:val="15"/>
              </w:rPr>
              <w:t xml:space="preserve">- dado_anexo: confira contra os quadros, palavra por palavra.</w:t>
            </w:r>
          </w:p>
          <w:p>
            <w:pPr>
              <w:spacing w:after="20"/>
            </w:pPr>
            <w:r>
              <w:rPr>
                <w:rFonts w:ascii="Consolas" w:cs="Consolas" w:eastAsia="Consolas" w:hAnsi="Consolas"/>
                <w:sz w:val="15"/>
                <w:szCs w:val="15"/>
              </w:rPr>
              <w:t xml:space="preserve">- calculo: refaça a conta. Qualquer divergência = "refutado", com o valor correto.</w:t>
            </w:r>
          </w:p>
          <w:p>
            <w:pPr>
              <w:spacing w:after="20"/>
            </w:pPr>
            <w:r>
              <w:rPr>
                <w:rFonts w:ascii="Consolas" w:cs="Consolas" w:eastAsia="Consolas" w:hAnsi="Consolas"/>
                <w:sz w:val="15"/>
                <w:szCs w:val="15"/>
              </w:rPr>
              <w:t xml:space="preserve">- hipotese: avalie se está marcada como hipótese e se é razoável.</w:t>
            </w:r>
          </w:p>
          <w:p>
            <w:pPr>
              <w:spacing w:after="20"/>
            </w:pPr>
            <w:r>
              <w:rPr>
                <w:rFonts w:ascii="Consolas" w:cs="Consolas" w:eastAsia="Consolas" w:hAnsi="Consolas"/>
                <w:sz w:val="15"/>
                <w:szCs w:val="15"/>
              </w:rPr>
              <w:t xml:space="preserve">Verifique TODOS os IDs.</w:t>
            </w:r>
          </w:p>
        </w:tc>
      </w:tr>
    </w:tbl>
    <w:p>
      <w:pPr>
        <w:spacing w:after="60"/>
      </w:pPr>
    </w:p>
    <w:p>
      <w:pPr>
        <w:spacing w:after="110" w:line="276"/>
        <w:jc w:val="both"/>
      </w:pPr>
      <w:r>
        <w:rPr>
          <w:rFonts w:ascii="Calibri" w:cs="Calibri" w:eastAsia="Calibri" w:hAnsi="Calibri"/>
          <w:b/>
          <w:bCs/>
          <w:sz w:val="20"/>
          <w:szCs w:val="20"/>
        </w:rPr>
        <w:t xml:space="preserve">O que a verificação mudou:</w:t>
      </w:r>
      <w:r>
        <w:rPr>
          <w:rFonts w:ascii="Calibri" w:cs="Calibri" w:eastAsia="Calibri" w:hAnsi="Calibri"/>
          <w:sz w:val="20"/>
          <w:szCs w:val="20"/>
        </w:rPr>
        <w:t xml:space="preserve"> corrigiu, entre outros, uma data de lançamento antecipada de forma indevida (um produto previsto para 2027), uma comparação "quase 10 vezes" que na verdade era 8,3 vezes, um percentual de mercado aplicado ao total quando valia só para IA generativa e uma data de fim de caixa calculada errado. </w:t>
      </w:r>
      <w:r>
        <w:rPr>
          <w:rFonts w:ascii="Calibri" w:cs="Calibri" w:eastAsia="Calibri" w:hAnsi="Calibri"/>
          <w:b/>
          <w:bCs/>
          <w:sz w:val="20"/>
          <w:szCs w:val="20"/>
        </w:rPr>
        <w:t xml:space="preserve">Lição:</w:t>
      </w:r>
      <w:r>
        <w:rPr>
          <w:rFonts w:ascii="Calibri" w:cs="Calibri" w:eastAsia="Calibri" w:hAnsi="Calibri"/>
          <w:sz w:val="20"/>
          <w:szCs w:val="20"/>
        </w:rPr>
        <w:t xml:space="preserve"> sem a verificação, quatro erros factuais teriam entrado no texto.</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A8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A8C"/>
        <w:sz w:val="16"/>
        <w:szCs w:val="16"/>
      </w:rPr>
      <w:t xml:space="preserve">Lumis Intelligence · Fase 2 | Entrega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Fase 2 – Entrega 1 – Mapa do Território (v2)</dc:title>
  <dc:creator>Equipe Lumis</dc:creator>
  <cp:lastModifiedBy>Un-named</cp:lastModifiedBy>
  <cp:revision>1</cp:revision>
  <dcterms:created xsi:type="dcterms:W3CDTF">2026-10-05T16:22:43.119Z</dcterms:created>
  <dcterms:modified xsi:type="dcterms:W3CDTF">2026-10-05T16:22:43.120Z</dcterms:modified>
</cp:coreProperties>
</file>

<file path=docProps/custom.xml><?xml version="1.0" encoding="utf-8"?>
<Properties xmlns="http://schemas.openxmlformats.org/officeDocument/2006/custom-properties" xmlns:vt="http://schemas.openxmlformats.org/officeDocument/2006/docPropsVTypes"/>
</file>