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Linha de Responsabilidade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Quem autoriza, quem monitora e quem pode desligar cada decisão do Lumis Insight</w:t>
      </w:r>
      <w:r>
        <w:rPr>
          <w:lang w:val="pt-BR"/>
        </w:rPr>
      </w:r>
    </w:p>
    <w:p>
      <w:pPr>
        <w:pStyle w:val="LumisDestaque"/>
      </w:pPr>
      <w:r>
        <w:t>Os registros da Lumis não mostram, para nenhuma decisão do Lumis Insight, um cargo que autorizou o uso, um que acompanha o erro e um que pode desligar o sistema em prazo conhecido. A única porta com dono é a liberação de novas versões, e, pela nossa leitura, os incidentes dos últimos dois anos entraram por outras portas.</w:t>
      </w:r>
    </w:p>
    <w:p>
      <w:pPr/>
      <w:r>
        <w:t xml:space="preserve">O sistema toma cerca de um milhão de decisões por mês. A maior parte delas, a priorização da fila de atendimento, foi autorizada por uma diretoria comercial do cliente, sem aprovação interna formal. A Lumis não tem comitê de ética nem de risco, metade dos incidentes foi descoberta pelo cliente e só cerca de uma em cada quatro pessoas da empresa sabe a quem levar um problema ético do produto </w:t>
      </w:r>
      <w:r>
        <w:rPr>
          <w:rStyle w:val="TagFonte"/>
        </w:rPr>
        <w:t>[fonte: Cap. 2, Quadros 12, 14 e 15]</w:t>
      </w:r>
      <w:r>
        <w:t>. Esta entrega dá um cargo a cada etapa: autorizar, acompanhar, suspender e religar.</w:t>
      </w:r>
    </w:p>
    <w:p>
      <w:pPr>
        <w:pStyle w:val="Ttulo1"/>
      </w:pPr>
      <w:r>
        <w:t>1. As decisões que o sistema toma hoje</w:t>
      </w:r>
    </w:p>
    <w:p>
      <w:pPr/>
      <w:r>
        <w:t>Classificamos como de alto impacto toda decisão que afeta a saúde ou o acesso a um serviço essencial. Volume alto e revisão já existente não rebaixam o nível; só mudam o controle necessário. Decisão sem erro medido por grupo fica como alta até ser medida.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494"/>
        <w:gridCol w:w="907"/>
        <w:gridCol w:w="1814"/>
        <w:gridCol w:w="2721"/>
        <w:gridCol w:w="907"/>
      </w:tblGrid>
      <w:tr>
        <w:trPr>
          <w:tblHeader w:val="true"/>
          <w:cantSplit/>
        </w:trPr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90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mês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Revisão humana hoje</w:t>
            </w:r>
          </w:p>
        </w:tc>
        <w:tc>
          <w:tcPr>
            <w:tcW w:type="dxa" w:w="272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autorizou o uso</w:t>
            </w:r>
          </w:p>
        </w:tc>
        <w:tc>
          <w:tcPr>
            <w:tcW w:type="dxa" w:w="90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Impacto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  <w:keepNext/>
            </w:pPr>
            <w:r>
              <w:t>Priorização da fila de atendimento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t>640 mil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Amostra de 2%</w:t>
            </w:r>
          </w:p>
        </w:tc>
        <w:tc>
          <w:tcPr>
            <w:tcW w:type="dxa" w:w="2721"/>
          </w:tcPr>
          <w:p>
            <w:pPr>
              <w:pStyle w:val="LumisTabela"/>
              <w:keepNext/>
            </w:pPr>
            <w:r>
              <w:t>Diretoria comercial do cliente, sem aprovação interna formal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rPr>
                <w:b/>
              </w:rPr>
              <w:t>Alto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Sugestão de protocolo clínico</w:t>
            </w:r>
          </w:p>
        </w:tc>
        <w:tc>
          <w:tcPr>
            <w:tcW w:type="dxa" w:w="907"/>
            <w:shd w:val="clear" w:color="auto" w:fill="F1F6F4"/>
          </w:tcPr>
          <w:p>
            <w:pPr>
              <w:pStyle w:val="LumisTabela"/>
              <w:keepNext/>
            </w:pPr>
            <w:r>
              <w:t>210 mil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Sempre, pelo médico</w:t>
            </w:r>
          </w:p>
        </w:tc>
        <w:tc>
          <w:tcPr>
            <w:tcW w:type="dxa" w:w="2721"/>
            <w:shd w:val="clear" w:color="auto" w:fill="F1F6F4"/>
          </w:tcPr>
          <w:p>
            <w:pPr>
              <w:pStyle w:val="LumisTabela"/>
              <w:keepNext/>
            </w:pPr>
            <w:r>
              <w:t>Comitê clínico do hospital</w:t>
            </w:r>
          </w:p>
        </w:tc>
        <w:tc>
          <w:tcPr>
            <w:tcW w:type="dxa" w:w="907"/>
            <w:shd w:val="clear" w:color="auto" w:fill="F1F6F4"/>
          </w:tcPr>
          <w:p>
            <w:pPr>
              <w:pStyle w:val="LumisTabela"/>
              <w:keepNext/>
            </w:pPr>
            <w:r>
              <w:rPr>
                <w:b/>
              </w:rPr>
              <w:t>Alto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  <w:keepNext/>
            </w:pPr>
            <w:r>
              <w:t>Classificação de risco de sinistro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t>74 mil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Só acima de R$ 50 mil</w:t>
            </w:r>
          </w:p>
        </w:tc>
        <w:tc>
          <w:tcPr>
            <w:tcW w:type="dxa" w:w="2721"/>
          </w:tcPr>
          <w:p>
            <w:pPr>
              <w:pStyle w:val="LumisTabela"/>
              <w:keepNext/>
            </w:pPr>
            <w:r>
              <w:t>Diretoria da seguradora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rPr>
                <w:b/>
              </w:rPr>
              <w:t>Alto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Sinalização de risco de crédito</w:t>
            </w:r>
          </w:p>
        </w:tc>
        <w:tc>
          <w:tcPr>
            <w:tcW w:type="dxa" w:w="907"/>
            <w:shd w:val="clear" w:color="auto" w:fill="F1F6F4"/>
          </w:tcPr>
          <w:p>
            <w:pPr>
              <w:pStyle w:val="LumisTabela"/>
              <w:keepNext/>
            </w:pPr>
            <w:r>
              <w:t>31 mil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Sempre</w:t>
            </w:r>
          </w:p>
        </w:tc>
        <w:tc>
          <w:tcPr>
            <w:tcW w:type="dxa" w:w="2721"/>
            <w:shd w:val="clear" w:color="auto" w:fill="F1F6F4"/>
          </w:tcPr>
          <w:p>
            <w:pPr>
              <w:pStyle w:val="LumisTabela"/>
              <w:keepNext/>
            </w:pPr>
            <w:r>
              <w:t>Comitê de crédito do banco</w:t>
            </w:r>
          </w:p>
        </w:tc>
        <w:tc>
          <w:tcPr>
            <w:tcW w:type="dxa" w:w="907"/>
            <w:shd w:val="clear" w:color="auto" w:fill="F1F6F4"/>
          </w:tcPr>
          <w:p>
            <w:pPr>
              <w:pStyle w:val="LumisTabela"/>
              <w:keepNext/>
            </w:pPr>
            <w:r>
              <w:rPr>
                <w:b/>
              </w:rPr>
              <w:t>Alto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  <w:keepNext/>
            </w:pPr>
            <w:r>
              <w:t>Roteamento de mensagens de suporte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t>95 mil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Nenhuma</w:t>
            </w:r>
          </w:p>
        </w:tc>
        <w:tc>
          <w:tcPr>
            <w:tcW w:type="dxa" w:w="2721"/>
          </w:tcPr>
          <w:p>
            <w:pPr>
              <w:pStyle w:val="LumisTabela"/>
              <w:keepNext/>
            </w:pPr>
            <w:r>
              <w:t>Operação da Lumis</w:t>
            </w:r>
          </w:p>
        </w:tc>
        <w:tc>
          <w:tcPr>
            <w:tcW w:type="dxa" w:w="907"/>
          </w:tcPr>
          <w:p>
            <w:pPr>
              <w:pStyle w:val="LumisTabela"/>
              <w:keepNext/>
            </w:pPr>
            <w:r>
              <w:t>Baixo</w:t>
            </w:r>
          </w:p>
        </w:tc>
      </w:tr>
    </w:tbl>
    <w:p>
      <w:pPr>
        <w:pStyle w:val="Legenda"/>
      </w:pPr>
      <w:r>
        <w:t>Tabela 1. Decisões delegadas ao sistema. Fonte: Cap. 2, Quadro 12. A coluna Impacto é classificação da equipe.</w:t>
      </w:r>
    </w:p>
    <w:p>
      <w:pPr>
        <w:pStyle w:val="Commarcadores"/>
      </w:pPr>
      <w:r>
        <w:rPr>
          <w:b/>
        </w:rPr>
        <w:t>O controle segue o costume de cada cliente.</w:t>
      </w:r>
      <w:r>
        <w:t xml:space="preserve"> O crédito, com 31 mil decisões, tem revisão em todos os casos. A priorização, com 640 mil e viés já medido, tem revisão em 2%. O impacto sobre as pessoas não entra na conta.</w:t>
      </w:r>
    </w:p>
    <w:p>
      <w:pPr>
        <w:pStyle w:val="Commarcadores"/>
      </w:pPr>
      <w:r>
        <w:rPr>
          <w:b/>
        </w:rPr>
        <w:t>Nenhuma autorização termina em um cargo.</w:t>
      </w:r>
      <w:r>
        <w:t xml:space="preserve"> Quatro foram dadas por órgãos do cliente e uma por uma área da Lumis. Na priorização, o quadro registra que não houve aprovação interna formal; no protocolo, no sinistro e no crédito, ela </w:t>
      </w:r>
      <w:r>
        <w:rPr>
          <w:rStyle w:val="TagNoconsta"/>
        </w:rPr>
        <w:t>[não consta]</w:t>
      </w:r>
      <w:r>
        <w:t>.</w:t>
      </w:r>
    </w:p>
    <w:p>
      <w:pPr>
        <w:pStyle w:val="Commarcadores"/>
      </w:pPr>
      <w:r>
        <w:rPr>
          <w:b/>
        </w:rPr>
        <w:t>Sinistro e roteamento.</w:t>
      </w:r>
      <w:r>
        <w:t xml:space="preserve"> No sinistro, o erro por grupo não é acompanhado, e o corte de R$ 50 mil olha o valor do sinistro, não o efeito sobre o segurado </w:t>
      </w:r>
      <w:r>
        <w:rPr>
          <w:rStyle w:val="TagHiptese"/>
        </w:rPr>
        <w:t>[hipótese]</w:t>
      </w:r>
      <w:r>
        <w:t>. O roteamento sobe de nível se o canal receber contestação de decisão do sistema.</w:t>
      </w:r>
    </w:p>
    <w:p>
      <w:pPr>
        <w:pStyle w:val="Ttulo1"/>
      </w:pPr>
      <w:r>
        <w:t>2. Quem responde hoje e o que os incidentes mostram</w:t>
      </w:r>
    </w:p>
    <w:p>
      <w:pPr/>
      <w:r>
        <w:t xml:space="preserve">A estrutura atual tem sete papéis com dono, mas só um deles controla o que entra em produção: a decisão de liberar uma nova versão do modelo é exclusiva do CTO </w:t>
      </w:r>
      <w:r>
        <w:rPr>
          <w:rStyle w:val="TagFonte"/>
        </w:rPr>
        <w:t>[fonte: Cap. 2, Quadros 12 e 13]</w:t>
      </w:r>
      <w:r>
        <w:t xml:space="preserve">. Nenhum registro diz quem pode suspender o sistema nem em quanto tempo </w:t>
      </w:r>
      <w:r>
        <w:rPr>
          <w:rStyle w:val="TagNoconsta"/>
        </w:rPr>
        <w:t>[não consta]</w:t>
      </w:r>
      <w:r>
        <w:t xml:space="preserve">. Na Fase 1, esse poder ficou com a liderança em conjunto, sem prazo </w:t>
      </w:r>
      <w:r>
        <w:rPr>
          <w:rStyle w:val="TagFonte"/>
        </w:rPr>
        <w:t>[fonte: F1-E2]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963"/>
        <w:gridCol w:w="3061"/>
        <w:gridCol w:w="1587"/>
        <w:gridCol w:w="1360"/>
        <w:gridCol w:w="1871"/>
      </w:tblGrid>
      <w:tr>
        <w:trPr>
          <w:tblHeader w:val="true"/>
          <w:cantSplit/>
        </w:trPr>
        <w:tc>
          <w:tcPr>
            <w:tcW w:type="dxa" w:w="96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Quando</w:t>
            </w:r>
          </w:p>
        </w:tc>
        <w:tc>
          <w:tcPr>
            <w:tcW w:type="dxa" w:w="30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aconteceu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percebeu</w:t>
            </w:r>
          </w:p>
        </w:tc>
        <w:tc>
          <w:tcPr>
            <w:tcW w:type="dxa" w:w="136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Correção</w:t>
            </w:r>
          </w:p>
        </w:tc>
        <w:tc>
          <w:tcPr>
            <w:tcW w:type="dxa" w:w="187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Por onde entrou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LumisTabela"/>
              <w:keepNext/>
            </w:pPr>
            <w:r>
              <w:t>03/2025</w:t>
            </w:r>
          </w:p>
        </w:tc>
        <w:tc>
          <w:tcPr>
            <w:tcW w:type="dxa" w:w="3061"/>
          </w:tcPr>
          <w:p>
            <w:pPr>
              <w:pStyle w:val="LumisTabela"/>
              <w:keepNext/>
            </w:pPr>
            <w:r>
              <w:t>Exames de um laboratório novo passaram a ser descartados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Cliente</w:t>
            </w:r>
          </w:p>
        </w:tc>
        <w:tc>
          <w:tcPr>
            <w:tcW w:type="dxa" w:w="1361"/>
          </w:tcPr>
          <w:p>
            <w:pPr>
              <w:pStyle w:val="LumisTabela"/>
              <w:keepNext/>
            </w:pPr>
            <w:r>
              <w:t>22 dias</w:t>
            </w:r>
          </w:p>
        </w:tc>
        <w:tc>
          <w:tcPr>
            <w:tcW w:type="dxa" w:w="1871"/>
          </w:tcPr>
          <w:p>
            <w:pPr>
              <w:pStyle w:val="LumisTabela"/>
              <w:keepNext/>
            </w:pPr>
            <w:r>
              <w:t>Dados de entrada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1F6F4"/>
          </w:tcPr>
          <w:p>
            <w:pPr>
              <w:pStyle w:val="LumisTabela"/>
              <w:keepNext/>
            </w:pPr>
            <w:r>
              <w:t>09/2025</w:t>
            </w:r>
          </w:p>
        </w:tc>
        <w:tc>
          <w:tcPr>
            <w:tcW w:type="dxa" w:w="3061"/>
            <w:shd w:val="clear" w:color="auto" w:fill="F1F6F4"/>
          </w:tcPr>
          <w:p>
            <w:pPr>
              <w:pStyle w:val="LumisTabela"/>
              <w:keepNext/>
            </w:pPr>
            <w:r>
              <w:t>Queda de desempenho após atualização do fornecedor do modelo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Equipe interna</w:t>
            </w:r>
          </w:p>
        </w:tc>
        <w:tc>
          <w:tcPr>
            <w:tcW w:type="dxa" w:w="1361"/>
            <w:shd w:val="clear" w:color="auto" w:fill="F1F6F4"/>
          </w:tcPr>
          <w:p>
            <w:pPr>
              <w:pStyle w:val="LumisTabela"/>
              <w:keepNext/>
            </w:pPr>
            <w:r>
              <w:t>6 dias</w:t>
            </w:r>
          </w:p>
        </w:tc>
        <w:tc>
          <w:tcPr>
            <w:tcW w:type="dxa" w:w="1871"/>
            <w:shd w:val="clear" w:color="auto" w:fill="F1F6F4"/>
          </w:tcPr>
          <w:p>
            <w:pPr>
              <w:pStyle w:val="LumisTabela"/>
              <w:keepNext/>
            </w:pPr>
            <w:r>
              <w:t>Fornecedor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LumisTabela"/>
              <w:keepNext/>
            </w:pPr>
            <w:r>
              <w:t>01/2026</w:t>
            </w:r>
          </w:p>
        </w:tc>
        <w:tc>
          <w:tcPr>
            <w:tcW w:type="dxa" w:w="3061"/>
          </w:tcPr>
          <w:p>
            <w:pPr>
              <w:pStyle w:val="LumisTabela"/>
              <w:keepNext/>
            </w:pPr>
            <w:r>
              <w:t>Registros duplicados inflaram as "vidas analisadas"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Auditoria interna</w:t>
            </w:r>
          </w:p>
        </w:tc>
        <w:tc>
          <w:tcPr>
            <w:tcW w:type="dxa" w:w="1361"/>
          </w:tcPr>
          <w:p>
            <w:pPr>
              <w:pStyle w:val="LumisTabela"/>
              <w:keepNext/>
            </w:pPr>
            <w:r>
              <w:t>Só no sistema</w:t>
            </w:r>
          </w:p>
        </w:tc>
        <w:tc>
          <w:tcPr>
            <w:tcW w:type="dxa" w:w="1871"/>
          </w:tcPr>
          <w:p>
            <w:pPr>
              <w:pStyle w:val="LumisTabela"/>
              <w:keepNext/>
            </w:pPr>
            <w:r>
              <w:t>Material comercial</w:t>
            </w:r>
          </w:p>
        </w:tc>
      </w:tr>
      <w:tr>
        <w:trPr>
          <w:cantSplit/>
        </w:trPr>
        <w:tc>
          <w:tcPr>
            <w:tcW w:type="dxa" w:w="964"/>
            <w:shd w:val="clear" w:color="auto" w:fill="F1F6F4"/>
          </w:tcPr>
          <w:p>
            <w:pPr>
              <w:pStyle w:val="LumisTabela"/>
              <w:keepNext/>
            </w:pPr>
            <w:r>
              <w:t>07/2026</w:t>
            </w:r>
          </w:p>
        </w:tc>
        <w:tc>
          <w:tcPr>
            <w:tcW w:type="dxa" w:w="3061"/>
            <w:shd w:val="clear" w:color="auto" w:fill="F1F6F4"/>
          </w:tcPr>
          <w:p>
            <w:pPr>
              <w:pStyle w:val="LumisTabela"/>
              <w:keepNext/>
            </w:pPr>
            <w:r>
              <w:t>Viés etário e regional na priorização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Hospital Vila Ipê</w:t>
            </w:r>
          </w:p>
        </w:tc>
        <w:tc>
          <w:tcPr>
            <w:tcW w:type="dxa" w:w="1361"/>
            <w:shd w:val="clear" w:color="auto" w:fill="F1F6F4"/>
          </w:tcPr>
          <w:p>
            <w:pPr>
              <w:pStyle w:val="LumisTabela"/>
              <w:keepNext/>
            </w:pPr>
            <w:r>
              <w:t>Em tratamento</w:t>
            </w:r>
          </w:p>
        </w:tc>
        <w:tc>
          <w:tcPr>
            <w:tcW w:type="dxa" w:w="1871"/>
            <w:shd w:val="clear" w:color="auto" w:fill="F1F6F4"/>
          </w:tcPr>
          <w:p>
            <w:pPr>
              <w:pStyle w:val="LumisTabela"/>
              <w:keepNext/>
            </w:pPr>
            <w:r>
              <w:t>Acompanhamento por grupo</w:t>
            </w:r>
          </w:p>
        </w:tc>
      </w:tr>
    </w:tbl>
    <w:p>
      <w:pPr>
        <w:pStyle w:val="Legenda"/>
      </w:pPr>
      <w:r>
        <w:t>Tabela 2. Incidentes dos últimos 24 meses. Fonte: Cap. 2, Quadro 14. A coluna Por onde entrou é leitura da equipe.</w:t>
      </w:r>
    </w:p>
    <w:p>
      <w:pPr/>
      <w:r>
        <w:t xml:space="preserve">Pela nossa leitura, os incidentes entraram por portas sem dono: dados novos, mudança do fornecedor, material comercial e uso autorizado só pelo cliente </w:t>
      </w:r>
      <w:r>
        <w:rPr>
          <w:rStyle w:val="TagHiptese"/>
        </w:rPr>
        <w:t>[hipótese]</w:t>
      </w:r>
      <w:r>
        <w:t xml:space="preserve">. Se a atualização do fornecedor de 09/2025 passou pela liberação do CTO </w:t>
      </w:r>
      <w:r>
        <w:rPr>
          <w:rStyle w:val="TagNoconsta"/>
        </w:rPr>
        <w:t>[não consta]</w:t>
      </w:r>
      <w:r>
        <w:t>.</w:t>
      </w:r>
    </w:p>
    <w:p>
      <w:pPr>
        <w:pStyle w:val="Ttulo1"/>
      </w:pPr>
      <w:r>
        <w:t>3. A linha de responsabilidade proposta</w:t>
      </w:r>
    </w:p>
    <w:p>
      <w:pPr/>
      <w:r>
        <w:t>Três regras orientam o desenho. Quem libera uma versão não é o único que acompanha o erro nem o único que pode suspender. Suspender exige um só cargo, e religar exige dois. A autorização do cliente continua necessária, mas a Lumis também passa a autorizar.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3175"/>
        <w:gridCol w:w="2494"/>
        <w:gridCol w:w="3175"/>
      </w:tblGrid>
      <w:tr>
        <w:trPr>
          <w:tblHeader w:val="true"/>
          <w:cantSplit/>
        </w:trPr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Cargo responsável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Contrapeso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Autorizar cada uso em cada cliente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CEO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Parecer obrigatório do Head of AI Management e da DPO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Liberar versão nova ou atualização do fornecedor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CTO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Head of AI Management confere o teste por grupo e pode barrar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Medir o erro por grupo e cruzar as reclamações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Responsável por Dados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Auditor externo, contratado pela CEO, refaz a conta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Acompanhar e confirmar o alerta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Head of AI Management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DPO como suplente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Suspender ou restringir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Head of AI Management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CTO e DPO também podem suspender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Executar a suspensão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CTO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Responsável por Dados como suplente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Religar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CTO e Head of AI Management, juntos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Sem acordo, segue suspenso e a CEO leva o caso ao conselho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Aprovar os números divulgados ao mercado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Head of AI Management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Responsável Comercial corrige o material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pStyle w:val="LumisTabela"/>
              <w:keepNext/>
            </w:pPr>
            <w:r>
              <w:t>Proteger dados pessoais e direito de uso</w:t>
            </w:r>
          </w:p>
        </w:tc>
        <w:tc>
          <w:tcPr>
            <w:tcW w:type="dxa" w:w="2494"/>
          </w:tcPr>
          <w:p>
            <w:pPr>
              <w:pStyle w:val="LumisTabela"/>
              <w:keepNext/>
            </w:pPr>
            <w:r>
              <w:t>DPO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Responsável por Dados retira o dado sem autorização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Prestar contas ao conselho</w:t>
            </w:r>
          </w:p>
        </w:tc>
        <w:tc>
          <w:tcPr>
            <w:tcW w:type="dxa" w:w="2494"/>
            <w:shd w:val="clear" w:color="auto" w:fill="F1F6F4"/>
          </w:tcPr>
          <w:p>
            <w:pPr>
              <w:pStyle w:val="LumisTabela"/>
              <w:keepNext/>
            </w:pPr>
            <w:r>
              <w:t>CEO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  <w:keepNext/>
            </w:pPr>
            <w:r>
              <w:t>Head of AI Management relata as suspensões diretamente</w:t>
            </w:r>
          </w:p>
        </w:tc>
      </w:tr>
    </w:tbl>
    <w:p>
      <w:pPr>
        <w:pStyle w:val="Legenda"/>
      </w:pPr>
      <w:r>
        <w:t>Tabela 3. Quem responde por cada etapa. Proposta da equipe sobre os cargos do Cap. 2, Quadro 13.</w:t>
      </w:r>
    </w:p>
    <w:p>
      <w:pPr/>
      <w:r>
        <w:t>A linha vale para as quatro decisões de alto impacto. O que muda entre elas é o sinal que dispara o alerta, lido a cada quinze dias, como prevê o compromisso de Não Amplificação de Danos. Qualquer queixa de cliente, contestação de paciente ou incidente dispara o alerta na hora, sem esperar a leitura.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608"/>
        <w:gridCol w:w="6237"/>
      </w:tblGrid>
      <w:tr>
        <w:trPr>
          <w:tblHeader w:val="true"/>
          <w:cantSplit/>
        </w:trPr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6236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Sinal de alerta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LumisTabela"/>
              <w:keepNext/>
            </w:pPr>
            <w:r>
              <w:t>Priorização da fila</w:t>
            </w:r>
          </w:p>
        </w:tc>
        <w:tc>
          <w:tcPr>
            <w:tcW w:type="dxa" w:w="6236"/>
          </w:tcPr>
          <w:p>
            <w:pPr>
              <w:pStyle w:val="LumisTabela"/>
              <w:keepNext/>
            </w:pPr>
            <w:r>
              <w:t>Grupo com o dobro do erro do melhor grupo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6F4"/>
          </w:tcPr>
          <w:p>
            <w:pPr>
              <w:pStyle w:val="LumisTabela"/>
              <w:keepNext/>
            </w:pPr>
            <w:r>
              <w:t>Protocolo clínico</w:t>
            </w:r>
          </w:p>
        </w:tc>
        <w:tc>
          <w:tcPr>
            <w:tcW w:type="dxa" w:w="6236"/>
            <w:shd w:val="clear" w:color="auto" w:fill="F1F6F4"/>
          </w:tcPr>
          <w:p>
            <w:pPr>
              <w:pStyle w:val="LumisTabela"/>
              <w:keepNext/>
            </w:pPr>
            <w:r>
              <w:t>Grupo com o dobro de sugestões alteradas pelo médico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pStyle w:val="LumisTabela"/>
              <w:keepNext/>
            </w:pPr>
            <w:r>
              <w:t>Risco de crédito</w:t>
            </w:r>
          </w:p>
        </w:tc>
        <w:tc>
          <w:tcPr>
            <w:tcW w:type="dxa" w:w="6236"/>
          </w:tcPr>
          <w:p>
            <w:pPr>
              <w:pStyle w:val="LumisTabela"/>
              <w:keepNext/>
            </w:pPr>
            <w:r>
              <w:t>Faixa de CEP com aprovação abaixo de 80% da melhor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1F6F4"/>
          </w:tcPr>
          <w:p>
            <w:pPr>
              <w:pStyle w:val="LumisTabela"/>
              <w:keepNext/>
            </w:pPr>
            <w:r>
              <w:t>Risco de sinistro</w:t>
            </w:r>
          </w:p>
        </w:tc>
        <w:tc>
          <w:tcPr>
            <w:tcW w:type="dxa" w:w="6236"/>
            <w:shd w:val="clear" w:color="auto" w:fill="F1F6F4"/>
          </w:tcPr>
          <w:p>
            <w:pPr>
              <w:pStyle w:val="LumisTabela"/>
              <w:keepNext/>
            </w:pPr>
            <w:r>
              <w:t>Faixa de CEP com o dobro de negativas da melhor</w:t>
            </w:r>
          </w:p>
        </w:tc>
      </w:tr>
    </w:tbl>
    <w:p>
      <w:pPr>
        <w:pStyle w:val="Legenda"/>
      </w:pPr>
      <w:r>
        <w:t>Tabela 4. Alertas por decisão. Priorização: Entrega 2. Protocolo e crédito: Entrega 5. Sinistro: proposta da equipe; ainda não é medido.</w:t>
      </w:r>
    </w:p>
    <w:p>
      <w:pPr/>
      <w:r>
        <w:rPr>
          <w:b/>
        </w:rPr>
        <w:t>Prazo para suspender.</w:t>
      </w:r>
      <w:r>
        <w:t xml:space="preserve"> Confirmado o alerta, a decisão sai em até 24 horas e a execução em mais 24. Com dano clínico em curso, a execução é imediata, dentro do mesmo teto. Usamos como teto as 48 horas que já prometemos para revisar um caso contestado: desligar o sistema não deve demorar mais que isso. Como o tempo real de suspensão não é conhecido </w:t>
      </w:r>
      <w:r>
        <w:rPr>
          <w:rStyle w:val="TagNoconsta"/>
        </w:rPr>
        <w:t>[não consta]</w:t>
      </w:r>
      <w:r>
        <w:t>, o prazo é uma meta até o primeiro teste. Se o teste passar de 48 horas, o teto continua e o CTO corrige o procedimento até cumpri-lo.</w:t>
      </w:r>
    </w:p>
    <w:p>
      <w:pPr/>
      <w:r>
        <w:rPr>
          <w:b/>
        </w:rPr>
        <w:t>O que fazemos já:</w:t>
      </w:r>
    </w:p>
    <w:p>
      <w:pPr>
        <w:pStyle w:val="Commarcadores"/>
      </w:pPr>
      <w:r>
        <w:t>Executar a restrição recomendada na Entrega 2. O Head of AI Management ordena e o CTO executa de imediato: a priorização de idosos de CEP C e D/E volta à triagem do hospital, com o modelo rodando em paralelo, sem decidir.</w:t>
      </w:r>
    </w:p>
    <w:p>
      <w:pPr>
        <w:pStyle w:val="Commarcadores"/>
      </w:pPr>
      <w:r>
        <w:t>Testar a suspensão em até 30 dias, por cliente e por grupo, e repetir a cada trimestre. O Head of AI Management conduz o teste e o CTO executa.</w:t>
      </w:r>
    </w:p>
    <w:p>
      <w:pPr>
        <w:pStyle w:val="Commarcadores"/>
      </w:pPr>
      <w:r>
        <w:t>Exigir, nos contratos, um cargo do lado do cliente que assine a autorização de uso. A cláusula fica com a DPO.</w:t>
      </w:r>
    </w:p>
    <w:p>
      <w:pPr>
        <w:pStyle w:val="Ttulo1"/>
      </w:pPr>
      <w:r>
        <w:t>4. Quando a revisão humana é obrigatória</w:t>
      </w:r>
    </w:p>
    <w:p>
      <w:pPr>
        <w:pStyle w:val="Commarcadores"/>
      </w:pPr>
      <w:r>
        <w:rPr>
          <w:b/>
        </w:rPr>
        <w:t>Priorização em grupo com o dobro do erro do melhor:</w:t>
      </w:r>
      <w:r>
        <w:t xml:space="preserve"> todos os casos voltam ao profissional responsável pela triagem no hospital. Critério: erro medido em grupo vulnerável é o padrão de viés que, pelo compromisso de Não Amplificação de Danos, justifica suspender o uso até a correção. Nos demais grupos críticos, a revisão sobe de 2% para 10%, como proposto na Entrega 2, para que a leitura quinzenal tenha casos suficientes.</w:t>
      </w:r>
    </w:p>
    <w:p>
      <w:pPr>
        <w:pStyle w:val="Commarcadores"/>
      </w:pPr>
      <w:r>
        <w:rPr>
          <w:b/>
        </w:rPr>
        <w:t>Toda contestação</w:t>
      </w:r>
      <w:r>
        <w:t xml:space="preserve"> de paciente, profissional ou cliente: imediata na urgência e em até 48 horas nos demais casos. Critério: o compromisso de Reversibilidade.</w:t>
      </w:r>
    </w:p>
    <w:p>
      <w:pPr>
        <w:pStyle w:val="Commarcadores"/>
      </w:pPr>
      <w:r>
        <w:rPr>
          <w:b/>
        </w:rPr>
        <w:t>Toda sugestão de protocolo clínico</w:t>
      </w:r>
      <w:r>
        <w:t>, como já ocorre, agora com registro de aceite, alteração ou rejeição pelo médico. Critério: o dano é à saúde, e revisão sem registro não pode ser auditada.</w:t>
      </w:r>
    </w:p>
    <w:p>
      <w:pPr>
        <w:pStyle w:val="Commarcadores"/>
      </w:pPr>
      <w:r>
        <w:rPr>
          <w:b/>
        </w:rPr>
        <w:t>Classificação de sinistro que leve a negativa ou atraso</w:t>
      </w:r>
      <w:r>
        <w:t>, no lugar do corte de R$ 50 mil. Critério: o efeito sobre a pessoa.</w:t>
      </w:r>
    </w:p>
    <w:p>
      <w:pPr>
        <w:pStyle w:val="Commarcadores"/>
      </w:pPr>
      <w:r>
        <w:rPr>
          <w:b/>
        </w:rPr>
        <w:t>Toda sinalização de risco de crédito</w:t>
      </w:r>
      <w:r>
        <w:t>, como já ocorre. Critério: acesso a serviço essencial.</w:t>
      </w:r>
    </w:p>
    <w:p>
      <w:pPr>
        <w:pStyle w:val="Commarcadores"/>
      </w:pPr>
      <w:r>
        <w:rPr>
          <w:b/>
        </w:rPr>
        <w:t>Fonte de dados nova, cliente novo ou versão nova:</w:t>
      </w:r>
      <w:r>
        <w:t xml:space="preserve"> revisão de 10% dos casos até uma leitura quinzenal sem piora em nenhum grupo. Critério: os incidentes de 03/2025 e 09/2025 começaram assim.</w:t>
      </w:r>
    </w:p>
    <w:p>
      <w:pPr>
        <w:pStyle w:val="Ttulo1"/>
      </w:pPr>
      <w:r>
        <w:t>5. O que muda num setor novo</w:t>
      </w:r>
    </w:p>
    <w:p>
      <w:pPr/>
      <w:r>
        <w:t xml:space="preserve">Num setor novo a Lumis não sabe reconhecer o erro típico nem tem dado local para medi-lo. O backlog já traz um pedido assim, um produto para o setor veterinário, e o Vetor Capital propõe transformar o produto em plataforma e abrir dois países </w:t>
      </w:r>
      <w:r>
        <w:rPr>
          <w:rStyle w:val="TagFonte"/>
        </w:rPr>
        <w:t>[fonte: Cap. 2, 1.1 e Quadro 16]</w:t>
      </w:r>
      <w:r>
        <w:t>. A estrutura muda em cinco pontos:</w:t>
      </w:r>
    </w:p>
    <w:p>
      <w:pPr>
        <w:pStyle w:val="Commarcadores"/>
      </w:pPr>
      <w:r>
        <w:rPr>
          <w:b/>
        </w:rPr>
        <w:t>Portão de entrada.</w:t>
      </w:r>
      <w:r>
        <w:t xml:space="preserve"> O responsável por Produto leva o pedido, a CEO decide e o Head of AI Management e a DPO dão parecer obrigatório. Os critérios de entrada e de encerramento ficam no funil da Entrega 4.</w:t>
      </w:r>
    </w:p>
    <w:p>
      <w:pPr>
        <w:pStyle w:val="Commarcadores"/>
      </w:pPr>
      <w:r>
        <w:rPr>
          <w:b/>
        </w:rPr>
        <w:t>Modo sombra.</w:t>
      </w:r>
      <w:r>
        <w:t xml:space="preserve"> O sistema roda em paralelo, sem decidir, até haver erro medido por grupo no novo domínio.</w:t>
      </w:r>
    </w:p>
    <w:p>
      <w:pPr>
        <w:pStyle w:val="Commarcadores"/>
      </w:pPr>
      <w:r>
        <w:rPr>
          <w:b/>
        </w:rPr>
        <w:t>Responsável do domínio.</w:t>
      </w:r>
      <w:r>
        <w:t xml:space="preserve"> Um especialista do setor, do cliente ou contratado, assina o que conta como erro grave, por exemplo um médico-veterinário.</w:t>
      </w:r>
    </w:p>
    <w:p>
      <w:pPr>
        <w:pStyle w:val="Commarcadores"/>
      </w:pPr>
      <w:r>
        <w:rPr>
          <w:b/>
        </w:rPr>
        <w:t>Suspensão testada antes de começar.</w:t>
      </w:r>
      <w:r>
        <w:t xml:space="preserve"> O CTO testa a suspensão por mercado e por cliente antes da entrada.</w:t>
      </w:r>
    </w:p>
    <w:p>
      <w:pPr>
        <w:pStyle w:val="Commarcadores"/>
      </w:pPr>
      <w:r>
        <w:rPr>
          <w:b/>
        </w:rPr>
        <w:t>Quem mede o erro em cada mercado.</w:t>
      </w:r>
      <w:r>
        <w:t xml:space="preserve"> O responsável por Dados indica a pessoa antes da entrada, e o Head of AI Management aprova. O time de dados teve rotatividade de 27% em doze meses </w:t>
      </w:r>
      <w:r>
        <w:rPr>
          <w:rStyle w:val="TagFonte"/>
        </w:rPr>
        <w:t>[fonte: Cap. 2, Quadro 15]</w:t>
      </w:r>
      <w:r>
        <w:t>.</w:t>
      </w:r>
    </w:p>
    <w:p>
      <w:pPr/>
      <w:r>
        <w:t xml:space="preserve">O capítulo resume o risco: sem uma linha de responsabilidade explícita, a expansão para novos setores "multiplica exposição sem multiplicar controle" </w:t>
      </w:r>
      <w:r>
        <w:rPr>
          <w:rStyle w:val="TagFonte"/>
        </w:rPr>
        <w:t>[fonte: Cap. 2, 2.4]</w:t>
      </w:r>
      <w:r>
        <w:t>. Por isso a linha precisa estar pronta antes do aporte.</w:t>
      </w:r>
    </w:p>
    <w:p>
      <w:pPr>
        <w:pStyle w:val="Ttulo1"/>
      </w:pPr>
      <w:r>
        <w:t>6. Coerência com o que já assumimos</w:t>
      </w:r>
    </w:p>
    <w:p>
      <w:pPr/>
      <w:r>
        <w:t>Os compromissos da Declaração de Intenção continuam valendo, agora com cargo: Transparência com o Head of AI Management, Segurança e Privacidade com a DPO, e a leitura quinzenal de Não Amplificação de Danos com o responsável por Dados e o Head of AI Management.</w:t>
      </w:r>
    </w:p>
    <w:p>
      <w:pPr/>
      <w:r>
        <w:t>Três atribuições mudam. O poder de suspender, que na Fase 1 era da liderança em conjunto, passa ao Head of AI Management, que já coordenava a investigação de incidentes, com CTO e DPO como chaves adicionais. A liberação de versão continua com o CTO, com a conferência do Head of AI Management. E cada uso passa a precisar da autorização da CEO, além da do cliente. A Entrega 5 já indicava o Head of AI Management para suspender, e aqui o cargo fica confirmado.</w:t>
      </w:r>
    </w:p>
    <w:p>
      <w:pPr>
        <w:pStyle w:val="LumisNota"/>
      </w:pPr>
      <w:r>
        <w:t>Dados da Lumis: Cap. 2, Anexo A. Classificações, alertas, prazos e cargos propostos são da equipe.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F2-E3 · Linha de Responsabilidade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