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81B4" w14:textId="29373098" w:rsidR="000B48B4" w:rsidRPr="000B48B4" w:rsidRDefault="000B48B4" w:rsidP="000B48B4">
      <w:pPr>
        <w:pStyle w:val="Ttulo"/>
        <w:rPr>
          <w:lang w:val="pt-BR"/>
        </w:rPr>
      </w:pPr>
      <w:r w:rsidRPr="000B48B4">
        <w:rPr>
          <w:lang w:val="pt-BR"/>
        </w:rPr>
        <w:t>Due Diligence ESG da Expansão</w:t>
      </w:r>
    </w:p>
    <w:p w14:paraId="3ED05A9D" w14:textId="681CFDF5" w:rsidR="00BF58EC" w:rsidRPr="000B48B4" w:rsidRDefault="000B48B4" w:rsidP="000B48B4">
      <w:pPr>
        <w:pStyle w:val="Subttulo"/>
        <w:rPr>
          <w:lang w:val="pt-BR"/>
        </w:rPr>
      </w:pPr>
      <w:r w:rsidRPr="000B48B4">
        <w:rPr>
          <w:lang w:val="pt-BR"/>
        </w:rPr>
        <w:t>Relatório ao Comitê de Investimento: o que a expansão leva junto e o que precisa estar resolvido antes</w:t>
      </w:r>
      <w:r>
        <w:rPr>
          <w:lang w:val="pt-BR"/>
        </w:rPr>
      </w:r>
    </w:p>
    <w:p>
      <w:pPr>
        <w:pStyle w:val="LumisDestaque"/>
      </w:pPr>
      <w:r>
        <w:t>A expansão leva para novos mercados quatro riscos que a Lumis ainda não resolveu no Brasil: equidade, privacidade, transparência e governança. O crescimento só se sustenta com condições prévias e com uma métrica pública que mostre se o dano está caindo.</w:t>
      </w:r>
    </w:p>
    <w:p>
      <w:pPr>
        <w:pStyle w:val="Commarcadores"/>
      </w:pPr>
      <w:r>
        <w:rPr>
          <w:b/>
        </w:rPr>
        <w:t>Equidade:</w:t>
      </w:r>
      <w:r>
        <w:t xml:space="preserve"> idosos de CEP D/E têm 31,8% de falso negativo, três vezes o melhor subgrupo, e a faixa D/E reclama oito vezes mais por paciente que a faixa A/B.</w:t>
      </w:r>
    </w:p>
    <w:p>
      <w:pPr>
        <w:pStyle w:val="Commarcadores"/>
      </w:pPr>
      <w:r>
        <w:rPr>
          <w:b/>
        </w:rPr>
        <w:t>Privacidade:</w:t>
      </w:r>
      <w:r>
        <w:t xml:space="preserve"> nenhum dos seis contratos de dados passou por revisão jurídica, e a política para dados de saúde está em elaboração desde 2024.</w:t>
      </w:r>
    </w:p>
    <w:p>
      <w:pPr>
        <w:pStyle w:val="Commarcadores"/>
      </w:pPr>
      <w:r>
        <w:rPr>
          <w:b/>
        </w:rPr>
        <w:t>Compromisso público:</w:t>
      </w:r>
      <w:r>
        <w:t xml:space="preserve"> a Lumis passa a publicar, a cada trimestre, o falso negativo por subgrupo.</w:t>
      </w:r>
    </w:p>
    <w:p>
      <w:pPr/>
      <w:r>
        <w:t xml:space="preserve">Analisamos a expansão como o Vetor Capital a propõe, com dois novos países e o Lumis Insight virando plataforma, e dois casos do backlog: a expansão para o México e o módulo de risco de crédito para bancos </w:t>
      </w:r>
      <w:r>
        <w:rPr>
          <w:rStyle w:val="TagFonte"/>
        </w:rPr>
        <w:t>[fonte: Cap. 2, 1.1 e Quadro 16]</w:t>
      </w:r>
      <w:r>
        <w:t>.</w:t>
      </w:r>
    </w:p>
    <w:p>
      <w:pPr>
        <w:pStyle w:val="Ttulo1"/>
      </w:pPr>
      <w:r>
        <w:t>1. O que é material</w:t>
      </w:r>
    </w:p>
    <w:p>
      <w:pPr/>
      <w:r>
        <w:t>Cada tema recebeu duas notas: o dano que o negócio pode causar a pessoas e ao ambiente, e o risco financeiro que o tema traz para a Lumis. É material o tema com nota Alta em pelo menos um dos eixos.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3005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terialida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0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1. Matriz de materialidade dupla. Fonte: Cap. 2, Anexo A; notas da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871"/>
        <w:gridCol w:w="4819"/>
        <w:gridCol w:w="1190"/>
        <w:gridCol w:w="1190"/>
      </w:tblGrid>
      <w:tr>
        <w:trPr>
          <w:tblHeader w:val="true"/>
          <w:cantSplit/>
        </w:trPr>
        <w:tc>
          <w:tcPr>
            <w:tcW w:type="dxa" w:w="187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4819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Evidência principal</w:t>
            </w:r>
          </w:p>
        </w:tc>
        <w:tc>
          <w:tcPr>
            <w:tcW w:type="dxa" w:w="119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Dano a pessoas</w:t>
            </w:r>
          </w:p>
        </w:tc>
        <w:tc>
          <w:tcPr>
            <w:tcW w:type="dxa" w:w="119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Risco à Lumis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LumisTabela"/>
            </w:pPr>
            <w:r>
              <w:t>T1 Equidade no acesso</w:t>
            </w:r>
          </w:p>
        </w:tc>
        <w:tc>
          <w:tcPr>
            <w:tcW w:type="dxa" w:w="4819"/>
          </w:tcPr>
          <w:p>
            <w:pPr>
              <w:pStyle w:val="LumisTabela"/>
            </w:pPr>
            <w:r>
              <w:t xml:space="preserve">Falso negativo de 31,8% em 60+ de CEP D/E; a faixa D/E concentra 64% das reclamações </w:t>
            </w:r>
            <w:r>
              <w:rPr>
                <w:rStyle w:val="TagFonte"/>
              </w:rPr>
              <w:t>[fonte: Cap. 2, Quadros 10 e 17]</w:t>
            </w:r>
          </w:p>
        </w:tc>
        <w:tc>
          <w:tcPr>
            <w:tcW w:type="dxa" w:w="1191"/>
          </w:tcPr>
          <w:p>
            <w:pPr>
              <w:pStyle w:val="LumisTabela"/>
            </w:pPr>
            <w:r>
              <w:t>Alto</w:t>
            </w:r>
          </w:p>
        </w:tc>
        <w:tc>
          <w:tcPr>
            <w:tcW w:type="dxa" w:w="1191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1F6F4"/>
          </w:tcPr>
          <w:p>
            <w:pPr>
              <w:pStyle w:val="LumisTabela"/>
            </w:pPr>
            <w:r>
              <w:t>T2 Privacidade e dados de saúde</w:t>
            </w:r>
          </w:p>
        </w:tc>
        <w:tc>
          <w:tcPr>
            <w:tcW w:type="dxa" w:w="4819"/>
            <w:shd w:val="clear" w:color="auto" w:fill="F1F6F4"/>
          </w:tcPr>
          <w:p>
            <w:pPr>
              <w:pStyle w:val="LumisTabela"/>
            </w:pPr>
            <w:r>
              <w:t xml:space="preserve">35,4% dos dados de clientes com autorização fraca; política sem versão aprovada desde 2024 </w:t>
            </w:r>
            <w:r>
              <w:rPr>
                <w:rStyle w:val="TagFonte"/>
              </w:rPr>
              <w:t>[fonte: Cap. 2, Quadros 7 e 17]</w:t>
            </w:r>
          </w:p>
        </w:tc>
        <w:tc>
          <w:tcPr>
            <w:tcW w:type="dxa" w:w="1191"/>
            <w:shd w:val="clear" w:color="auto" w:fill="F1F6F4"/>
          </w:tcPr>
          <w:p>
            <w:pPr>
              <w:pStyle w:val="LumisTabela"/>
            </w:pPr>
            <w:r>
              <w:t>Alto</w:t>
            </w:r>
          </w:p>
        </w:tc>
        <w:tc>
          <w:tcPr>
            <w:tcW w:type="dxa" w:w="1191"/>
            <w:shd w:val="clear" w:color="auto" w:fill="F1F6F4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LumisTabela"/>
            </w:pPr>
            <w:r>
              <w:t>T3 Transparência</w:t>
            </w:r>
          </w:p>
        </w:tc>
        <w:tc>
          <w:tcPr>
            <w:tcW w:type="dxa" w:w="4819"/>
          </w:tcPr>
          <w:p>
            <w:pPr>
              <w:pStyle w:val="LumisTabela"/>
            </w:pPr>
            <w:r>
              <w:t xml:space="preserve">640 mil priorizações por mês com revisão humana de 2%; 94% divulgado contra 87,6% em campo </w:t>
            </w:r>
            <w:r>
              <w:rPr>
                <w:rStyle w:val="TagFonte"/>
              </w:rPr>
              <w:t>[fonte: Cap. 2, Quadros 9, 11 e 12]</w:t>
            </w:r>
          </w:p>
        </w:tc>
        <w:tc>
          <w:tcPr>
            <w:tcW w:type="dxa" w:w="1191"/>
          </w:tcPr>
          <w:p>
            <w:pPr>
              <w:pStyle w:val="LumisTabela"/>
            </w:pPr>
            <w:r>
              <w:t>Alto</w:t>
            </w:r>
          </w:p>
        </w:tc>
        <w:tc>
          <w:tcPr>
            <w:tcW w:type="dxa" w:w="1191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1F6F4"/>
          </w:tcPr>
          <w:p>
            <w:pPr>
              <w:pStyle w:val="LumisTabela"/>
            </w:pPr>
            <w:r>
              <w:t>T4 Governança da IA</w:t>
            </w:r>
          </w:p>
        </w:tc>
        <w:tc>
          <w:tcPr>
            <w:tcW w:type="dxa" w:w="4819"/>
            <w:shd w:val="clear" w:color="auto" w:fill="F1F6F4"/>
          </w:tcPr>
          <w:p>
            <w:pPr>
              <w:pStyle w:val="LumisTabela"/>
            </w:pPr>
            <w:r>
              <w:t xml:space="preserve">Sem comitê de ética ou de risco; só o CTO libera versões; 2 de 4 incidentes detectados pelo cliente </w:t>
            </w:r>
            <w:r>
              <w:rPr>
                <w:rStyle w:val="TagFonte"/>
              </w:rPr>
              <w:t>[fonte: Cap. 2, Quadros 12 e 14]</w:t>
            </w:r>
          </w:p>
        </w:tc>
        <w:tc>
          <w:tcPr>
            <w:tcW w:type="dxa" w:w="1191"/>
            <w:shd w:val="clear" w:color="auto" w:fill="F1F6F4"/>
          </w:tcPr>
          <w:p>
            <w:pPr>
              <w:pStyle w:val="LumisTabela"/>
            </w:pPr>
            <w:r>
              <w:t>Alto</w:t>
            </w:r>
          </w:p>
        </w:tc>
        <w:tc>
          <w:tcPr>
            <w:tcW w:type="dxa" w:w="1191"/>
            <w:shd w:val="clear" w:color="auto" w:fill="F1F6F4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LumisTabela"/>
            </w:pPr>
            <w:r>
              <w:t>T5 Clima e retenção</w:t>
            </w:r>
          </w:p>
        </w:tc>
        <w:tc>
          <w:tcPr>
            <w:tcW w:type="dxa" w:w="4819"/>
          </w:tcPr>
          <w:p>
            <w:pPr>
              <w:pStyle w:val="LumisTabela"/>
            </w:pPr>
            <w:r>
              <w:t xml:space="preserve">eNPS de −31 no time técnico; rotatividade de 27% no time de dados </w:t>
            </w:r>
            <w:r>
              <w:rPr>
                <w:rStyle w:val="TagFonte"/>
              </w:rPr>
              <w:t>[fonte: Cap. 2, Quadro 15]</w:t>
            </w:r>
          </w:p>
        </w:tc>
        <w:tc>
          <w:tcPr>
            <w:tcW w:type="dxa" w:w="1191"/>
          </w:tcPr>
          <w:p>
            <w:pPr>
              <w:pStyle w:val="LumisTabela"/>
            </w:pPr>
            <w:r>
              <w:t>Médio</w:t>
            </w:r>
          </w:p>
        </w:tc>
        <w:tc>
          <w:tcPr>
            <w:tcW w:type="dxa" w:w="1191"/>
          </w:tcPr>
          <w:p>
            <w:pPr>
              <w:pStyle w:val="LumisTabela"/>
            </w:pPr>
            <w:r>
              <w:t>Alto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1F6F4"/>
          </w:tcPr>
          <w:p>
            <w:pPr>
              <w:pStyle w:val="LumisTabela"/>
            </w:pPr>
            <w:r>
              <w:t>T6 Diversidade</w:t>
            </w:r>
          </w:p>
        </w:tc>
        <w:tc>
          <w:tcPr>
            <w:tcW w:type="dxa" w:w="4819"/>
            <w:shd w:val="clear" w:color="auto" w:fill="F1F6F4"/>
          </w:tcPr>
          <w:p>
            <w:pPr>
              <w:pStyle w:val="LumisTabela"/>
            </w:pPr>
            <w:r>
              <w:t xml:space="preserve">Mulheres são 12% e pessoas negras 6% da liderança </w:t>
            </w:r>
            <w:r>
              <w:rPr>
                <w:rStyle w:val="TagFonte"/>
              </w:rPr>
              <w:t>[fonte: Cap. 2, Quadro 17]</w:t>
            </w:r>
          </w:p>
        </w:tc>
        <w:tc>
          <w:tcPr>
            <w:tcW w:type="dxa" w:w="1191"/>
            <w:shd w:val="clear" w:color="auto" w:fill="F1F6F4"/>
          </w:tcPr>
          <w:p>
            <w:pPr>
              <w:pStyle w:val="LumisTabela"/>
            </w:pPr>
            <w:r>
              <w:t>Médio</w:t>
            </w:r>
          </w:p>
        </w:tc>
        <w:tc>
          <w:tcPr>
            <w:tcW w:type="dxa" w:w="1191"/>
            <w:shd w:val="clear" w:color="auto" w:fill="F1F6F4"/>
          </w:tcPr>
          <w:p>
            <w:pPr>
              <w:pStyle w:val="LumisTabela"/>
            </w:pPr>
            <w:r>
              <w:t>Médio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pStyle w:val="LumisTabela"/>
              <w:keepNext/>
            </w:pPr>
            <w:r>
              <w:t>T7 Energia</w:t>
            </w:r>
          </w:p>
        </w:tc>
        <w:tc>
          <w:tcPr>
            <w:tcW w:type="dxa" w:w="4819"/>
          </w:tcPr>
          <w:p>
            <w:pPr>
              <w:pStyle w:val="LumisTabela"/>
              <w:keepNext/>
            </w:pPr>
            <w:r>
              <w:t xml:space="preserve">1.240 MWh por ano, 75% em inferência; 62% de fonte renovável </w:t>
            </w:r>
            <w:r>
              <w:rPr>
                <w:rStyle w:val="TagFonte"/>
              </w:rPr>
              <w:t>[fonte: Cap. 2, Quadro 17]</w:t>
            </w:r>
          </w:p>
        </w:tc>
        <w:tc>
          <w:tcPr>
            <w:tcW w:type="dxa" w:w="1191"/>
          </w:tcPr>
          <w:p>
            <w:pPr>
              <w:pStyle w:val="LumisTabela"/>
              <w:keepNext/>
            </w:pPr>
            <w:r>
              <w:t>Baixo</w:t>
            </w:r>
          </w:p>
        </w:tc>
        <w:tc>
          <w:tcPr>
            <w:tcW w:type="dxa" w:w="1191"/>
          </w:tcPr>
          <w:p>
            <w:pPr>
              <w:pStyle w:val="LumisTabela"/>
              <w:keepNext/>
            </w:pPr>
            <w:r>
              <w:t>Baixo</w:t>
            </w:r>
          </w:p>
        </w:tc>
      </w:tr>
    </w:tbl>
    <w:p>
      <w:pPr>
        <w:pStyle w:val="Legenda"/>
      </w:pPr>
      <w:r>
        <w:t>Tabela 1. Temas, evidência e notas. Fonte: Cap. 2, Anexo A; notas da equipe.</w:t>
      </w:r>
    </w:p>
    <w:p>
      <w:pPr/>
      <w:r>
        <w:t xml:space="preserve">Os temas T1 a T4 têm nota Alta nos dois eixos e já são problemas hoje. A expansão amplia cada um deles: mais clientes no mesmo modelo, populações sem histórico na base e dados de saúde cruzando fronteiras. Diversidade e energia ficam em monitoramento, porque os dados não mostram efeito relevante hoje; o consumo de energia, porém, cresce junto com a inferência </w:t>
      </w:r>
      <w:r>
        <w:rPr>
          <w:rStyle w:val="TagHiptese"/>
        </w:rPr>
        <w:t>[hipótese]</w:t>
      </w:r>
      <w:r>
        <w:t>.</w:t>
      </w:r>
    </w:p>
    <w:p>
      <w:pPr>
        <w:pStyle w:val="Ttulo1"/>
      </w:pPr>
      <w:r>
        <w:t>2. Quem pode ser prejudicado</w:t>
      </w:r>
    </w:p>
    <w:p>
      <w:pPr/>
      <w:r>
        <w:t xml:space="preserve">O erro cresce com a idade e com a faixa de CEP. No grupo 60+ de CEP D/E, quase um em cada três pacientes que precisavam de prioridade não a recebe, e a empresa nunca cruzou as reclamações com esse desempenho </w:t>
      </w:r>
      <w:r>
        <w:rPr>
          <w:rStyle w:val="TagFonte"/>
        </w:rPr>
        <w:t>[fonte: Cap. 2, Quadros 10 e 17]</w:t>
      </w:r>
      <w:r>
        <w:t>.</w:t>
      </w:r>
    </w:p>
    <w:p>
      <w:pPr/>
      <w:r>
        <w:t xml:space="preserve">A causa provável acompanha o modelo para qualquer mercado. Cinco variáveis que medem acesso ao sistema de saúde tanto quanto gravidade (atendimentos, custo acumulado, CEP, cobertura e faltas) somam 55,1% do peso </w:t>
      </w:r>
      <w:r>
        <w:rPr>
          <w:rStyle w:val="TagFonte"/>
        </w:rPr>
        <w:t>[fonte: Cap. 2, Quadro 8; cálculo]</w:t>
      </w:r>
      <w:r>
        <w:t xml:space="preserve">. Quem usa menos o sistema parece menos grave e cai na fila </w:t>
      </w:r>
      <w:r>
        <w:rPr>
          <w:rStyle w:val="TagHiptese"/>
        </w:rPr>
        <w:t>[hipótese, coerente com o diagnóstico da Fase 1]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927"/>
        <w:gridCol w:w="2608"/>
        <w:gridCol w:w="4536"/>
      </w:tblGrid>
      <w:tr>
        <w:trPr>
          <w:tblHeader w:val="true"/>
          <w:cantSplit/>
        </w:trPr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Frente</w:t>
            </w:r>
          </w:p>
        </w:tc>
        <w:tc>
          <w:tcPr>
            <w:tcW w:type="dxa" w:w="260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Grupo em risco</w:t>
            </w:r>
          </w:p>
        </w:tc>
        <w:tc>
          <w:tcPr>
            <w:tcW w:type="dxa" w:w="453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Por quê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t>Plataforma e novos países</w:t>
            </w:r>
          </w:p>
        </w:tc>
        <w:tc>
          <w:tcPr>
            <w:tcW w:type="dxa" w:w="2608"/>
          </w:tcPr>
          <w:p>
            <w:pPr>
              <w:pStyle w:val="LumisTabela"/>
            </w:pPr>
            <w:r>
              <w:t>Pessoas de baixa renda e com pouco acesso à rede de saúde</w:t>
            </w:r>
          </w:p>
        </w:tc>
        <w:tc>
          <w:tcPr>
            <w:tcW w:type="dxa" w:w="4535"/>
          </w:tcPr>
          <w:p>
            <w:pPr>
              <w:pStyle w:val="LumisTabela"/>
            </w:pPr>
            <w:r>
              <w:t xml:space="preserve">As variáveis de acesso penalizam quem usa menos o sistema </w:t>
            </w:r>
            <w:r>
              <w:rPr>
                <w:rStyle w:val="TagHiptese"/>
              </w:rPr>
              <w:t>[hipótese]</w:t>
            </w:r>
            <w:r>
              <w:t xml:space="preserve">. Perfil de acesso no país de destino: </w:t>
            </w:r>
            <w:r>
              <w:rPr>
                <w:rStyle w:val="TagNoconsta"/>
              </w:rPr>
              <w:t>[não consta]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México</w:t>
            </w:r>
          </w:p>
        </w:tc>
        <w:tc>
          <w:tcPr>
            <w:tcW w:type="dxa" w:w="2608"/>
            <w:shd w:val="clear" w:color="auto" w:fill="F1F6F4"/>
          </w:tcPr>
          <w:p>
            <w:pPr>
              <w:pStyle w:val="LumisTabela"/>
            </w:pPr>
            <w:r>
              <w:t>Subgrupos que a Lumis ainda não consegue identificar</w:t>
            </w:r>
          </w:p>
        </w:tc>
        <w:tc>
          <w:tcPr>
            <w:tcW w:type="dxa" w:w="4535"/>
            <w:shd w:val="clear" w:color="auto" w:fill="F1F6F4"/>
          </w:tcPr>
          <w:p>
            <w:pPr>
              <w:pStyle w:val="LumisTabela"/>
            </w:pPr>
            <w:r>
              <w:t xml:space="preserve">Sem dado local de desfecho, a Lumis não sabe onde vai errar. O erro de hoje foi descoberto pelo cliente </w:t>
            </w:r>
            <w:r>
              <w:rPr>
                <w:rStyle w:val="TagFonte"/>
              </w:rPr>
              <w:t>[fonte: Cap. 2, Quadro 14]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Crédito para bancos</w:t>
            </w:r>
          </w:p>
        </w:tc>
        <w:tc>
          <w:tcPr>
            <w:tcW w:type="dxa" w:w="2608"/>
          </w:tcPr>
          <w:p>
            <w:pPr>
              <w:pStyle w:val="LumisTabela"/>
              <w:keepNext/>
            </w:pPr>
            <w:r>
              <w:t>Moradores de CEP de baixa renda e pessoas com pouco histórico financeiro</w:t>
            </w:r>
          </w:p>
        </w:tc>
        <w:tc>
          <w:tcPr>
            <w:tcW w:type="dxa" w:w="4535"/>
          </w:tcPr>
          <w:p>
            <w:pPr>
              <w:pStyle w:val="LumisTabela"/>
              <w:keepNext/>
            </w:pPr>
            <w:r>
              <w:t xml:space="preserve">CEP e cobertura pesam 16,3% no modelo de saúde; reaproveitados, podem negar crédito por endereço </w:t>
            </w:r>
            <w:r>
              <w:rPr>
                <w:rStyle w:val="TagHiptese"/>
              </w:rPr>
              <w:t>[hipótese]</w:t>
            </w:r>
          </w:p>
        </w:tc>
      </w:tr>
    </w:tbl>
    <w:p>
      <w:pPr>
        <w:pStyle w:val="Legenda"/>
      </w:pPr>
      <w:r>
        <w:t>Tabela 2. Grupos em risco em cada frente da expansão. Fonte: Cap. 2, Anexo A; leitura da equipe.</w:t>
      </w:r>
    </w:p>
    <w:p>
      <w:pPr/>
      <w:r>
        <w:t xml:space="preserve">O desempenho por sexo, raça ou cor e deficiência não é medido </w:t>
      </w:r>
      <w:r>
        <w:rPr>
          <w:rStyle w:val="TagNoconsta"/>
        </w:rPr>
        <w:t>[não consta]</w:t>
      </w:r>
      <w:r>
        <w:t>. Não há como afirmar que esses grupos estão protegidos. Para medir o risco, propomos cinco indicadores: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2835"/>
        <w:gridCol w:w="2041"/>
        <w:gridCol w:w="2948"/>
        <w:gridCol w:w="1247"/>
      </w:tblGrid>
      <w:tr>
        <w:trPr>
          <w:tblHeader w:val="true"/>
          <w:cantSplit/>
        </w:trPr>
        <w:tc>
          <w:tcPr>
            <w:tcW w:type="dxa" w:w="283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Limite proposto</w:t>
            </w:r>
          </w:p>
        </w:tc>
        <w:tc>
          <w:tcPr>
            <w:tcW w:type="dxa" w:w="294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Se passar do limite</w:t>
            </w:r>
          </w:p>
        </w:tc>
        <w:tc>
          <w:tcPr>
            <w:tcW w:type="dxa" w:w="124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Frequência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LumisTabela"/>
            </w:pPr>
            <w:r>
              <w:t>E1. Falso negativo por subgrupo e razão entre o pior e o melhor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Meta: até 1,5 vez. Limite: 2 vezes (hoje: 3,0)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Acima de 2 vezes, restrição imediata da recomendação automática no subgrupo</w:t>
            </w:r>
          </w:p>
        </w:tc>
        <w:tc>
          <w:tcPr>
            <w:tcW w:type="dxa" w:w="1247"/>
          </w:tcPr>
          <w:p>
            <w:pPr>
              <w:pStyle w:val="LumisTabela"/>
            </w:pPr>
            <w:r>
              <w:t>Quinzenal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6F4"/>
          </w:tcPr>
          <w:p>
            <w:pPr>
              <w:pStyle w:val="LumisTabela"/>
            </w:pPr>
            <w:r>
              <w:t>E2. Reclamações por 1.000 pacientes, por subgrupo, cruzadas com o E1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Nenhuma faixa acima de 2 vezes a média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</w:pPr>
            <w:r>
              <w:t>Auditoria de equidade e investigação da causa</w:t>
            </w:r>
          </w:p>
        </w:tc>
        <w:tc>
          <w:tcPr>
            <w:tcW w:type="dxa" w:w="1247"/>
            <w:shd w:val="clear" w:color="auto" w:fill="F1F6F4"/>
          </w:tcPr>
          <w:p>
            <w:pPr>
              <w:pStyle w:val="LumisTabela"/>
            </w:pPr>
            <w:r>
              <w:t>Mensal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LumisTabela"/>
            </w:pPr>
            <w:r>
              <w:t>E3. Reversão humana por subgrupo (registro de revisões)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Diferença de até 2 vezes entre subgrupos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Revisão das variáveis de acesso</w:t>
            </w:r>
          </w:p>
        </w:tc>
        <w:tc>
          <w:tcPr>
            <w:tcW w:type="dxa" w:w="1247"/>
          </w:tcPr>
          <w:p>
            <w:pPr>
              <w:pStyle w:val="LumisTabela"/>
            </w:pPr>
            <w:r>
              <w:t>Mensal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1F6F4"/>
          </w:tcPr>
          <w:p>
            <w:pPr>
              <w:pStyle w:val="LumisTabela"/>
            </w:pPr>
            <w:r>
              <w:t>E4. Representatividade dos dados no novo mercado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Amostra suficiente para medir o E1 em todo subgrupo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</w:pPr>
            <w:r>
              <w:t>O mercado não entra em produção</w:t>
            </w:r>
          </w:p>
        </w:tc>
        <w:tc>
          <w:tcPr>
            <w:tcW w:type="dxa" w:w="1247"/>
            <w:shd w:val="clear" w:color="auto" w:fill="F1F6F4"/>
          </w:tcPr>
          <w:p>
            <w:pPr>
              <w:pStyle w:val="LumisTabela"/>
            </w:pPr>
            <w:r>
              <w:t>Antes da entrada; depois, anual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LumisTabela"/>
              <w:keepNext/>
            </w:pPr>
            <w:r>
              <w:t>E5. Aprovação no crédito por faixa de CEP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Mínimo de 0,8 da taxa da faixa com mais aprovações¹</w:t>
            </w:r>
          </w:p>
        </w:tc>
        <w:tc>
          <w:tcPr>
            <w:tcW w:type="dxa" w:w="2948"/>
          </w:tcPr>
          <w:p>
            <w:pPr>
              <w:pStyle w:val="LumisTabela"/>
              <w:keepNext/>
            </w:pPr>
            <w:r>
              <w:t>Revisão humana e retirada de CEP e cobertura do modelo</w:t>
            </w:r>
          </w:p>
        </w:tc>
        <w:tc>
          <w:tcPr>
            <w:tcW w:type="dxa" w:w="1247"/>
          </w:tcPr>
          <w:p>
            <w:pPr>
              <w:pStyle w:val="LumisTabela"/>
              <w:keepNext/>
            </w:pPr>
            <w:r>
              <w:t>Mensal</w:t>
            </w:r>
          </w:p>
        </w:tc>
      </w:tr>
    </w:tbl>
    <w:p>
      <w:pPr>
        <w:pStyle w:val="Legenda"/>
      </w:pPr>
      <w:r>
        <w:t>Tabela 3. Indicadores de equidade. Limites propostos pela equipe; E1 e E2 retomam os indicadores 1 e 3 da Entrega 2.</w:t>
      </w:r>
    </w:p>
    <w:p>
      <w:pPr/>
      <w:r>
        <w:t>O limite de 2 vezes e a restrição imediata são os mesmos da Entrega 2. Entre 1,5 e 2 vezes, o subgrupo fica em alerta, com revisão humana de 10% dos casos. Pela linha de responsabilidade da Entrega 3, o responsável por Dados apura, o Head of AI Management decide a revisão ou a restrição e o CTO a executa.</w:t>
      </w:r>
    </w:p>
    <w:p>
      <w:pPr>
        <w:pStyle w:val="Ttulo1"/>
      </w:pPr>
      <w:r>
        <w:t>3. Privacidade e dados sensíveis</w:t>
      </w:r>
    </w:p>
    <w:p>
      <w:pPr/>
      <w:r>
        <w:t>Dado de saúde é dado pessoal sensível na LGPD (art. 5º, II)², e quase toda a base da Lumis é desse tipo.</w:t>
      </w:r>
    </w:p>
    <w:p>
      <w:pPr>
        <w:pStyle w:val="Commarcadores"/>
      </w:pPr>
      <w:r>
        <w:rPr>
          <w:b/>
        </w:rPr>
        <w:t>Revisão jurídica:</w:t>
      </w:r>
      <w:r>
        <w:t xml:space="preserve"> nenhum dos seis instrumentos de dados foi revisado desde a assinatura. Dos 5,9 mi de registros de clientes, 35,4% têm autorização fraca ou nenhuma, e a Prisma vence em 12/2026 </w:t>
      </w:r>
      <w:r>
        <w:rPr>
          <w:rStyle w:val="TagFonte"/>
        </w:rPr>
        <w:t>[fonte: Cap. 2, Quadro 7]</w:t>
      </w:r>
      <w:r>
        <w:t>.</w:t>
      </w:r>
    </w:p>
    <w:p>
      <w:pPr>
        <w:pStyle w:val="Commarcadores"/>
      </w:pPr>
      <w:r>
        <w:rPr>
          <w:b/>
        </w:rPr>
        <w:t>Política:</w:t>
      </w:r>
      <w:r>
        <w:t xml:space="preserve"> a política para dados de saúde está em elaboração desde 2024, sem versão aprovada </w:t>
      </w:r>
      <w:r>
        <w:rPr>
          <w:rStyle w:val="TagFonte"/>
        </w:rPr>
        <w:t>[fonte: Cap. 2, Quadro 17]</w:t>
      </w:r>
      <w:r>
        <w:t>.</w:t>
      </w:r>
    </w:p>
    <w:p>
      <w:pPr>
        <w:pStyle w:val="Commarcadores"/>
      </w:pPr>
      <w:r>
        <w:rPr>
          <w:b/>
        </w:rPr>
        <w:t>Perguntas sem resposta no caso:</w:t>
      </w:r>
      <w:r>
        <w:t xml:space="preserve"> os dados do Vila Ipê começam em 2019, três anos antes do contrato; a autorização da Sanare depende de anonimização irreversível (art. 12); a origem dos dados sintéticos </w:t>
      </w:r>
      <w:r>
        <w:rPr>
          <w:rStyle w:val="TagNoconsta"/>
        </w:rPr>
        <w:t>[não consta]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360"/>
        <w:gridCol w:w="3628"/>
        <w:gridCol w:w="4082"/>
      </w:tblGrid>
      <w:tr>
        <w:trPr>
          <w:tblHeader w:val="true"/>
          <w:cantSplit/>
        </w:trPr>
        <w:tc>
          <w:tcPr>
            <w:tcW w:type="dxa" w:w="136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LGPD</w:t>
            </w:r>
          </w:p>
        </w:tc>
        <w:tc>
          <w:tcPr>
            <w:tcW w:type="dxa" w:w="36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diz</w:t>
            </w:r>
          </w:p>
        </w:tc>
        <w:tc>
          <w:tcPr>
            <w:tcW w:type="dxa" w:w="4082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Onde a Lumis fica exposta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LumisTabela"/>
            </w:pPr>
            <w:r>
              <w:t>Art. 11</w:t>
            </w:r>
          </w:p>
        </w:tc>
        <w:tc>
          <w:tcPr>
            <w:tcW w:type="dxa" w:w="3628"/>
          </w:tcPr>
          <w:p>
            <w:pPr>
              <w:pStyle w:val="LumisTabela"/>
            </w:pPr>
            <w:r>
              <w:t>Dado sensível só com consentimento específico ou nas hipóteses listadas, como tutela da saúde por serviços de saúde</w:t>
            </w:r>
          </w:p>
        </w:tc>
        <w:tc>
          <w:tcPr>
            <w:tcW w:type="dxa" w:w="4082"/>
          </w:tcPr>
          <w:p>
            <w:pPr>
              <w:pStyle w:val="LumisTabela"/>
            </w:pPr>
            <w:r>
              <w:t xml:space="preserve">Não fica claro qual hipótese cobre treinar com dados de um hospital um produto vendido a outros </w:t>
            </w:r>
            <w:r>
              <w:rPr>
                <w:rStyle w:val="TagHiptese"/>
              </w:rPr>
              <w:t>[hipótese]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6F4"/>
          </w:tcPr>
          <w:p>
            <w:pPr>
              <w:pStyle w:val="LumisTabela"/>
            </w:pPr>
            <w:r>
              <w:t>Art. 11, § 4º</w:t>
            </w:r>
          </w:p>
        </w:tc>
        <w:tc>
          <w:tcPr>
            <w:tcW w:type="dxa" w:w="3628"/>
            <w:shd w:val="clear" w:color="auto" w:fill="F1F6F4"/>
          </w:tcPr>
          <w:p>
            <w:pPr>
              <w:pStyle w:val="LumisTabela"/>
            </w:pPr>
            <w:r>
              <w:t>Vedado o uso compartilhado de dado de saúde para vantagem econômica, salvo na prestação de serviços de saúde</w:t>
            </w:r>
          </w:p>
        </w:tc>
        <w:tc>
          <w:tcPr>
            <w:tcW w:type="dxa" w:w="4082"/>
            <w:shd w:val="clear" w:color="auto" w:fill="F1F6F4"/>
          </w:tcPr>
          <w:p>
            <w:pPr>
              <w:pStyle w:val="LumisTabela"/>
            </w:pPr>
            <w:r>
              <w:t xml:space="preserve">Plataforma que aprende com vários clientes e modelo de crédito treinado com dado de saúde </w:t>
            </w:r>
            <w:r>
              <w:rPr>
                <w:rStyle w:val="TagHiptese"/>
              </w:rPr>
              <w:t>[hipótese]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LumisTabela"/>
            </w:pPr>
            <w:r>
              <w:t>Art. 11, § 5º</w:t>
            </w:r>
          </w:p>
        </w:tc>
        <w:tc>
          <w:tcPr>
            <w:tcW w:type="dxa" w:w="3628"/>
          </w:tcPr>
          <w:p>
            <w:pPr>
              <w:pStyle w:val="LumisTabela"/>
            </w:pPr>
            <w:r>
              <w:t>Operadoras de planos de saúde não podem usar dado de saúde para selecionar riscos</w:t>
            </w:r>
          </w:p>
        </w:tc>
        <w:tc>
          <w:tcPr>
            <w:tcW w:type="dxa" w:w="4082"/>
          </w:tcPr>
          <w:p>
            <w:pPr>
              <w:pStyle w:val="LumisTabela"/>
            </w:pPr>
            <w:r>
              <w:t xml:space="preserve">Classificação de sinistros para 9 seguradoras, 74 mil decisões por mês, se alguma for operadora de saúde </w:t>
            </w:r>
            <w:r>
              <w:rPr>
                <w:rStyle w:val="TagHiptese"/>
              </w:rPr>
              <w:t>[hipótese]</w:t>
            </w:r>
            <w:r>
              <w:t xml:space="preserve"> </w:t>
            </w:r>
            <w:r>
              <w:rPr>
                <w:rStyle w:val="TagFonte"/>
              </w:rPr>
              <w:t>[fonte: Cap. 2, Quadros 3 e 12]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1F6F4"/>
          </w:tcPr>
          <w:p>
            <w:pPr>
              <w:pStyle w:val="LumisTabela"/>
            </w:pPr>
            <w:r>
              <w:t>Art. 33</w:t>
            </w:r>
          </w:p>
        </w:tc>
        <w:tc>
          <w:tcPr>
            <w:tcW w:type="dxa" w:w="3628"/>
            <w:shd w:val="clear" w:color="auto" w:fill="F1F6F4"/>
          </w:tcPr>
          <w:p>
            <w:pPr>
              <w:pStyle w:val="LumisTabela"/>
            </w:pPr>
            <w:r>
              <w:t>Transferência internacional só com proteção adequada no destino ou garantias, como cláusulas contratuais</w:t>
            </w:r>
          </w:p>
        </w:tc>
        <w:tc>
          <w:tcPr>
            <w:tcW w:type="dxa" w:w="4082"/>
            <w:shd w:val="clear" w:color="auto" w:fill="F1F6F4"/>
          </w:tcPr>
          <w:p>
            <w:pPr>
              <w:pStyle w:val="LumisTabela"/>
            </w:pPr>
            <w:r>
              <w:t xml:space="preserve">Todo novo país. Lei aplicável no México: </w:t>
            </w:r>
            <w:r>
              <w:rPr>
                <w:rStyle w:val="TagNoconsta"/>
              </w:rPr>
              <w:t>[não consta]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LumisTabela"/>
              <w:keepNext/>
            </w:pPr>
            <w:r>
              <w:t>Art. 52, II</w:t>
            </w:r>
          </w:p>
        </w:tc>
        <w:tc>
          <w:tcPr>
            <w:tcW w:type="dxa" w:w="3628"/>
          </w:tcPr>
          <w:p>
            <w:pPr>
              <w:pStyle w:val="LumisTabela"/>
              <w:keepNext/>
            </w:pPr>
            <w:r>
              <w:t>Multa de até 2% do faturamento, limitada a R$ 50 mi por infração</w:t>
            </w:r>
          </w:p>
        </w:tc>
        <w:tc>
          <w:tcPr>
            <w:tcW w:type="dxa" w:w="4082"/>
          </w:tcPr>
          <w:p>
            <w:pPr>
              <w:pStyle w:val="LumisTabela"/>
              <w:keepNext/>
            </w:pPr>
            <w:r>
              <w:t>O custo maior é retirar dados do treinamento e retreinar o modelo (Entrega 1)</w:t>
            </w:r>
          </w:p>
        </w:tc>
      </w:tr>
    </w:tbl>
    <w:p>
      <w:pPr>
        <w:pStyle w:val="Legenda"/>
      </w:pPr>
      <w:r>
        <w:t>Tabela 4. Pontos da LGPD que pesam na expansão. Fonte: Lei 13.709/2018; leitura da equipe, a confirmar com a DPO.</w:t>
      </w:r>
    </w:p>
    <w:p>
      <w:pPr/>
      <w:r>
        <w:t xml:space="preserve">Para o crédito, propomos uma regra fixa: dado de saúde não entra no modelo de crédito, que deve ser treinado só com dados financeiros autorizados. Hoje, só o Banco Meridiano autoriza esse uso </w:t>
      </w:r>
      <w:r>
        <w:rPr>
          <w:rStyle w:val="TagFonte"/>
        </w:rPr>
        <w:t>[fonte: Cap. 2, Quadro 7]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3175"/>
        <w:gridCol w:w="2268"/>
        <w:gridCol w:w="2494"/>
        <w:gridCol w:w="1134"/>
      </w:tblGrid>
      <w:tr>
        <w:trPr>
          <w:tblHeader w:val="true"/>
          <w:cantSplit/>
        </w:trPr>
        <w:tc>
          <w:tcPr>
            <w:tcW w:type="dxa" w:w="317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26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Hoje</w:t>
            </w:r>
          </w:p>
        </w:tc>
        <w:tc>
          <w:tcPr>
            <w:tcW w:type="dxa" w:w="249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113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Frequência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LumisTabela"/>
            </w:pPr>
            <w:r>
              <w:t>P1. % dos registros de clientes em treinamento com autorização explícita e revisão jurídica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0% com revisão jurídica; 64,6% com autorização explícita</w:t>
            </w:r>
          </w:p>
        </w:tc>
        <w:tc>
          <w:tcPr>
            <w:tcW w:type="dxa" w:w="2494"/>
          </w:tcPr>
          <w:p>
            <w:pPr>
              <w:pStyle w:val="LumisTabela"/>
            </w:pPr>
            <w:r>
              <w:t>100% antes de qualquer frente nova; registro sem base sai do treinamento</w:t>
            </w:r>
          </w:p>
        </w:tc>
        <w:tc>
          <w:tcPr>
            <w:tcW w:type="dxa" w:w="1134"/>
          </w:tcPr>
          <w:p>
            <w:pPr>
              <w:pStyle w:val="LumisTabela"/>
            </w:pPr>
            <w:r>
              <w:t>Trimestral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1F6F4"/>
          </w:tcPr>
          <w:p>
            <w:pPr>
              <w:pStyle w:val="LumisTabela"/>
            </w:pPr>
            <w:r>
              <w:t>P2. % dos acessos a dados de pacientes revisados nos últimos 90 dias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type="dxa" w:w="2494"/>
            <w:shd w:val="clear" w:color="auto" w:fill="F1F6F4"/>
          </w:tcPr>
          <w:p>
            <w:pPr>
              <w:pStyle w:val="LumisTabela"/>
            </w:pPr>
            <w:r>
              <w:t>100%</w:t>
            </w:r>
          </w:p>
        </w:tc>
        <w:tc>
          <w:tcPr>
            <w:tcW w:type="dxa" w:w="1134"/>
            <w:shd w:val="clear" w:color="auto" w:fill="F1F6F4"/>
          </w:tcPr>
          <w:p>
            <w:pPr>
              <w:pStyle w:val="LumisTabela"/>
            </w:pPr>
            <w:r>
              <w:t>A cada 90 dias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LumisTabela"/>
              <w:keepNext/>
            </w:pPr>
            <w:r>
              <w:t>P3. Incidentes de privacidade e dias até a ação corretiva</w:t>
            </w:r>
          </w:p>
        </w:tc>
        <w:tc>
          <w:tcPr>
            <w:tcW w:type="dxa" w:w="2268"/>
          </w:tcPr>
          <w:p>
            <w:pPr>
              <w:pStyle w:val="LumisTabela"/>
              <w:keepNext/>
            </w:pPr>
            <w:r>
              <w:t xml:space="preserve">Sem categoria própria no registro de incidentes </w:t>
            </w:r>
            <w:r>
              <w:rPr>
                <w:rStyle w:val="TagFonte"/>
              </w:rPr>
              <w:t>[fonte: Cap. 2, Quadro 14]</w:t>
            </w:r>
          </w:p>
        </w:tc>
        <w:tc>
          <w:tcPr>
            <w:tcW w:type="dxa" w:w="2494"/>
          </w:tcPr>
          <w:p>
            <w:pPr>
              <w:pStyle w:val="LumisTabela"/>
              <w:keepNext/>
            </w:pPr>
            <w:r>
              <w:t>Registro no dia em que é identificado; ação corretiva documentada</w:t>
            </w:r>
          </w:p>
        </w:tc>
        <w:tc>
          <w:tcPr>
            <w:tcW w:type="dxa" w:w="1134"/>
          </w:tcPr>
          <w:p>
            <w:pPr>
              <w:pStyle w:val="LumisTabela"/>
              <w:keepNext/>
            </w:pPr>
            <w:r>
              <w:t>Mensal</w:t>
            </w:r>
          </w:p>
        </w:tc>
      </w:tr>
    </w:tbl>
    <w:p>
      <w:pPr>
        <w:pStyle w:val="Legenda"/>
      </w:pPr>
      <w:r>
        <w:t>Tabela 5. Indicadores de privacidade. Responsável: DPO, como na Entrega 3. P2 e P3 dão número ao compromisso de Segurança e Privacidade.</w:t>
      </w:r>
    </w:p>
    <w:p>
      <w:pPr>
        <w:pStyle w:val="Ttulo1"/>
      </w:pPr>
      <w:r>
        <w:t>4. A métrica que vamos publicar</w:t>
      </w:r>
    </w:p>
    <w:p>
      <w:pPr/>
      <w:r>
        <w:t xml:space="preserve">A Lumis não publica hoje nenhuma métrica de impacto </w:t>
      </w:r>
      <w:r>
        <w:rPr>
          <w:rStyle w:val="TagFonte"/>
        </w:rPr>
        <w:t>[fonte: Cap. 2, Quadro 17]</w:t>
      </w:r>
      <w:r>
        <w:t>. Propomos publicar a taxa de falso negativo da priorização de atendimento, por subgrupo de idade e faixa de CEP. Foi esse o número que o Hospital Vila Ipê calculou por conta própria e enviou com a notificação, e ele mede o dano mais grave do produto: o paciente que precisava de prioridade e não a recebeu.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927"/>
        <w:gridCol w:w="7144"/>
      </w:tblGrid>
      <w:tr>
        <w:trPr>
          <w:tblHeader w:val="true"/>
          <w:cantSplit/>
        </w:trPr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7143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Definição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t>O que se publica</w:t>
            </w:r>
          </w:p>
        </w:tc>
        <w:tc>
          <w:tcPr>
            <w:tcW w:type="dxa" w:w="7143"/>
          </w:tcPr>
          <w:p>
            <w:pPr>
              <w:pStyle w:val="LumisTabela"/>
            </w:pPr>
            <w:r>
              <w:t>Falso negativo, sensibilidade e tamanho da amostra de cada subgrupo, mais a razão entre o pior e o melhor subgrupo e o valor do período anterior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Ponto de partida</w:t>
            </w:r>
          </w:p>
        </w:tc>
        <w:tc>
          <w:tcPr>
            <w:tcW w:type="dxa" w:w="7143"/>
            <w:shd w:val="clear" w:color="auto" w:fill="F1F6F4"/>
          </w:tcPr>
          <w:p>
            <w:pPr>
              <w:pStyle w:val="LumisTabela"/>
            </w:pPr>
            <w:r>
              <w:t xml:space="preserve">De 10,6% a 31,8%; razão de 3,0 vezes (1º semestre de 2026) </w:t>
            </w:r>
            <w:r>
              <w:rPr>
                <w:rStyle w:val="TagFonte"/>
              </w:rPr>
              <w:t>[fonte: Cap. 2, Quadro 10]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t>Meta</w:t>
            </w:r>
          </w:p>
        </w:tc>
        <w:tc>
          <w:tcPr>
            <w:tcW w:type="dxa" w:w="7143"/>
          </w:tcPr>
          <w:p>
            <w:pPr>
              <w:pStyle w:val="LumisTabela"/>
            </w:pPr>
            <w:r>
              <w:t>Razão de até 1,5 vez em 12 meses; nenhum subgrupo acima de 7,4%, o falso negativo da validação declarada, em 24 meses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Periodicidade</w:t>
            </w:r>
          </w:p>
        </w:tc>
        <w:tc>
          <w:tcPr>
            <w:tcW w:type="dxa" w:w="7143"/>
            <w:shd w:val="clear" w:color="auto" w:fill="F1F6F4"/>
          </w:tcPr>
          <w:p>
            <w:pPr>
              <w:pStyle w:val="LumisTabela"/>
            </w:pPr>
            <w:r>
              <w:t>Trimestral, no site da Lumis e no relatório de cada cliente; acompanhamento interno quinzenal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t>Responsável</w:t>
            </w:r>
          </w:p>
        </w:tc>
        <w:tc>
          <w:tcPr>
            <w:tcW w:type="dxa" w:w="7143"/>
          </w:tcPr>
          <w:p>
            <w:pPr>
              <w:pStyle w:val="LumisTabela"/>
            </w:pPr>
            <w:r>
              <w:t>Head of AI Management publica; responsável por Dados apura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Verificação</w:t>
            </w:r>
          </w:p>
        </w:tc>
        <w:tc>
          <w:tcPr>
            <w:tcW w:type="dxa" w:w="7143"/>
            <w:shd w:val="clear" w:color="auto" w:fill="F1F6F4"/>
          </w:tcPr>
          <w:p>
            <w:pPr>
              <w:pStyle w:val="LumisTabela"/>
            </w:pPr>
            <w:r>
              <w:t>Auditoria independente uma vez por ano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Se piorar</w:t>
            </w:r>
          </w:p>
        </w:tc>
        <w:tc>
          <w:tcPr>
            <w:tcW w:type="dxa" w:w="7143"/>
          </w:tcPr>
          <w:p>
            <w:pPr>
              <w:pStyle w:val="LumisTabela"/>
              <w:keepNext/>
            </w:pPr>
            <w:r>
              <w:t>Acima de 2 vezes, restrição imediata da recomendação automática no subgrupo</w:t>
            </w:r>
          </w:p>
        </w:tc>
      </w:tr>
    </w:tbl>
    <w:p>
      <w:pPr>
        <w:pStyle w:val="Legenda"/>
      </w:pPr>
      <w:r>
        <w:t>Tabela 6. Ficha da métrica pública. Metas propostas pela equipe.</w:t>
      </w:r>
    </w:p>
    <w:p>
      <w:pPr/>
      <w:r>
        <w:t xml:space="preserve">A sensibilidade é publicada junto para evitar que o número melhore às custas de marcar todos os pacientes como prioridade. Quando uma medida vira meta, ela deixa de ser boa medida (Goodhart) </w:t>
      </w:r>
      <w:r>
        <w:rPr>
          <w:rStyle w:val="TagFonte"/>
        </w:rPr>
        <w:t>[fonte: Cap. 2, seção 2]</w:t>
      </w:r>
      <w:r>
        <w:t>.</w:t>
      </w:r>
    </w:p>
    <w:p>
      <w:pPr>
        <w:pStyle w:val="Ttulo1"/>
      </w:pPr>
      <w:r>
        <w:t>5. Condições para a expansão</w:t>
      </w:r>
    </w:p>
    <w:p>
      <w:pPr/>
      <w:r>
        <w:t>Recomendamos que nenhuma frente nova entre em produção antes de:</w:t>
      </w:r>
    </w:p>
    <w:p>
      <w:pPr>
        <w:pStyle w:val="Numerada"/>
      </w:pPr>
      <w:r>
        <w:t>falso negativo por subgrupo dentro do limite no Brasil, com a recomendação automática já restrita nos subgrupos acima dele;</w:t>
      </w:r>
    </w:p>
    <w:p>
      <w:pPr>
        <w:pStyle w:val="Numerada"/>
      </w:pPr>
      <w:r>
        <w:t>validação local, por subgrupo, em cada novo mercado;</w:t>
      </w:r>
    </w:p>
    <w:p>
      <w:pPr>
        <w:pStyle w:val="Numerada"/>
      </w:pPr>
      <w:r>
        <w:t>política de privacidade aprovada e os seis instrumentos de dados revisados, com aditivos para a Prisma (antes de 12/2026) e o Vila Ipê (antes de 03/2027);</w:t>
      </w:r>
    </w:p>
    <w:p>
      <w:pPr>
        <w:pStyle w:val="Numerada"/>
      </w:pPr>
      <w:r>
        <w:t>relatório de impacto à proteção de dados para a plataforma e para cada país (LGPD, art. 38);</w:t>
      </w:r>
    </w:p>
    <w:p>
      <w:pPr>
        <w:pStyle w:val="Numerada"/>
      </w:pPr>
      <w:r>
        <w:t>no crédito, dado de saúde fora do modelo e diferença de aprovação por faixa de CEP acompanhada desde o primeiro dia;</w:t>
      </w:r>
    </w:p>
    <w:p>
      <w:pPr>
        <w:pStyle w:val="Numerada"/>
      </w:pPr>
      <w:r>
        <w:t>métrica pública de falso negativo por subgrupo já publicada.</w:t>
      </w:r>
    </w:p>
    <w:p>
      <w:pPr/>
      <w:r>
        <w:t>A entrega dá limite e responsável aos compromissos de Não Amplificação de Danos e de Segurança e Privacidade, e a métrica pública dá número ao compromisso de Transparência. Nos subgrupos acima do limite, a restrição é imediata, como a Entrega 2 recomendou, e não espera novas leituras. As condições acima seguem para o memorando ao conselho como condições prévias ao aporte.</w:t>
      </w:r>
    </w:p>
    <w:p>
      <w:pPr>
        <w:pStyle w:val="LumisRtulo"/>
      </w:pPr>
      <w:r>
        <w:t>Referências</w:t>
      </w:r>
    </w:p>
    <w:p>
      <w:pPr>
        <w:pStyle w:val="LumisNota"/>
      </w:pPr>
      <w:r>
        <w:t>1. ESTADOS UNIDOS. 29 CFR § 1607.4: Information on impact (Uniform Guidelines on Employee Selection Procedures). Disponível em: https://www.law.cornell.edu/cfr/text/29/1607.4. Acesso em: 7 out. 2026. Usada por analogia: a regra foi criada para seleção de emprego.</w:t>
      </w:r>
    </w:p>
    <w:p>
      <w:pPr>
        <w:pStyle w:val="LumisNota"/>
      </w:pPr>
      <w:r>
        <w:t>2. BRASIL. Lei nº 13.709, de 14 de agosto de 2018. Lei Geral de Proteção de Dados Pessoais (LGPD). Texto compilado. Disponível em: https://www.planalto.gov.br/ccivil_03/_ato2015-2018/2018/lei/l13709.htm. Acesso em: 7 out. 2026.</w:t>
      </w:r>
    </w:p>
    <w:p>
      <w:pPr>
        <w:pStyle w:val="LumisNota"/>
      </w:pPr>
      <w:r>
        <w:t>Dados da Lumis: Cap. 2, Anexo A. Cálculos, notas e limites são da equipe. O detalhamento está no material de apoio da pasta da entrega. A IA generativa (Claude Code, Anthropic) apoiou a análise, a conferência das fontes e a redação, com revisão da equipe.</w:t>
      </w:r>
    </w:p>
    <w:sectPr w:rsidR="00BF58EC" w:rsidRPr="000B48B4" w:rsidSect="00034616">
      <w:headerReference w:type="default" r:id="rId13"/>
      <w:footerReference w:type="default" r:id="rId14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8766" w14:textId="77777777" w:rsidR="00CE6510" w:rsidRDefault="00CE6510">
      <w:pPr>
        <w:spacing w:after="0" w:line="240" w:lineRule="auto"/>
      </w:pPr>
      <w:r>
        <w:separator/>
      </w:r>
    </w:p>
  </w:endnote>
  <w:endnote w:type="continuationSeparator" w:id="0">
    <w:p w14:paraId="21CE8619" w14:textId="77777777" w:rsidR="00CE6510" w:rsidRDefault="00CE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2516" w14:textId="77777777" w:rsidR="00BF58EC" w:rsidRPr="000B48B4" w:rsidRDefault="00000000">
    <w:pPr>
      <w:pStyle w:val="Rodap"/>
      <w:jc w:val="right"/>
      <w:rPr>
        <w:lang w:val="pt-BR"/>
      </w:rPr>
    </w:pPr>
    <w:r w:rsidRPr="000B48B4">
      <w:rPr>
        <w:color w:val="6B7C85"/>
        <w:sz w:val="17"/>
        <w:lang w:val="pt-BR"/>
      </w:rPr>
      <w:t xml:space="preserve">Lumis Intelligence · Gestão em IA (FIAP) · página </w:t>
    </w:r>
    <w:r>
      <w:rPr>
        <w:color w:val="6B7C85"/>
        <w:sz w:val="17"/>
      </w:rPr>
      <w:fldChar w:fldCharType="begin"/>
    </w:r>
    <w:r w:rsidRPr="000B48B4">
      <w:rPr>
        <w:color w:val="6B7C85"/>
        <w:sz w:val="17"/>
        <w:lang w:val="pt-BR"/>
      </w:rPr>
      <w:instrText>PAGE</w:instrText>
    </w:r>
    <w:r w:rsidR="000B48B4">
      <w:rPr>
        <w:color w:val="6B7C85"/>
        <w:sz w:val="17"/>
      </w:rPr>
      <w:fldChar w:fldCharType="separate"/>
    </w:r>
    <w:r w:rsidR="000B48B4" w:rsidRPr="000B48B4">
      <w:rPr>
        <w:noProof/>
        <w:color w:val="6B7C85"/>
        <w:sz w:val="17"/>
        <w:lang w:val="pt-BR"/>
      </w:rPr>
      <w:t>2</w:t>
    </w:r>
    <w:r>
      <w:rPr>
        <w:color w:val="6B7C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7813" w14:textId="77777777" w:rsidR="00CE6510" w:rsidRDefault="00CE6510">
      <w:pPr>
        <w:spacing w:after="0" w:line="240" w:lineRule="auto"/>
      </w:pPr>
      <w:r>
        <w:separator/>
      </w:r>
    </w:p>
  </w:footnote>
  <w:footnote w:type="continuationSeparator" w:id="0">
    <w:p w14:paraId="1EA068D1" w14:textId="77777777" w:rsidR="00CE6510" w:rsidRDefault="00CE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AC2F" w14:textId="77777777" w:rsidR="00BF58EC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7FEFCB95" wp14:editId="2D620087">
          <wp:extent cx="1152000" cy="248123"/>
          <wp:effectExtent l="0" t="0" r="0" b="0"/>
          <wp:docPr id="1058981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>F2-E5 · Due Diligence ESG</w:t>
    </w:r>
    <w:proofErr w:type="spellStart"/>
    <w:r>
      <w:rPr>
        <w:color w:val="6B7C85"/>
        <w:sz w:val="17"/>
      </w:rPr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5996">
    <w:abstractNumId w:val="8"/>
  </w:num>
  <w:num w:numId="2" w16cid:durableId="1505046805">
    <w:abstractNumId w:val="6"/>
  </w:num>
  <w:num w:numId="3" w16cid:durableId="1496456512">
    <w:abstractNumId w:val="5"/>
  </w:num>
  <w:num w:numId="4" w16cid:durableId="1897742686">
    <w:abstractNumId w:val="4"/>
  </w:num>
  <w:num w:numId="5" w16cid:durableId="1141658611">
    <w:abstractNumId w:val="7"/>
  </w:num>
  <w:num w:numId="6" w16cid:durableId="1654798637">
    <w:abstractNumId w:val="3"/>
  </w:num>
  <w:num w:numId="7" w16cid:durableId="670180548">
    <w:abstractNumId w:val="2"/>
  </w:num>
  <w:num w:numId="8" w16cid:durableId="390352732">
    <w:abstractNumId w:val="1"/>
  </w:num>
  <w:num w:numId="9" w16cid:durableId="14494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B4"/>
    <w:rsid w:val="0015074B"/>
    <w:rsid w:val="0029639D"/>
    <w:rsid w:val="00326F90"/>
    <w:rsid w:val="009E3794"/>
    <w:rsid w:val="00AA1D8D"/>
    <w:rsid w:val="00B47730"/>
    <w:rsid w:val="00BF58EC"/>
    <w:rsid w:val="00CB0664"/>
    <w:rsid w:val="00CE6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A207A"/>
  <w14:defaultImageDpi w14:val="300"/>
  <w15:docId w15:val="{230BA697-2509-4DA5-87ED-DF7BF797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2943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Halfen Simon</cp:lastModifiedBy>
  <cp:revision>2</cp:revision>
  <dcterms:created xsi:type="dcterms:W3CDTF">2013-12-23T23:15:00Z</dcterms:created>
  <dcterms:modified xsi:type="dcterms:W3CDTF">2026-10-06T21:29:00Z</dcterms:modified>
  <cp:category/>
</cp:coreProperties>
</file>