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5760000" cy="2601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ixe_cap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0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umisRótulo"/>
        <w:spacing w:before="560"/>
      </w:pPr>
      <w:r>
        <w:t>Fase X · Entrega Y</w:t>
      </w:r>
    </w:p>
    <w:p>
      <w:pPr>
        <w:pStyle w:val="Title"/>
      </w:pPr>
      <w:r>
        <w:t>Título da entrega</w:t>
      </w:r>
    </w:p>
    <w:p>
      <w:pPr>
        <w:pStyle w:val="Subtitle"/>
      </w:pPr>
      <w:r>
        <w:t>Subtítulo: a pergunta que o documento responde, em uma linha</w:t>
      </w:r>
    </w:p>
    <w:p>
      <w:pPr>
        <w:spacing w:before="2200"/>
      </w:pPr>
      <w:r>
        <w:drawing>
          <wp:inline xmlns:a="http://schemas.openxmlformats.org/drawingml/2006/main" xmlns:pic="http://schemas.openxmlformats.org/drawingml/2006/picture">
            <wp:extent cx="1872000" cy="40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mis-insight_horizont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umisNota"/>
      </w:pPr>
      <w:r>
        <w:t>Gestão em IA · FIAP</w:t>
      </w:r>
    </w:p>
    <w:p>
      <w:pPr>
        <w:pStyle w:val="LumisNota"/>
      </w:pPr>
      <w:r>
        <w:t>Equipe: Nome Sobrenome, Nome Sobrenome, Nome Sobrenome</w:t>
      </w:r>
    </w:p>
    <w:p>
      <w:pPr>
        <w:pStyle w:val="LumisNota"/>
      </w:pPr>
      <w:r>
        <w:t>Data: dd/mm/aaaa</w:t>
      </w:r>
    </w:p>
    <w:p>
      <w:r>
        <w:br w:type="page"/>
      </w:r>
    </w:p>
    <w:p>
      <w:pPr>
        <w:pStyle w:val="LumisRótulo"/>
      </w:pPr>
      <w:r>
        <w:t>Em uma frase</w:t>
      </w:r>
    </w:p>
    <w:p>
      <w:pPr>
        <w:pStyle w:val="LumisDestaque"/>
      </w:pPr>
      <w:r>
        <w:t>A conclusão abre o documento. Escreva aqui, em duas ou três linhas, o que o leitor precisa saber se parar de ler neste ponto.</w:t>
      </w:r>
    </w:p>
    <w:p>
      <w:pPr>
        <w:pStyle w:val="Heading1"/>
      </w:pPr>
      <w:r>
        <w:t>1. Título de seção</w:t>
      </w:r>
    </w:p>
    <w:p>
      <w:r>
        <w:t xml:space="preserve">Texto corrido em Calibri 11, cor tinta, entrelinha 1,15. O dado que sustenta uma decisão leva a origem logo depois da frase </w:t>
      </w:r>
      <w:r>
        <w:rPr>
          <w:rStyle w:val="TagFonte"/>
        </w:rPr>
        <w:t>[fonte: Cap. 2, Quadro 9]</w:t>
      </w:r>
      <w:r>
        <w:t xml:space="preserve">. Leitura da equipe sem quadro que a sustente fica marcada como </w:t>
      </w:r>
      <w:r>
        <w:rPr>
          <w:rStyle w:val="TagHipótese"/>
        </w:rPr>
        <w:t>[hipótese]</w:t>
      </w:r>
      <w:r>
        <w:t xml:space="preserve">, e o que não está no material aparece como </w:t>
      </w:r>
      <w:r>
        <w:rPr>
          <w:rStyle w:val="TagNãoconsta"/>
        </w:rPr>
        <w:t>[não consta]</w:t>
      </w:r>
      <w:r>
        <w:t xml:space="preserve">. Um ponto que contradiz um compromisso vigente leva </w:t>
      </w:r>
      <w:r>
        <w:rPr>
          <w:rStyle w:val="TagRisco"/>
        </w:rPr>
        <w:t>[risco: C2]</w:t>
      </w:r>
      <w:r>
        <w:t>.</w:t>
      </w:r>
    </w:p>
    <w:p>
      <w:pPr>
        <w:pStyle w:val="Heading2"/>
      </w:pPr>
      <w:r>
        <w:t>1.1 Subseção</w:t>
      </w:r>
    </w:p>
    <w:p>
      <w:r>
        <w:t>Subseções em Georgia 12,5. No corpo, usar no máximo dois níveis. O terceiro, em Calibri negrito, serve para rotular tabelas e listas longas.</w:t>
      </w:r>
    </w:p>
    <w:p>
      <w:pPr>
        <w:pStyle w:val="Heading3"/>
      </w:pPr>
      <w:r>
        <w:t>Tabela padrão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2D3A"/>
          </w:tcPr>
          <w:p>
            <w:pPr>
              <w:pStyle w:val="LumisTabela"/>
            </w:pPr>
            <w:r/>
            <w:r>
              <w:rPr>
                <w:b/>
                <w:color w:val="FFFFFF"/>
              </w:rPr>
              <w:t>Coluna A</w:t>
            </w:r>
          </w:p>
        </w:tc>
        <w:tc>
          <w:tcPr>
            <w:tcW w:type="dxa" w:w="3024"/>
            <w:shd w:val="clear" w:color="auto" w:fill="0F2D3A"/>
          </w:tcPr>
          <w:p>
            <w:pPr>
              <w:pStyle w:val="LumisTabela"/>
            </w:pPr>
            <w:r/>
            <w:r>
              <w:rPr>
                <w:b/>
                <w:color w:val="FFFFFF"/>
              </w:rPr>
              <w:t>Coluna B</w:t>
            </w:r>
          </w:p>
        </w:tc>
        <w:tc>
          <w:tcPr>
            <w:tcW w:type="dxa" w:w="3024"/>
            <w:shd w:val="clear" w:color="auto" w:fill="0F2D3A"/>
          </w:tcPr>
          <w:p>
            <w:pPr>
              <w:pStyle w:val="LumisTabela"/>
            </w:pPr>
            <w:r/>
            <w:r>
              <w:rPr>
                <w:b/>
                <w:color w:val="FFFFFF"/>
              </w:rPr>
              <w:t>Coluna C</w:t>
            </w:r>
          </w:p>
        </w:tc>
      </w:tr>
      <w:tr>
        <w:tc>
          <w:tcPr>
            <w:tcW w:type="dxa" w:w="3024"/>
          </w:tcPr>
          <w:p>
            <w:pPr>
              <w:pStyle w:val="LumisTabela"/>
            </w:pPr>
            <w:r/>
            <w:r>
              <w:t>Item</w:t>
            </w:r>
          </w:p>
        </w:tc>
        <w:tc>
          <w:tcPr>
            <w:tcW w:type="dxa" w:w="3024"/>
          </w:tcPr>
          <w:p>
            <w:pPr>
              <w:pStyle w:val="LumisTabela"/>
            </w:pPr>
            <w:r/>
            <w:r>
              <w:t>Valor</w:t>
            </w:r>
          </w:p>
        </w:tc>
        <w:tc>
          <w:tcPr>
            <w:tcW w:type="dxa" w:w="3024"/>
          </w:tcPr>
          <w:p>
            <w:pPr>
              <w:pStyle w:val="LumisTabela"/>
            </w:pPr>
            <w:r/>
            <w:r>
              <w:t>[fonte: ...]</w:t>
            </w:r>
          </w:p>
        </w:tc>
      </w:tr>
      <w:tr>
        <w:tc>
          <w:tcPr>
            <w:tcW w:type="dxa" w:w="3024"/>
            <w:shd w:val="clear" w:color="auto" w:fill="F1F6F4"/>
          </w:tcPr>
          <w:p>
            <w:pPr>
              <w:pStyle w:val="LumisTabela"/>
            </w:pPr>
            <w:r/>
            <w:r>
              <w:t>Item</w:t>
            </w:r>
          </w:p>
        </w:tc>
        <w:tc>
          <w:tcPr>
            <w:tcW w:type="dxa" w:w="3024"/>
            <w:shd w:val="clear" w:color="auto" w:fill="F1F6F4"/>
          </w:tcPr>
          <w:p>
            <w:pPr>
              <w:pStyle w:val="LumisTabela"/>
            </w:pPr>
            <w:r/>
            <w:r>
              <w:t>Valor</w:t>
            </w:r>
          </w:p>
        </w:tc>
        <w:tc>
          <w:tcPr>
            <w:tcW w:type="dxa" w:w="3024"/>
            <w:shd w:val="clear" w:color="auto" w:fill="F1F6F4"/>
          </w:tcPr>
          <w:p>
            <w:pPr>
              <w:pStyle w:val="LumisTabela"/>
            </w:pPr>
            <w:r/>
            <w:r>
              <w:t>[hipótese]</w:t>
            </w:r>
          </w:p>
        </w:tc>
      </w:tr>
      <w:tr>
        <w:tc>
          <w:tcPr>
            <w:tcW w:type="dxa" w:w="3024"/>
          </w:tcPr>
          <w:p>
            <w:pPr>
              <w:pStyle w:val="LumisTabela"/>
            </w:pPr>
            <w:r/>
            <w:r>
              <w:t>Item</w:t>
            </w:r>
          </w:p>
        </w:tc>
        <w:tc>
          <w:tcPr>
            <w:tcW w:type="dxa" w:w="3024"/>
          </w:tcPr>
          <w:p>
            <w:pPr>
              <w:pStyle w:val="LumisTabela"/>
            </w:pPr>
            <w:r/>
            <w:r>
              <w:t>Valor</w:t>
            </w:r>
          </w:p>
        </w:tc>
        <w:tc>
          <w:tcPr>
            <w:tcW w:type="dxa" w:w="3024"/>
          </w:tcPr>
          <w:p>
            <w:pPr>
              <w:pStyle w:val="LumisTabela"/>
            </w:pPr>
            <w:r/>
            <w:r>
              <w:t>[não consta]</w:t>
            </w:r>
          </w:p>
        </w:tc>
      </w:tr>
    </w:tbl>
    <w:p>
      <w:pPr>
        <w:pStyle w:val="Caption"/>
      </w:pPr>
      <w:r>
        <w:t>Tabela 1. Legenda curta abaixo da tabela, em Calibri 9 itálico, com a fonte dos dados no fim.</w:t>
      </w:r>
    </w:p>
    <w:p>
      <w:pPr>
        <w:pStyle w:val="Heading1"/>
      </w:pPr>
      <w:r>
        <w:t>2. Fechamento</w:t>
      </w:r>
    </w:p>
    <w:p>
      <w:r>
        <w:t>Próximos passos e decisões registradas. A conclusão já abriu o documento e não se repete aqui.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6B7C85"/>
        <w:sz w:val="17"/>
      </w:rPr>
      <w:t xml:space="preserve">Lumis Intelligence · Gestão em IA (FIAP) · página </w:t>
    </w:r>
    <w:r>
      <w:rPr>
        <w:color w:val="6B7C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pBdr>
        <w:bottom w:val="single" w:sz="4" w:space="4" w:color="0F2D3A"/>
      </w:pBdr>
    </w:pPr>
    <w:r/>
    <w:r>
      <w:drawing>
        <wp:inline xmlns:a="http://schemas.openxmlformats.org/drawingml/2006/main" xmlns:pic="http://schemas.openxmlformats.org/drawingml/2006/picture">
          <wp:extent cx="1152000" cy="2481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color w:val="6B7C85"/>
        <w:sz w:val="17"/>
      </w:rPr>
      <w:tab/>
      <w:t>FX-EY · Nome da entrega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 w:cs="Calibri" w:eastAsia="Calibri"/>
      <w:b w:val="0"/>
      <w:i w:val="0"/>
      <w:color w:val="1825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  <w:pBdr>
        <w:bottom w:val="single" w:sz="8" w:space="4" w:color="3DBE93"/>
      </w:pBdr>
    </w:pPr>
    <w:rPr>
      <w:rFonts w:ascii="Georgia" w:hAnsi="Georgia" w:cs="Georgia" w:eastAsia="Georgia"/>
      <w:b w:val="0"/>
      <w:bCs/>
      <w:i w:val="0"/>
      <w:color w:val="0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hAnsi="Georgia" w:cs="Georgia" w:eastAsia="Georgia"/>
      <w:b w:val="0"/>
      <w:bCs/>
      <w:i w:val="0"/>
      <w:color w:val="0F2D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rFonts w:ascii="Calibri" w:hAnsi="Calibri" w:cs="Calibri" w:eastAsia="Calibri"/>
      <w:b/>
      <w:bCs/>
      <w:i w:val="0"/>
      <w:color w:val="0F2D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="Georgia" w:hAnsi="Georgia" w:cs="Georgia" w:eastAsia="Georgia"/>
      <w:b w:val="0"/>
      <w:i w:val="0"/>
      <w:color w:val="0F2D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76" w:lineRule="auto"/>
    </w:pPr>
    <w:rPr>
      <w:rFonts w:ascii="Calibri" w:hAnsi="Calibri" w:cs="Calibri" w:eastAsia="Calibri"/>
      <w:b w:val="0"/>
      <w:i w:val="0"/>
      <w:iCs/>
      <w:color w:val="6B7C8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 w:cs="Calibri" w:eastAsia="Calibri"/>
      <w:b w:val="0"/>
      <w:bCs/>
      <w:i/>
      <w:color w:val="6B7C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spacing w:before="120" w:after="200" w:line="300" w:lineRule="auto"/>
      <w:ind w:left="227"/>
      <w:pBdr>
        <w:left w:val="single" w:sz="24" w:space="10" w:color="3DBE93"/>
      </w:pBdr>
      <w:shd w:val="clear" w:color="auto" w:fill="EEF7F3"/>
    </w:pPr>
    <w:rPr>
      <w:rFonts w:ascii="Georgia" w:hAnsi="Georgia" w:cs="Georgia" w:eastAsia="Georgia"/>
      <w:b w:val="0"/>
      <w:i/>
      <w:color w:val="0F2D3A"/>
      <w:sz w:val="24"/>
    </w:rPr>
  </w:style>
  <w:style w:type="paragraph" w:customStyle="1" w:styleId="LumisRótulo">
    <w:name w:val="Lumis Rótulo"/>
    <w:basedOn w:val="Normal"/>
    <w:qFormat/>
    <w:pPr>
      <w:spacing w:before="0" w:after="40" w:line="240" w:lineRule="auto"/>
    </w:pPr>
    <w:rPr>
      <w:rFonts w:ascii="Calibri" w:hAnsi="Calibri" w:cs="Calibri" w:eastAsia="Calibri"/>
      <w:b/>
      <w:i w:val="0"/>
      <w:color w:val="1E8C6B"/>
      <w:sz w:val="18"/>
      <w:spacing w:val="30"/>
      <w:caps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rFonts w:ascii="Calibri" w:hAnsi="Calibri" w:cs="Calibri" w:eastAsia="Calibri"/>
      <w:b w:val="0"/>
      <w:i w:val="0"/>
      <w:color w:val="18252C"/>
      <w:sz w:val="19"/>
    </w:rPr>
  </w:style>
  <w:style w:type="paragraph" w:customStyle="1" w:styleId="LumisNota">
    <w:name w:val="Lumis Nota"/>
    <w:basedOn w:val="Normal"/>
    <w:qFormat/>
    <w:pPr>
      <w:spacing w:before="0" w:after="80" w:line="264" w:lineRule="auto"/>
    </w:pPr>
    <w:rPr>
      <w:rFonts w:ascii="Calibri" w:hAnsi="Calibri" w:cs="Calibri" w:eastAsia="Calibri"/>
      <w:b w:val="0"/>
      <w:i w:val="0"/>
      <w:color w:val="6B7C85"/>
      <w:sz w:val="18"/>
    </w:rPr>
  </w:style>
  <w:style w:type="character" w:customStyle="1" w:styleId="TagFonte">
    <w:name w:val="Tag Fonte"/>
    <w:qFormat/>
    <w:rPr>
      <w:rFonts w:ascii="Calibri" w:hAnsi="Calibri" w:cs="Calibri" w:eastAsia="Calibri"/>
      <w:b/>
      <w:i w:val="0"/>
      <w:color w:val="1E8C6B"/>
      <w:sz w:val="18"/>
    </w:rPr>
  </w:style>
  <w:style w:type="character" w:customStyle="1" w:styleId="TagHipótese">
    <w:name w:val="Tag Hipótese"/>
    <w:qFormat/>
    <w:rPr>
      <w:rFonts w:ascii="Calibri" w:hAnsi="Calibri" w:cs="Calibri" w:eastAsia="Calibri"/>
      <w:b/>
      <w:i w:val="0"/>
      <w:color w:val="B7791F"/>
      <w:sz w:val="18"/>
    </w:rPr>
  </w:style>
  <w:style w:type="character" w:customStyle="1" w:styleId="TagNãoconsta">
    <w:name w:val="Tag Não consta"/>
    <w:qFormat/>
    <w:rPr>
      <w:rFonts w:ascii="Calibri" w:hAnsi="Calibri" w:cs="Calibri" w:eastAsia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hAnsi="Calibri" w:cs="Calibri" w:eastAsia="Calibri"/>
      <w:b/>
      <w:i w:val="0"/>
      <w:color w:val="B4442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