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Ativo: Dados e Métricas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Lumis Intelligence | Fase 2</w:t>
      </w:r>
      <w:r>
        <w:rPr>
          <w:lang w:val="pt-BR"/>
        </w:rPr>
      </w:r>
    </w:p>
    <w:p>
      <w:pPr/>
      <w:r>
        <w:t>Esta entrega audita a composição do ativo de dados da Lumis, a robustez contratual de sua base, as principais variáveis do modelo, o desempenho real em produção, as métricas usadas comercialmente e um conjunto enxuto de indicadores de gestão capazes de alterar decisões.</w:t>
      </w:r>
    </w:p>
    <w:p>
      <w:pPr>
        <w:pStyle w:val="Ttulo1"/>
      </w:pPr>
      <w:r>
        <w:t>1. Síntese executiva</w:t>
      </w:r>
    </w:p>
    <w:p>
      <w:pPr/>
      <w:r>
        <w:t>A auditoria aponta três fragilidades centrais. Primeiro, parte relevante dos dados de clientes utilizados no treinamento não possui autorização robusta: 2,09 milhões de registros têm base contratual frágil ou inexistente para treinamento, equivalentes a 35,4% dos dados de origem contratual e aproximadamente 9,5% da base total de 22 milhões de registros. Nenhum dos seis instrumentos informados passou por revisão jurídica desde a assinatura.</w:t>
      </w:r>
    </w:p>
    <w:p>
      <w:pPr/>
      <w:r>
        <w:t>Segundo, algumas variáveis de alto peso não medem diretamente a condição clínica que pretendem representar. Número de atendimentos, custo acumulado, tempo entre consulta e exame, faixa de CEP, tipo de cobertura e faltas podem funcionar como proxies de acesso, condição socioeconômica, organização da rede ou capacidade de pagamento. O risco é transformar desigualdades de acesso em sinais aparentemente clínicos.</w:t>
      </w:r>
    </w:p>
    <w:p>
      <w:pPr/>
      <w:r>
        <w:t>Terceiro, o desempenho observado em campo é materialmente inferior ao conjunto de validação de 2023: a acurácia caiu 6,5 pontos percentuais, a sensibilidade caiu 10,3 p.p. e o falso negativo subiu 10,3 p.p. O problema é ainda mais grave por subgrupo: pacientes com 60 anos ou mais em CEP D/E apresentam 31,8% de falso negativo, exatamente três vezes a taxa do melhor subgrupo, 18–59 anos em CEP A/B (10,6%).</w:t>
      </w:r>
    </w:p>
    <w:p>
      <w:pPr>
        <w:pStyle w:val="LumisDestaque"/>
      </w:pPr>
      <w:r>
        <w:rPr>
          <w:b/>
        </w:rPr>
        <w:t xml:space="preserve">Conclusão executiva — </w:t>
      </w:r>
      <w:r>
        <w:t>o ativo de dados da Lumis é relevante em escala, mas não pode ser tratado como plenamente defensável sem corrigir fragilidades contratuais, monitorar proxies e substituir métricas comerciais frágeis por indicadores que governem decisões reais.</w:t>
      </w:r>
    </w:p>
    <w:p>
      <w:pPr>
        <w:pStyle w:val="Ttulo1"/>
      </w:pPr>
      <w:r>
        <w:t>2. Origem dos dados e base contratual/legal</w:t>
      </w:r>
    </w:p>
    <w:p>
      <w:pPr/>
      <w:r>
        <w:t>A base de treinamento soma 22,0 milhões de registros. Desses, 5,9 milhões (26,8%) são de clientes; o restante vem de DATASUS e dados sintéticos internos. O ponto crítico não é apenas a quantidade, mas o direito de uso para treinamento e a atualidade da revisão jurídica.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701"/>
        <w:gridCol w:w="1644"/>
        <w:gridCol w:w="2721"/>
        <w:gridCol w:w="1304"/>
        <w:gridCol w:w="1701"/>
      </w:tblGrid>
      <w:tr>
        <w:trPr>
          <w:tblHeader w:val="true"/>
          <w:cantSplit/>
        </w:trPr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164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72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Situação para treinamento</w:t>
            </w:r>
          </w:p>
        </w:tc>
        <w:tc>
          <w:tcPr>
            <w:tcW w:type="dxa" w:w="130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Vencimento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Leitura de risco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</w:pPr>
            <w:r>
              <w:t>Hospital Vila Ipê</w:t>
            </w:r>
          </w:p>
        </w:tc>
        <w:tc>
          <w:tcPr>
            <w:tcW w:type="dxa" w:w="1644"/>
          </w:tcPr>
          <w:p>
            <w:pPr>
              <w:pStyle w:val="LumisTabela"/>
            </w:pPr>
            <w:r>
              <w:t>1,2 mi atendimentos</w:t>
            </w:r>
          </w:p>
        </w:tc>
        <w:tc>
          <w:tcPr>
            <w:tcW w:type="dxa" w:w="2721"/>
          </w:tcPr>
          <w:p>
            <w:pPr>
              <w:pStyle w:val="LumisTabela"/>
            </w:pPr>
            <w:r>
              <w:t>Cláusula genérica: "melhoria contínua do serviço"</w:t>
            </w:r>
          </w:p>
        </w:tc>
        <w:tc>
          <w:tcPr>
            <w:tcW w:type="dxa" w:w="1304"/>
          </w:tcPr>
          <w:p>
            <w:pPr>
              <w:pStyle w:val="LumisTabela"/>
            </w:pPr>
            <w:r>
              <w:t>03/2027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Frágil / ambígua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Rede Sanare</w:t>
            </w:r>
          </w:p>
        </w:tc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3,4 mi atendimentos</w:t>
            </w:r>
          </w:p>
        </w:tc>
        <w:tc>
          <w:tcPr>
            <w:tcW w:type="dxa" w:w="2721"/>
            <w:shd w:val="clear" w:color="auto" w:fill="F1F6F4"/>
          </w:tcPr>
          <w:p>
            <w:pPr>
              <w:pStyle w:val="LumisTabela"/>
            </w:pPr>
            <w:r>
              <w:t>Sim, uso agregado e anonimizado</w:t>
            </w:r>
          </w:p>
        </w:tc>
        <w:tc>
          <w:tcPr>
            <w:tcW w:type="dxa" w:w="1304"/>
            <w:shd w:val="clear" w:color="auto" w:fill="F1F6F4"/>
          </w:tcPr>
          <w:p>
            <w:pPr>
              <w:pStyle w:val="LumisTabela"/>
            </w:pPr>
            <w:r>
              <w:t>08/2028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Mais robusta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</w:pPr>
            <w:r>
              <w:t>Seguradora Prisma</w:t>
            </w:r>
          </w:p>
        </w:tc>
        <w:tc>
          <w:tcPr>
            <w:tcW w:type="dxa" w:w="1644"/>
          </w:tcPr>
          <w:p>
            <w:pPr>
              <w:pStyle w:val="LumisTabela"/>
            </w:pPr>
            <w:r>
              <w:t>890 mil sinistros</w:t>
            </w:r>
          </w:p>
        </w:tc>
        <w:tc>
          <w:tcPr>
            <w:tcW w:type="dxa" w:w="2721"/>
          </w:tcPr>
          <w:p>
            <w:pPr>
              <w:pStyle w:val="LumisTabela"/>
            </w:pPr>
            <w:r>
              <w:t>Contrato silente</w:t>
            </w:r>
          </w:p>
        </w:tc>
        <w:tc>
          <w:tcPr>
            <w:tcW w:type="dxa" w:w="1304"/>
          </w:tcPr>
          <w:p>
            <w:pPr>
              <w:pStyle w:val="LumisTabela"/>
            </w:pPr>
            <w:r>
              <w:t>12/2026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Crítica / imediata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Banco Meridiano</w:t>
            </w:r>
          </w:p>
        </w:tc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410 mil operações</w:t>
            </w:r>
          </w:p>
        </w:tc>
        <w:tc>
          <w:tcPr>
            <w:tcW w:type="dxa" w:w="2721"/>
            <w:shd w:val="clear" w:color="auto" w:fill="F1F6F4"/>
          </w:tcPr>
          <w:p>
            <w:pPr>
              <w:pStyle w:val="LumisTabela"/>
            </w:pPr>
            <w:r>
              <w:t>Sim, com auditoria anual do cliente</w:t>
            </w:r>
          </w:p>
        </w:tc>
        <w:tc>
          <w:tcPr>
            <w:tcW w:type="dxa" w:w="1304"/>
            <w:shd w:val="clear" w:color="auto" w:fill="F1F6F4"/>
          </w:tcPr>
          <w:p>
            <w:pPr>
              <w:pStyle w:val="LumisTabela"/>
            </w:pPr>
            <w:r>
              <w:t>05/2028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Mais robusta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</w:pPr>
            <w:r>
              <w:t>DATASUS</w:t>
            </w:r>
          </w:p>
        </w:tc>
        <w:tc>
          <w:tcPr>
            <w:tcW w:type="dxa" w:w="1644"/>
          </w:tcPr>
          <w:p>
            <w:pPr>
              <w:pStyle w:val="LumisTabela"/>
            </w:pPr>
            <w:r>
              <w:t>14,0 mi registros</w:t>
            </w:r>
          </w:p>
        </w:tc>
        <w:tc>
          <w:tcPr>
            <w:tcW w:type="dxa" w:w="2721"/>
          </w:tcPr>
          <w:p>
            <w:pPr>
              <w:pStyle w:val="LumisTabela"/>
            </w:pPr>
            <w:r>
              <w:t>Uso público; treinamento autorizado no case</w:t>
            </w:r>
          </w:p>
        </w:tc>
        <w:tc>
          <w:tcPr>
            <w:tcW w:type="dxa" w:w="1304"/>
          </w:tcPr>
          <w:p>
            <w:pPr>
              <w:pStyle w:val="LumisTabela"/>
            </w:pPr>
            <w:r>
              <w:t>—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Sem fragilidade contratual indicada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Dados sintéticos internos</w:t>
            </w:r>
          </w:p>
        </w:tc>
        <w:tc>
          <w:tcPr>
            <w:tcW w:type="dxa" w:w="1644"/>
            <w:shd w:val="clear" w:color="auto" w:fill="F1F6F4"/>
          </w:tcPr>
          <w:p>
            <w:pPr>
              <w:pStyle w:val="LumisTabela"/>
              <w:keepNext/>
            </w:pPr>
            <w:r>
              <w:t>2,1 mi registros</w:t>
            </w:r>
          </w:p>
        </w:tc>
        <w:tc>
          <w:tcPr>
            <w:tcW w:type="dxa" w:w="2721"/>
            <w:shd w:val="clear" w:color="auto" w:fill="F1F6F4"/>
          </w:tcPr>
          <w:p>
            <w:pPr>
              <w:pStyle w:val="LumisTabela"/>
              <w:keepNext/>
            </w:pPr>
            <w:r>
              <w:t>Geração própria; treinamento autorizado</w:t>
            </w:r>
          </w:p>
        </w:tc>
        <w:tc>
          <w:tcPr>
            <w:tcW w:type="dxa" w:w="1304"/>
            <w:shd w:val="clear" w:color="auto" w:fill="F1F6F4"/>
          </w:tcPr>
          <w:p>
            <w:pPr>
              <w:pStyle w:val="LumisTabela"/>
              <w:keepNext/>
            </w:pPr>
            <w:r>
              <w:t>—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Controle interno</w:t>
            </w:r>
          </w:p>
        </w:tc>
      </w:tr>
    </w:tbl>
    <w:p>
      <w:pPr>
        <w:pStyle w:val="Legenda"/>
      </w:pPr>
      <w:r>
        <w:t>Tabela 1. Origem dos dados e situação para treinamento.</w:t>
      </w:r>
    </w:p>
    <w:p>
      <w:pPr>
        <w:pStyle w:val="LumisDestaque"/>
      </w:pPr>
      <w:r>
        <w:rPr>
          <w:b/>
        </w:rPr>
        <w:t xml:space="preserve">Prioridade contratual — </w:t>
      </w:r>
      <w:r>
        <w:t>Seguradora Prisma deve ser tratada primeiro: o contrato é silente e vence em 12/2026. Hospital Vila Ipê também exige correção, pois a cláusula genérica não oferece a mesma clareza de uma autorização específica para treinamento. A renovação não deve ser o único gatilho: a revisão jurídica precisa ocorrer antes da continuidade do uso em treinamento.</w:t>
      </w:r>
    </w:p>
    <w:p>
      <w:pPr>
        <w:pStyle w:val="Ttulo1"/>
      </w:pPr>
      <w:r>
        <w:t>3. Variáveis, representação e risco de proxy</w:t>
      </w:r>
    </w:p>
    <w:p>
      <w:pPr/>
      <w:r>
        <w:t>A pergunta central não é apenas "qual o peso da variável?", mas "o que ela realmente representa?". Variáveis administrativas e socioeconômicas podem carregar desigualdades históricas para dentro do modelo.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793"/>
        <w:gridCol w:w="1927"/>
        <w:gridCol w:w="3515"/>
        <w:gridCol w:w="1020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7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a empresa diz medir</w:t>
            </w:r>
          </w:p>
        </w:tc>
        <w:tc>
          <w:tcPr>
            <w:tcW w:type="dxa" w:w="351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pode medir de fato / distorção</w:t>
            </w:r>
          </w:p>
        </w:tc>
        <w:tc>
          <w:tcPr>
            <w:tcW w:type="dxa" w:w="1020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Risco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Nº atendimentos 24m</w:t>
            </w:r>
          </w:p>
        </w:tc>
        <w:tc>
          <w:tcPr>
            <w:tcW w:type="dxa" w:w="794"/>
          </w:tcPr>
          <w:p>
            <w:pPr>
              <w:pStyle w:val="LumisTabela"/>
            </w:pPr>
            <w:r>
              <w:t>18,4%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Histórico de necessidade de cuidado</w:t>
            </w:r>
          </w:p>
        </w:tc>
        <w:tc>
          <w:tcPr>
            <w:tcW w:type="dxa" w:w="3515"/>
          </w:tcPr>
          <w:p>
            <w:pPr>
              <w:pStyle w:val="LumisTabela"/>
            </w:pPr>
            <w:r>
              <w:t>Uso/acesso ao serviço; não informa gravidade de cada atendimento</w:t>
            </w:r>
          </w:p>
        </w:tc>
        <w:tc>
          <w:tcPr>
            <w:tcW w:type="dxa" w:w="1020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Custo acumulado</w:t>
            </w:r>
          </w:p>
        </w:tc>
        <w:tc>
          <w:tcPr>
            <w:tcW w:type="dxa" w:w="794"/>
            <w:shd w:val="clear" w:color="auto" w:fill="F1F6F4"/>
          </w:tcPr>
          <w:p>
            <w:pPr>
              <w:pStyle w:val="LumisTabela"/>
            </w:pPr>
            <w:r>
              <w:t>15,1%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Gravidade do quadro clínico</w:t>
            </w:r>
          </w:p>
        </w:tc>
        <w:tc>
          <w:tcPr>
            <w:tcW w:type="dxa" w:w="3515"/>
            <w:shd w:val="clear" w:color="auto" w:fill="F1F6F4"/>
          </w:tcPr>
          <w:p>
            <w:pPr>
              <w:pStyle w:val="LumisTabela"/>
            </w:pPr>
            <w:r>
              <w:t>Também reflete preços, cobertura e acesso</w:t>
            </w:r>
          </w:p>
        </w:tc>
        <w:tc>
          <w:tcPr>
            <w:tcW w:type="dxa" w:w="1020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Idade</w:t>
            </w:r>
          </w:p>
        </w:tc>
        <w:tc>
          <w:tcPr>
            <w:tcW w:type="dxa" w:w="794"/>
          </w:tcPr>
          <w:p>
            <w:pPr>
              <w:pStyle w:val="LumisTabela"/>
            </w:pPr>
            <w:r>
              <w:t>12,7%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Idade</w:t>
            </w:r>
          </w:p>
        </w:tc>
        <w:tc>
          <w:tcPr>
            <w:tcW w:type="dxa" w:w="3515"/>
          </w:tcPr>
          <w:p>
            <w:pPr>
              <w:pStyle w:val="LumisTabela"/>
            </w:pPr>
            <w:r>
              <w:t>Mede diretamente idade; risco está no tratamento discriminatório do efeito</w:t>
            </w:r>
          </w:p>
        </w:tc>
        <w:tc>
          <w:tcPr>
            <w:tcW w:type="dxa" w:w="1020"/>
          </w:tcPr>
          <w:p>
            <w:pPr>
              <w:pStyle w:val="LumisTabela"/>
            </w:pPr>
            <w:r>
              <w:t>Médio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Nº comorbidades</w:t>
            </w:r>
          </w:p>
        </w:tc>
        <w:tc>
          <w:tcPr>
            <w:tcW w:type="dxa" w:w="794"/>
            <w:shd w:val="clear" w:color="auto" w:fill="F1F6F4"/>
          </w:tcPr>
          <w:p>
            <w:pPr>
              <w:pStyle w:val="LumisTabela"/>
            </w:pPr>
            <w:r>
              <w:t>11,2%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Carga de doença</w:t>
            </w:r>
          </w:p>
        </w:tc>
        <w:tc>
          <w:tcPr>
            <w:tcW w:type="dxa" w:w="3515"/>
            <w:shd w:val="clear" w:color="auto" w:fill="F1F6F4"/>
          </w:tcPr>
          <w:p>
            <w:pPr>
              <w:pStyle w:val="LumisTabela"/>
            </w:pPr>
            <w:r>
              <w:t>Pode depender de qualidade/volume do registro clínico</w:t>
            </w:r>
          </w:p>
        </w:tc>
        <w:tc>
          <w:tcPr>
            <w:tcW w:type="dxa" w:w="1020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Tempo consulta→exame</w:t>
            </w:r>
          </w:p>
        </w:tc>
        <w:tc>
          <w:tcPr>
            <w:tcW w:type="dxa" w:w="794"/>
          </w:tcPr>
          <w:p>
            <w:pPr>
              <w:pStyle w:val="LumisTabela"/>
            </w:pPr>
            <w:r>
              <w:t>9,8%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Urgência percebida</w:t>
            </w:r>
          </w:p>
        </w:tc>
        <w:tc>
          <w:tcPr>
            <w:tcW w:type="dxa" w:w="3515"/>
          </w:tcPr>
          <w:p>
            <w:pPr>
              <w:pStyle w:val="LumisTabela"/>
            </w:pPr>
            <w:r>
              <w:t>Pode refletir fila, capacidade da rede e acesso</w:t>
            </w:r>
          </w:p>
        </w:tc>
        <w:tc>
          <w:tcPr>
            <w:tcW w:type="dxa" w:w="1020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Faixa de CEP</w:t>
            </w:r>
          </w:p>
        </w:tc>
        <w:tc>
          <w:tcPr>
            <w:tcW w:type="dxa" w:w="794"/>
            <w:shd w:val="clear" w:color="auto" w:fill="F1F6F4"/>
          </w:tcPr>
          <w:p>
            <w:pPr>
              <w:pStyle w:val="LumisTabela"/>
            </w:pPr>
            <w:r>
              <w:t>8,9%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Região de residência</w:t>
            </w:r>
          </w:p>
        </w:tc>
        <w:tc>
          <w:tcPr>
            <w:tcW w:type="dxa" w:w="3515"/>
            <w:shd w:val="clear" w:color="auto" w:fill="F1F6F4"/>
          </w:tcPr>
          <w:p>
            <w:pPr>
              <w:pStyle w:val="LumisTabela"/>
            </w:pPr>
            <w:r>
              <w:t>Proxy potencial de renda, acesso, infraestrutura e perfil socioeconômico</w:t>
            </w:r>
          </w:p>
        </w:tc>
        <w:tc>
          <w:tcPr>
            <w:tcW w:type="dxa" w:w="1020"/>
            <w:shd w:val="clear" w:color="auto" w:fill="F1F6F4"/>
          </w:tcPr>
          <w:p>
            <w:pPr>
              <w:pStyle w:val="LumisTabela"/>
            </w:pPr>
            <w:r>
              <w:t>Muito alto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Tipo de plano/cobertura</w:t>
            </w:r>
          </w:p>
        </w:tc>
        <w:tc>
          <w:tcPr>
            <w:tcW w:type="dxa" w:w="794"/>
          </w:tcPr>
          <w:p>
            <w:pPr>
              <w:pStyle w:val="LumisTabela"/>
            </w:pPr>
            <w:r>
              <w:t>7,4%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Cobertura contratada</w:t>
            </w:r>
          </w:p>
        </w:tc>
        <w:tc>
          <w:tcPr>
            <w:tcW w:type="dxa" w:w="3515"/>
          </w:tcPr>
          <w:p>
            <w:pPr>
              <w:pStyle w:val="LumisTabela"/>
            </w:pPr>
            <w:r>
              <w:t>Pode funcionar como proxy de condição socioeconômica e acesso</w:t>
            </w:r>
          </w:p>
        </w:tc>
        <w:tc>
          <w:tcPr>
            <w:tcW w:type="dxa" w:w="1020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Painel laboratorial</w:t>
            </w:r>
          </w:p>
        </w:tc>
        <w:tc>
          <w:tcPr>
            <w:tcW w:type="dxa" w:w="794"/>
            <w:shd w:val="clear" w:color="auto" w:fill="F1F6F4"/>
          </w:tcPr>
          <w:p>
            <w:pPr>
              <w:pStyle w:val="LumisTabela"/>
            </w:pPr>
            <w:r>
              <w:t>6,9%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Estado clínico atual</w:t>
            </w:r>
          </w:p>
        </w:tc>
        <w:tc>
          <w:tcPr>
            <w:tcW w:type="dxa" w:w="3515"/>
            <w:shd w:val="clear" w:color="auto" w:fill="F1F6F4"/>
          </w:tcPr>
          <w:p>
            <w:pPr>
              <w:pStyle w:val="LumisTabela"/>
            </w:pPr>
            <w:r>
              <w:t>Mais diretamente clínico, mas depende de disponibilidade de exames</w:t>
            </w:r>
          </w:p>
        </w:tc>
        <w:tc>
          <w:tcPr>
            <w:tcW w:type="dxa" w:w="1020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Faltas em consultas</w:t>
            </w:r>
          </w:p>
        </w:tc>
        <w:tc>
          <w:tcPr>
            <w:tcW w:type="dxa" w:w="794"/>
          </w:tcPr>
          <w:p>
            <w:pPr>
              <w:pStyle w:val="LumisTabela"/>
            </w:pPr>
            <w:r>
              <w:t>5,3%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Adesão ao tratamento</w:t>
            </w:r>
          </w:p>
        </w:tc>
        <w:tc>
          <w:tcPr>
            <w:tcW w:type="dxa" w:w="3515"/>
          </w:tcPr>
          <w:p>
            <w:pPr>
              <w:pStyle w:val="LumisTabela"/>
            </w:pPr>
            <w:r>
              <w:t>Pode refletir transporte, trabalho, renda e barreiras de acesso</w:t>
            </w:r>
          </w:p>
        </w:tc>
        <w:tc>
          <w:tcPr>
            <w:tcW w:type="dxa" w:w="1020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Especialidade de origem</w:t>
            </w:r>
          </w:p>
        </w:tc>
        <w:tc>
          <w:tcPr>
            <w:tcW w:type="dxa" w:w="794"/>
            <w:shd w:val="clear" w:color="auto" w:fill="F1F6F4"/>
          </w:tcPr>
          <w:p>
            <w:pPr>
              <w:pStyle w:val="LumisTabela"/>
              <w:keepNext/>
            </w:pPr>
            <w:r>
              <w:t>4,3%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Via de entrada</w:t>
            </w:r>
          </w:p>
        </w:tc>
        <w:tc>
          <w:tcPr>
            <w:tcW w:type="dxa" w:w="3515"/>
            <w:shd w:val="clear" w:color="auto" w:fill="F1F6F4"/>
          </w:tcPr>
          <w:p>
            <w:pPr>
              <w:pStyle w:val="LumisTabela"/>
              <w:keepNext/>
            </w:pPr>
            <w:r>
              <w:t>Pode refletir organização e disponibilidade da rede</w:t>
            </w:r>
          </w:p>
        </w:tc>
        <w:tc>
          <w:tcPr>
            <w:tcW w:type="dxa" w:w="1020"/>
            <w:shd w:val="clear" w:color="auto" w:fill="F1F6F4"/>
          </w:tcPr>
          <w:p>
            <w:pPr>
              <w:pStyle w:val="LumisTabela"/>
              <w:keepNext/>
            </w:pPr>
            <w:r>
              <w:t>Médio</w:t>
            </w:r>
          </w:p>
        </w:tc>
      </w:tr>
    </w:tbl>
    <w:p>
      <w:pPr>
        <w:pStyle w:val="Legenda"/>
      </w:pPr>
      <w:r>
        <w:t>Tabela 2. Variáveis do modelo, o que medem e o risco de proxy.</w:t>
      </w:r>
    </w:p>
    <w:p>
      <w:pPr>
        <w:pStyle w:val="LumisDestaque"/>
      </w:pPr>
      <w:r>
        <w:rPr>
          <w:b/>
        </w:rPr>
        <w:t xml:space="preserve">Proxy explícito — </w:t>
      </w:r>
      <w:r>
        <w:t>Faixa de CEP é o caso mais evidente: o modelo usa uma variável geográfica com peso de 8,9%, mas ela pode carregar renda, acesso a serviços e infraestrutura. Como o pior desempenho aparece justamente em CEP D/E, a variável deve ser auditada e testada quanto à contribuição para disparidades, sem assumir causalidade apenas pela correlação.</w:t>
      </w:r>
    </w:p>
    <w:p>
      <w:pPr>
        <w:pStyle w:val="Ttulo1"/>
      </w:pPr>
      <w:r>
        <w:t>4. Validação declarada versus desempenho em campo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3175"/>
        <w:gridCol w:w="1474"/>
        <w:gridCol w:w="1360"/>
        <w:gridCol w:w="1587"/>
        <w:gridCol w:w="1474"/>
      </w:tblGrid>
      <w:tr>
        <w:trPr>
          <w:tblHeader w:val="true"/>
          <w:cantSplit/>
        </w:trPr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Recorte</w:t>
            </w:r>
          </w:p>
        </w:tc>
        <w:tc>
          <w:tcPr>
            <w:tcW w:type="dxa" w:w="147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Amostra</w:t>
            </w:r>
          </w:p>
        </w:tc>
        <w:tc>
          <w:tcPr>
            <w:tcW w:type="dxa" w:w="13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Acurácia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Sensibilidade</w:t>
            </w:r>
          </w:p>
        </w:tc>
        <w:tc>
          <w:tcPr>
            <w:tcW w:type="dxa" w:w="147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Falso negativo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</w:pPr>
            <w:r>
              <w:t>Validação 2023 — 2 hospitais, mesma região</w:t>
            </w:r>
          </w:p>
        </w:tc>
        <w:tc>
          <w:tcPr>
            <w:tcW w:type="dxa" w:w="1474"/>
          </w:tcPr>
          <w:p>
            <w:pPr>
              <w:pStyle w:val="LumisTabela"/>
            </w:pPr>
            <w:r>
              <w:t>48.000</w:t>
            </w:r>
          </w:p>
        </w:tc>
        <w:tc>
          <w:tcPr>
            <w:tcW w:type="dxa" w:w="1361"/>
          </w:tcPr>
          <w:p>
            <w:pPr>
              <w:pStyle w:val="LumisTabela"/>
            </w:pPr>
            <w:r>
              <w:t>94,1%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92,6%</w:t>
            </w:r>
          </w:p>
        </w:tc>
        <w:tc>
          <w:tcPr>
            <w:tcW w:type="dxa" w:w="1474"/>
          </w:tcPr>
          <w:p>
            <w:pPr>
              <w:pStyle w:val="LumisTabela"/>
            </w:pPr>
            <w:r>
              <w:t>7,4%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Campo — 1º semestre de 2026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1.940.000</w:t>
            </w:r>
          </w:p>
        </w:tc>
        <w:tc>
          <w:tcPr>
            <w:tcW w:type="dxa" w:w="1361"/>
            <w:shd w:val="clear" w:color="auto" w:fill="F1F6F4"/>
          </w:tcPr>
          <w:p>
            <w:pPr>
              <w:pStyle w:val="LumisTabela"/>
            </w:pPr>
            <w:r>
              <w:t>87,6%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82,3%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17,7%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Variação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—</w:t>
            </w:r>
          </w:p>
        </w:tc>
        <w:tc>
          <w:tcPr>
            <w:tcW w:type="dxa" w:w="1361"/>
          </w:tcPr>
          <w:p>
            <w:pPr>
              <w:pStyle w:val="LumisTabela"/>
              <w:keepNext/>
            </w:pPr>
            <w:r>
              <w:t>−6,5 p.p.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−10,3 p.p.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+10,3 p.p.</w:t>
            </w:r>
          </w:p>
        </w:tc>
      </w:tr>
    </w:tbl>
    <w:p>
      <w:pPr>
        <w:pStyle w:val="Legenda"/>
      </w:pPr>
      <w:r>
        <w:t>Tabela 3. Desempenho declarado e em campo.</w:t>
      </w:r>
    </w:p>
    <w:p>
      <w:pPr/>
      <w:r>
        <w:t>A diferença entre validação e produção mostra perda de desempenho fora do ambiente original. Para priorização clínica, sensibilidade e falso negativo são particularmente críticos porque indicam quantos pacientes que realmente deveriam ser priorizados estão sendo identificados — ou deixados para trás.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98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gru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Desempenho em campo por subgrupo — 1º semestre de 2026.</w:t>
      </w:r>
    </w:p>
    <w:p>
      <w:pPr/>
      <w:r>
        <w:t>Leitura do gráfico: o falso negativo cresce conforme se combinam maior idade e CEPs C/D/E. O grupo 60+ D/E chega a 31,8%, contra 10,6% em 18–59 A/B. O case informa que esse foi o dado identificado pelo próprio Hospital Vila Ipê e levado à notificação formal.</w:t>
      </w:r>
    </w:p>
    <w:p>
      <w:pPr>
        <w:pStyle w:val="Ttulo1"/>
      </w:pPr>
      <w:r>
        <w:t>5. Revisão crítica das métricas apresentadas ao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644"/>
        <w:gridCol w:w="1814"/>
        <w:gridCol w:w="1757"/>
        <w:gridCol w:w="2097"/>
        <w:gridCol w:w="1757"/>
      </w:tblGrid>
      <w:tr>
        <w:trPr>
          <w:tblHeader w:val="true"/>
          <w:cantSplit/>
        </w:trPr>
        <w:tc>
          <w:tcPr>
            <w:tcW w:type="dxa" w:w="164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Claim atual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Como foi apurado</w:t>
            </w:r>
          </w:p>
        </w:tc>
        <w:tc>
          <w:tcPr>
            <w:tcW w:type="dxa" w:w="175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autoriza concluir</w:t>
            </w:r>
          </w:p>
        </w:tc>
        <w:tc>
          <w:tcPr>
            <w:tcW w:type="dxa" w:w="209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NÃO autoriza concluir</w:t>
            </w:r>
          </w:p>
        </w:tc>
        <w:tc>
          <w:tcPr>
            <w:tcW w:type="dxa" w:w="175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Decisão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</w:pPr>
            <w:r>
              <w:t>"Acurácia de 94%"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Validação 2023; 2 hospitais; 48 mil registros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Descreve aquele conjunto de validação</w:t>
            </w:r>
          </w:p>
        </w:tc>
        <w:tc>
          <w:tcPr>
            <w:tcW w:type="dxa" w:w="2098"/>
          </w:tcPr>
          <w:p>
            <w:pPr>
              <w:pStyle w:val="LumisTabela"/>
            </w:pPr>
            <w:r>
              <w:t>Não representa o desempenho atual em campo, que é 87,6%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Reformular e contextualizar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"Redução de 30% no tempo de triagem"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Piloto de 6 semanas; 1 hospital; sem controle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Houve redução observada naquele piloto</w:t>
            </w:r>
          </w:p>
        </w:tc>
        <w:tc>
          <w:tcPr>
            <w:tcW w:type="dxa" w:w="2098"/>
            <w:shd w:val="clear" w:color="auto" w:fill="F1F6F4"/>
          </w:tcPr>
          <w:p>
            <w:pPr>
              <w:pStyle w:val="LumisTabela"/>
            </w:pPr>
            <w:r>
              <w:t>Não permite atribuir causalidade nem generalizar para toda a base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Suspender como claim amplo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</w:pPr>
            <w:r>
              <w:t>"Mais de 5 milhões de vidas analisadas"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5,2 mi registros processados com reprocessamentos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Há escala de processamento</w:t>
            </w:r>
          </w:p>
        </w:tc>
        <w:tc>
          <w:tcPr>
            <w:tcW w:type="dxa" w:w="2098"/>
          </w:tcPr>
          <w:p>
            <w:pPr>
              <w:pStyle w:val="LumisTabela"/>
            </w:pPr>
            <w:r>
              <w:t>Não equivale a 5,2 mi pessoas únicas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Substituir por "registros processados" ou deduplicar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"NPS 72"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9 respondentes indicados pelo comercial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Descreve a amostra respondente</w:t>
            </w:r>
          </w:p>
        </w:tc>
        <w:tc>
          <w:tcPr>
            <w:tcW w:type="dxa" w:w="2098"/>
            <w:shd w:val="clear" w:color="auto" w:fill="F1F6F4"/>
          </w:tcPr>
          <w:p>
            <w:pPr>
              <w:pStyle w:val="LumisTabela"/>
            </w:pPr>
            <w:r>
              <w:t>Não sustenta satisfação representativa da base de clientes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Refazer pesquisa com amostra adequada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  <w:keepNext/>
            </w:pPr>
            <w:r>
              <w:t>"Disponibilidade 99,9%"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99,92% da API</w:t>
            </w:r>
          </w:p>
        </w:tc>
        <w:tc>
          <w:tcPr>
            <w:tcW w:type="dxa" w:w="1757"/>
          </w:tcPr>
          <w:p>
            <w:pPr>
              <w:pStyle w:val="LumisTabela"/>
              <w:keepNext/>
            </w:pPr>
            <w:r>
              <w:t>Descreve disponibilidade da interface</w:t>
            </w:r>
          </w:p>
        </w:tc>
        <w:tc>
          <w:tcPr>
            <w:tcW w:type="dxa" w:w="2098"/>
          </w:tcPr>
          <w:p>
            <w:pPr>
              <w:pStyle w:val="LumisTabela"/>
              <w:keepNext/>
            </w:pPr>
            <w:r>
              <w:t>Não comprova disponibilidade ponta a ponta do serviço</w:t>
            </w:r>
          </w:p>
        </w:tc>
        <w:tc>
          <w:tcPr>
            <w:tcW w:type="dxa" w:w="1757"/>
          </w:tcPr>
          <w:p>
            <w:pPr>
              <w:pStyle w:val="LumisTabela"/>
              <w:keepNext/>
            </w:pPr>
            <w:r>
              <w:t>Trocar por disponibilidade E2E</w:t>
            </w:r>
          </w:p>
        </w:tc>
      </w:tr>
    </w:tbl>
    <w:p>
      <w:pPr>
        <w:pStyle w:val="Legenda"/>
      </w:pPr>
      <w:r>
        <w:t>Tabela 4. Métricas apresentadas ao mercado e o que cada uma autoriza concluir.</w:t>
      </w:r>
    </w:p>
    <w:p>
      <w:pPr>
        <w:pStyle w:val="Ttulo1"/>
      </w:pPr>
      <w:r>
        <w:t>6. Novo conjunto de indicadores de gestão</w:t>
      </w:r>
    </w:p>
    <w:p>
      <w:pPr/>
      <w:r>
        <w:t>Os indicadores abaixo foram escolhidos porque podem alterar uma decisão concreta. A aplicação segue as quatro perguntas do Capítulo 1: "Medida em quê?", "Medida por quem?", "Muda alguma decisão?" e "Esconde qual distribuição?".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644"/>
        <w:gridCol w:w="1927"/>
        <w:gridCol w:w="1927"/>
        <w:gridCol w:w="1814"/>
        <w:gridCol w:w="1757"/>
      </w:tblGrid>
      <w:tr>
        <w:trPr>
          <w:tblHeader w:val="true"/>
          <w:cantSplit/>
        </w:trPr>
        <w:tc>
          <w:tcPr>
            <w:tcW w:type="dxa" w:w="164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75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</w:pPr>
            <w:r>
              <w:t>1. Taxa de falso negativo em produção por subgrupo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Pacientes que deveriam ser priorizados e foram classificados como baixa prioridade; mensal, por idade × CEP.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Cálculo automatizado pela área de Dados e validação amostral independente/cliente.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Aciona investigação, recalibração, restrição de uso ou suspensão quando houver deterioração relevante.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Sim: nunca reportar apenas agregado; abrir por idade, CEP e cliente.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2. Drift de desempenho vs. baseline aprovado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Diferença de sensibilidade e falso negativo entre versão aprovada e produção, por versão e período.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Área de Dados, com revisão do Head de Gestão de IA.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Pode bloquear nova versão, exigir rollback ou revalidação antes de continuidade.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Sim: abrir por subgrupo e cliente; o agregado pode mascarar regressões locais.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</w:pPr>
            <w:r>
              <w:t>3. Cobertura contratual válida para treinamento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% dos registros de clientes usados em treinamento com autorização explícita e revisão jurídica vigente.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DPO/Jurídico, reconciliado com inventário de dados.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Pode excluir fonte do treinamento, congelar uso, renegociar ou renovar cláusulas.</w:t>
            </w:r>
          </w:p>
        </w:tc>
        <w:tc>
          <w:tcPr>
            <w:tcW w:type="dxa" w:w="1757"/>
          </w:tcPr>
          <w:p>
            <w:pPr>
              <w:pStyle w:val="LumisTabela"/>
            </w:pPr>
            <w:r>
              <w:t>Sim: abrir por fonte/cliente e volume; média total pode esconder contrato crítico.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1F6F4"/>
          </w:tcPr>
          <w:p>
            <w:pPr>
              <w:pStyle w:val="LumisTabela"/>
            </w:pPr>
            <w:r>
              <w:t>4. Disponibilidade ponta a ponta do serviço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Tempo em que o fluxo completo — não só API — está disponível ao usuário final.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Operações/Tecnologia, com evidência de monitoramento E2E.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Direciona correção de gargalos, capacidade, SLA e comunicação de incidentes.</w:t>
            </w:r>
          </w:p>
        </w:tc>
        <w:tc>
          <w:tcPr>
            <w:tcW w:type="dxa" w:w="1757"/>
            <w:shd w:val="clear" w:color="auto" w:fill="F1F6F4"/>
          </w:tcPr>
          <w:p>
            <w:pPr>
              <w:pStyle w:val="LumisTabela"/>
            </w:pPr>
            <w:r>
              <w:t>Sim: abrir por cliente, componente e severidade.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pStyle w:val="LumisTabela"/>
              <w:keepNext/>
            </w:pPr>
            <w:r>
              <w:t>5. Taxa de reclamações por 1.000 pacientes, por subgrupo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Reclamações formais normalizadas pelo volume de pacientes processados em cada faixa de CEP e idade.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CS registra; Gestão de IA cruza com performance e valida tendências.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Aciona auditoria de equidade, investigação de causas e revisão de processo/modelo.</w:t>
            </w:r>
          </w:p>
        </w:tc>
        <w:tc>
          <w:tcPr>
            <w:tcW w:type="dxa" w:w="1757"/>
          </w:tcPr>
          <w:p>
            <w:pPr>
              <w:pStyle w:val="LumisTabela"/>
              <w:keepNext/>
            </w:pPr>
            <w:r>
              <w:t>Sim: obrigatório por CEP/idade; número absoluto sem denominador distorce a leitura.</w:t>
            </w:r>
          </w:p>
        </w:tc>
      </w:tr>
    </w:tbl>
    <w:p>
      <w:pPr>
        <w:pStyle w:val="Legenda"/>
      </w:pPr>
      <w:r>
        <w:t>Tabela 5. Indicadores de gestão e as quatro perguntas.</w:t>
      </w:r>
    </w:p>
    <w:p>
      <w:pPr>
        <w:pStyle w:val="LumisDestaque"/>
      </w:pPr>
      <w:r>
        <w:rPr>
          <w:b/>
        </w:rPr>
        <w:t xml:space="preserve">Ajuste importante — </w:t>
      </w:r>
      <w:r>
        <w:t>"Auditorias contratuais concluídas" não foi mantido como indicador final porque mede atividade, não resultado. O indicador mais útil é a cobertura efetiva dos registros usados em treinamento por autorização explícita e revisão jurídica vigente. Assim, a métrica muda uma decisão sobre usar ou retirar dados do treinamento.</w:t>
      </w:r>
    </w:p>
    <w:p>
      <w:pPr>
        <w:pStyle w:val="Ttulo1"/>
      </w:pPr>
      <w:r>
        <w:t>7. Decisões recomendadas a partir da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474"/>
        <w:gridCol w:w="4762"/>
        <w:gridCol w:w="2835"/>
      </w:tblGrid>
      <w:tr>
        <w:trPr>
          <w:tblHeader w:val="true"/>
          <w:cantSplit/>
        </w:trPr>
        <w:tc>
          <w:tcPr>
            <w:tcW w:type="dxa" w:w="147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4762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Decisão recomendada</w:t>
            </w:r>
          </w:p>
        </w:tc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quê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LumisTabela"/>
            </w:pPr>
            <w:r>
              <w:t>Contratos</w:t>
            </w:r>
          </w:p>
        </w:tc>
        <w:tc>
          <w:tcPr>
            <w:tcW w:type="dxa" w:w="4762"/>
          </w:tcPr>
          <w:p>
            <w:pPr>
              <w:pStyle w:val="LumisTabela"/>
            </w:pPr>
            <w:r>
              <w:t>Revisar imediatamente Prisma e Vila Ipê; inventariar os seis instrumentos e registrar base de uso por fonte.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Reduz risco de treinamento sem autorização clara.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Modelo</w:t>
            </w:r>
          </w:p>
        </w:tc>
        <w:tc>
          <w:tcPr>
            <w:tcW w:type="dxa" w:w="4762"/>
            <w:shd w:val="clear" w:color="auto" w:fill="F1F6F4"/>
          </w:tcPr>
          <w:p>
            <w:pPr>
              <w:pStyle w:val="LumisTabela"/>
            </w:pPr>
            <w:r>
              <w:t>Auditar contribuição das variáveis proxy, especialmente CEP, custo, utilização e faltas; testar impacto por subgrupo.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Evita reproduzir desigualdades como se fossem sinais clínicos.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LumisTabela"/>
            </w:pPr>
            <w:r>
              <w:t>Validação</w:t>
            </w:r>
          </w:p>
        </w:tc>
        <w:tc>
          <w:tcPr>
            <w:tcW w:type="dxa" w:w="4762"/>
          </w:tcPr>
          <w:p>
            <w:pPr>
              <w:pStyle w:val="LumisTabela"/>
            </w:pPr>
            <w:r>
              <w:t>Adotar monitoramento contínuo em produção e critérios de rollback/suspensão associados a drift e falso negativo.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Fecha a distância entre validação e campo.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Comercial</w:t>
            </w:r>
          </w:p>
        </w:tc>
        <w:tc>
          <w:tcPr>
            <w:tcW w:type="dxa" w:w="4762"/>
            <w:shd w:val="clear" w:color="auto" w:fill="F1F6F4"/>
          </w:tcPr>
          <w:p>
            <w:pPr>
              <w:pStyle w:val="LumisTabela"/>
            </w:pPr>
            <w:r>
              <w:t>Interromper claims que extrapolam evidência e substituir por métricas reproduzíveis, contextualizadas e auditáveis.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Reduz risco reputacional e de due diligence.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LumisTabela"/>
              <w:keepNext/>
            </w:pPr>
            <w:r>
              <w:t>Gestão</w:t>
            </w:r>
          </w:p>
        </w:tc>
        <w:tc>
          <w:tcPr>
            <w:tcW w:type="dxa" w:w="4762"/>
          </w:tcPr>
          <w:p>
            <w:pPr>
              <w:pStyle w:val="LumisTabela"/>
              <w:keepNext/>
            </w:pPr>
            <w:r>
              <w:t>Instituir os cinco indicadores acima com responsáveis e periodicidade definidos.</w:t>
            </w:r>
          </w:p>
        </w:tc>
        <w:tc>
          <w:tcPr>
            <w:tcW w:type="dxa" w:w="2835"/>
          </w:tcPr>
          <w:p>
            <w:pPr>
              <w:pStyle w:val="LumisTabela"/>
              <w:keepNext/>
            </w:pPr>
            <w:r>
              <w:t>Transforma métricas em mecanismos de decisão.</w:t>
            </w:r>
          </w:p>
        </w:tc>
      </w:tr>
    </w:tbl>
    <w:p>
      <w:pPr>
        <w:pStyle w:val="Legenda"/>
      </w:pPr>
      <w:r>
        <w:t>Tabela 6. Decisões recomendadas por frente.</w:t>
      </w:r>
    </w:p>
    <w:p>
      <w:pPr>
        <w:pStyle w:val="Ttulo1"/>
      </w:pPr>
      <w:r>
        <w:t>8. Evidências utilizadas</w:t>
      </w:r>
    </w:p>
    <w:p>
      <w:pPr/>
      <w:r>
        <w:t>Base principal: Anexo A do case Lumis Intelligence — quadros de "Base de dados e contratos", "Variáveis e pesos", "Desempenho declarado e em campo", "Desempenho em campo por subgrupo" e "Painel comercial".</w:t>
      </w:r>
    </w:p>
    <w:p>
      <w:pPr/>
      <w:r>
        <w:t>Critério metodológico das métricas: Capítulo 1 — "A IA e o Mercado", seção 2.3, que define as quatro perguntas de avaliação de qualquer métrica: medida em quê, medida por quem, muda alguma decisão e esconde qual distribuição.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