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Mapa do Território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Conselho: o que a Lumis controla, quem pode tomar seu espaço e o que é difícil de copia</w:t>
      </w:r>
      <w:r>
        <w:rPr>
          <w:lang w:val="pt-BR"/>
        </w:rPr>
        <w:t>r</w:t>
      </w:r>
    </w:p>
    <w:p w14:paraId="5A311831" w14:textId="217096A6" w:rsidR="00BF58EC" w:rsidRPr="000B48B4" w:rsidRDefault="000B48B4">
      <w:pPr>
        <w:pStyle w:val="LumisDestaque"/>
        <w:rPr>
          <w:lang w:val="pt-BR"/>
        </w:rPr>
      </w:pPr>
      <w:r>
        <w:rPr>
          <w:lang w:val="pt-BR"/>
        </w:rPr>
        <w:t>O</w:t>
      </w:r>
      <w:r w:rsidR="00000000" w:rsidRPr="000B48B4">
        <w:rPr>
          <w:lang w:val="pt-BR"/>
        </w:rPr>
        <w:t xml:space="preserve"> que faz o Lumis Insight funcionar é alugado, e o único ativo que poderia ser da Lumis, a base de dados, ainda não é dela. Hoje, e a tese de crescimento precisa partir do que ainda vai ser construído.</w:t>
      </w:r>
    </w:p>
    <w:p w14:paraId="287A03DE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 xml:space="preserve">Nuvem e modelo fundacional somam 72,2% do custo direto, são pagos em dólar e podem mudar de preço sem que a Lumis tenha para onde ir </w:t>
      </w:r>
      <w:r w:rsidRPr="000B48B4">
        <w:rPr>
          <w:rStyle w:val="TagFonte"/>
          <w:lang w:val="pt-BR"/>
        </w:rPr>
        <w:t>[fonte: Cap. 2, Quadros 4 e 5]</w:t>
      </w:r>
      <w:r w:rsidRPr="000B48B4">
        <w:rPr>
          <w:lang w:val="pt-BR"/>
        </w:rPr>
        <w:t xml:space="preserve">. A única camada que ela controla, a aplicação, roda dentro do sistema hospitalar do cliente. A base de dados depende de contratos que estão pendentes de revisão jurídica </w:t>
      </w:r>
      <w:r w:rsidRPr="000B48B4">
        <w:rPr>
          <w:rStyle w:val="TagFonte"/>
          <w:lang w:val="pt-BR"/>
        </w:rPr>
        <w:t>[fonte: Cap. 2, Quadro 7]</w:t>
      </w:r>
      <w:r w:rsidRPr="000B48B4">
        <w:rPr>
          <w:lang w:val="pt-BR"/>
        </w:rPr>
        <w:t>. Existe um caminho para mudar isso, e ele passa por dados com direito de uso limpo e por uma validação que se sustente em campo.</w:t>
      </w:r>
    </w:p>
    <w:p w14:paraId="6BF31CFC" w14:textId="77777777" w:rsidR="00BF58EC" w:rsidRPr="000B48B4" w:rsidRDefault="00000000">
      <w:pPr>
        <w:pStyle w:val="Ttulo1"/>
        <w:rPr>
          <w:lang w:val="pt-BR"/>
        </w:rPr>
      </w:pPr>
      <w:r w:rsidRPr="000B48B4">
        <w:rPr>
          <w:lang w:val="pt-BR"/>
        </w:rPr>
        <w:t>1. Onde a Lumis está</w:t>
      </w:r>
    </w:p>
    <w:p w14:paraId="68ABD85F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>Das quatro camadas do mercado de IA, a Lumis só controla a de cima. Nas outras três, aluga ou depende de autorização de terceiros.</w:t>
      </w:r>
    </w:p>
    <w:p w14:paraId="239892D9" w14:textId="77777777" w:rsidR="00BF58EC" w:rsidRDefault="00000000">
      <w:pPr>
        <w:keepNext/>
        <w:jc w:val="center"/>
      </w:pPr>
      <w:r>
        <w:rPr>
          <w:noProof/>
        </w:rPr>
        <w:drawing>
          <wp:inline distT="0" distB="0" distL="0" distR="0" wp14:anchorId="2A33ACDB" wp14:editId="1B7B2899">
            <wp:extent cx="5760000" cy="3019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amad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C9C" w14:textId="77777777" w:rsidR="00BF58EC" w:rsidRPr="000B48B4" w:rsidRDefault="00000000">
      <w:pPr>
        <w:pStyle w:val="Legenda"/>
        <w:rPr>
          <w:lang w:val="pt-BR"/>
        </w:rPr>
      </w:pPr>
      <w:r w:rsidRPr="000B48B4">
        <w:rPr>
          <w:lang w:val="pt-BR"/>
        </w:rPr>
        <w:t>Figura 1. O que a Lumis controla em cada camada. Fonte: Cap. 2, Quadros 3, 4, 5 e 7.</w:t>
      </w:r>
    </w:p>
    <w:p w14:paraId="395B94FA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>A nuvem renova em abril de 2027, e como migrar leva sete meses, a Lumis vai chegar à renovação sem alternativa pronta. O modelo vem de um fornecedor único, sem preço garantido. O preço desses modelos tem caído, o que alivia a conta, mas também barateia a entrada de concorrentes, que compram a mesma capacidade. Nos dados, a parte que poderia ser exclusiva, a dos clientes, tem mais de um terço sem autorização clara para treinamento. E mesmo na aplicação quem decide o que entra no fluxo é o dono do prontuário. O que a Lumis acrescenta em todas as camadas é a implementação e o treinamento junto ao cliente, que sustentam o valor percebido do produto.</w:t>
      </w:r>
    </w:p>
    <w:p w14:paraId="096F1F87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lastRenderedPageBreak/>
        <w:t>Shapiro e Varian (1999) mostram que, em mercados de informação, o valor vai para quem controla o gargalo. Aqui, os gargalos são a distribuição dentro do hospital e o direito de usar o dado de desfecho, e nenhum dos dois está com a Lumis. A pergunta seguinte é quem consegue entrar no território dela.</w:t>
      </w:r>
    </w:p>
    <w:p w14:paraId="07193651" w14:textId="77777777" w:rsidR="00BF58EC" w:rsidRPr="000B48B4" w:rsidRDefault="00000000">
      <w:pPr>
        <w:pStyle w:val="Ttulo1"/>
        <w:rPr>
          <w:lang w:val="pt-BR"/>
        </w:rPr>
      </w:pPr>
      <w:r w:rsidRPr="000B48B4">
        <w:rPr>
          <w:lang w:val="pt-BR"/>
        </w:rPr>
        <w:t>2. Quem pode tomar esse espaço</w:t>
      </w:r>
    </w:p>
    <w:p w14:paraId="6D4584B5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>A ameaça vem de quatro direções, com pesos diferentes. A espessura de cada seta na Figura 2 é a nossa leitura desse peso.</w:t>
      </w:r>
    </w:p>
    <w:p w14:paraId="1F01184E" w14:textId="77777777" w:rsidR="00BF58EC" w:rsidRDefault="00000000">
      <w:pPr>
        <w:keepNext/>
        <w:jc w:val="center"/>
      </w:pPr>
      <w:r>
        <w:rPr>
          <w:noProof/>
        </w:rPr>
        <w:drawing>
          <wp:inline distT="0" distB="0" distL="0" distR="0" wp14:anchorId="5ED143A8" wp14:editId="1D1D6836">
            <wp:extent cx="5760000" cy="38635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mea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2841" w14:textId="77777777" w:rsidR="00BF58EC" w:rsidRPr="000B48B4" w:rsidRDefault="00000000">
      <w:pPr>
        <w:pStyle w:val="Legenda"/>
        <w:rPr>
          <w:lang w:val="pt-BR"/>
        </w:rPr>
      </w:pPr>
      <w:r w:rsidRPr="000B48B4">
        <w:rPr>
          <w:lang w:val="pt-BR"/>
        </w:rPr>
        <w:t>Figura 2. De onde vem a ameaça ao Lumis Insight. Fonte: Cap. 2, Quadro 6; ordem e peso das ameaças: leitura da equipe.</w:t>
      </w:r>
    </w:p>
    <w:p w14:paraId="222AF6C5" w14:textId="484DFFE4" w:rsidR="00BF58EC" w:rsidRPr="000B48B4" w:rsidRDefault="00000000">
      <w:pPr>
        <w:rPr>
          <w:lang w:val="pt-BR"/>
        </w:rPr>
      </w:pPr>
      <w:r w:rsidRPr="000B48B4">
        <w:rPr>
          <w:lang w:val="pt-BR"/>
        </w:rPr>
        <w:t xml:space="preserve">A mais forte é a da Aster Health, que vende a IA como módulo adicional sobre um contrato que o hospital já tem </w:t>
      </w:r>
      <w:r w:rsidRPr="000B48B4">
        <w:rPr>
          <w:rStyle w:val="TagFonte"/>
          <w:lang w:val="pt-BR"/>
        </w:rPr>
        <w:t>[fonte: Cap. 2, Quadro 6]</w:t>
      </w:r>
      <w:r w:rsidRPr="000B48B4">
        <w:rPr>
          <w:lang w:val="pt-BR"/>
        </w:rPr>
        <w:t xml:space="preserve">. Para </w:t>
      </w:r>
      <w:r w:rsidR="000B48B4">
        <w:rPr>
          <w:lang w:val="pt-BR"/>
        </w:rPr>
        <w:t>o nosso stakeholder</w:t>
      </w:r>
      <w:r w:rsidRPr="000B48B4">
        <w:rPr>
          <w:lang w:val="pt-BR"/>
        </w:rPr>
        <w:t xml:space="preserve">, a pergunta deixa de ser qual IA é melhor e passa a ser se vale </w:t>
      </w:r>
      <w:r w:rsidRPr="000B48B4">
        <w:rPr>
          <w:b/>
          <w:bCs/>
          <w:lang w:val="pt-BR"/>
        </w:rPr>
        <w:t>ativar um módulo</w:t>
      </w:r>
      <w:r w:rsidRPr="000B48B4">
        <w:rPr>
          <w:lang w:val="pt-BR"/>
        </w:rPr>
        <w:t xml:space="preserve"> do fornecedo</w:t>
      </w:r>
      <w:r w:rsidRPr="000B48B4">
        <w:rPr>
          <w:b/>
          <w:bCs/>
          <w:lang w:val="pt-BR"/>
        </w:rPr>
        <w:t xml:space="preserve">r </w:t>
      </w:r>
      <w:r w:rsidRPr="000B48B4">
        <w:rPr>
          <w:lang w:val="pt-BR"/>
        </w:rPr>
        <w:t>que já usa ou</w:t>
      </w:r>
      <w:r w:rsidRPr="000B48B4">
        <w:rPr>
          <w:b/>
          <w:bCs/>
          <w:lang w:val="pt-BR"/>
        </w:rPr>
        <w:t xml:space="preserve"> contratar um fornecedor novo</w:t>
      </w:r>
      <w:r w:rsidRPr="000B48B4">
        <w:rPr>
          <w:lang w:val="pt-BR"/>
        </w:rPr>
        <w:t xml:space="preserve">. O padrão já existe no Brasil: os prontuários MV e </w:t>
      </w:r>
      <w:proofErr w:type="spellStart"/>
      <w:r w:rsidRPr="000B48B4">
        <w:rPr>
          <w:lang w:val="pt-BR"/>
        </w:rPr>
        <w:t>Tasy</w:t>
      </w:r>
      <w:proofErr w:type="spellEnd"/>
      <w:r w:rsidRPr="000B48B4">
        <w:rPr>
          <w:lang w:val="pt-BR"/>
        </w:rPr>
        <w:t xml:space="preserve"> estão em centenas de hospitais na América Latina (KLAS, </w:t>
      </w:r>
      <w:proofErr w:type="gramStart"/>
      <w:r w:rsidRPr="000B48B4">
        <w:rPr>
          <w:lang w:val="pt-BR"/>
        </w:rPr>
        <w:t>2025)²</w:t>
      </w:r>
      <w:proofErr w:type="gramEnd"/>
      <w:r w:rsidRPr="000B48B4">
        <w:rPr>
          <w:lang w:val="pt-BR"/>
        </w:rPr>
        <w:t>, e a Rede D'Or está ampliando o uso do Tasy³.</w:t>
      </w:r>
    </w:p>
    <w:p w14:paraId="65499D09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 xml:space="preserve">Os grandes clientes vêm em seguida. São os compradores mais valiosos e os que mais conseguem montar a própria IA, como o Einstein, com perto de 120 algoritmos próprios⁶, e o Itaú, com mais de 1,3 mil modelos⁷. Estar também em seguros e bancos protege a Lumis da Aster, mas não dessa internalização. O fornecedor de modelo, por sua vez, anunciou um módulo próprio para saúde, no mesmo movimento de OpenAI e </w:t>
      </w:r>
      <w:proofErr w:type="spellStart"/>
      <w:r w:rsidRPr="000B48B4">
        <w:rPr>
          <w:lang w:val="pt-BR"/>
        </w:rPr>
        <w:t>Anthropic</w:t>
      </w:r>
      <w:proofErr w:type="spellEnd"/>
      <w:r w:rsidRPr="000B48B4">
        <w:rPr>
          <w:lang w:val="pt-BR"/>
        </w:rPr>
        <w:t xml:space="preserve"> em janeiro de 2026⁴ ⁵.</w:t>
      </w:r>
    </w:p>
    <w:p w14:paraId="541A4852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 xml:space="preserve">Distribuição não garante qualidade. O modelo de sepse da Epic, embutido no prontuário, deixou de identificar dois terços dos casos numa validação externa⁸, caso que já usamos no Mapa da Situação. Isso abriria espaço para competir por desempenho comprovado, mas a Lumis ainda não tem essa prova: os 94% de acurácia vêm de uma validação de 2023 em dois hospitais, e em campo o número é </w:t>
      </w:r>
      <w:r w:rsidRPr="000B48B4">
        <w:rPr>
          <w:lang w:val="pt-BR"/>
        </w:rPr>
        <w:lastRenderedPageBreak/>
        <w:t xml:space="preserve">87,6%, com o maior erro entre idosos de CEP D/E </w:t>
      </w:r>
      <w:r w:rsidRPr="000B48B4">
        <w:rPr>
          <w:rStyle w:val="TagFonte"/>
          <w:lang w:val="pt-BR"/>
        </w:rPr>
        <w:t>[fonte: Cap. 2, Quadros 9 a 11]</w:t>
      </w:r>
      <w:r w:rsidRPr="000B48B4">
        <w:rPr>
          <w:lang w:val="pt-BR"/>
        </w:rPr>
        <w:t>. Sem vencer pela distribuição, a Lumis depende do que tem, e boa parte disso pode mudar sem que ela decida.</w:t>
      </w:r>
    </w:p>
    <w:p w14:paraId="0F555AC4" w14:textId="77777777" w:rsidR="00BF58EC" w:rsidRPr="000B48B4" w:rsidRDefault="00000000">
      <w:pPr>
        <w:pStyle w:val="Ttulo1"/>
        <w:rPr>
          <w:lang w:val="pt-BR"/>
        </w:rPr>
      </w:pPr>
      <w:r w:rsidRPr="000B48B4">
        <w:rPr>
          <w:lang w:val="pt-BR"/>
        </w:rPr>
        <w:t>3. O que pode mudar sem a Lumis decidir</w:t>
      </w:r>
    </w:p>
    <w:p w14:paraId="5887D709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>Duas das cinco dependências estruturais pedem a atenção do conselho agora, e as duas têm prazo.</w:t>
      </w:r>
    </w:p>
    <w:p w14:paraId="6E515932" w14:textId="77777777" w:rsidR="00BF58EC" w:rsidRDefault="00000000">
      <w:pPr>
        <w:keepNext/>
        <w:jc w:val="center"/>
      </w:pPr>
      <w:r>
        <w:rPr>
          <w:noProof/>
        </w:rPr>
        <w:drawing>
          <wp:inline distT="0" distB="0" distL="0" distR="0" wp14:anchorId="0C33B3D7" wp14:editId="3686F8E0">
            <wp:extent cx="5760000" cy="2362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elog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C6B4" w14:textId="77777777" w:rsidR="00BF58EC" w:rsidRPr="000B48B4" w:rsidRDefault="00000000">
      <w:pPr>
        <w:pStyle w:val="Legenda"/>
        <w:rPr>
          <w:lang w:val="pt-BR"/>
        </w:rPr>
      </w:pPr>
      <w:r w:rsidRPr="000B48B4">
        <w:rPr>
          <w:lang w:val="pt-BR"/>
        </w:rPr>
        <w:t>Figura 3. Prazos das dependências críticas a partir de outubro de 2026. Fonte: Cap. 2, Quadros 5 e 7.</w:t>
      </w:r>
    </w:p>
    <w:p w14:paraId="0DEEC4D4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>A mais grave é a dos dados de clientes, a única que sustenta o ativo próprio e não tem substituto. Os dois contratos com autorização frágil vencem em dezembro de 2026 (Seguradora Prisma) e março de 2027 (Hospital Vila Ipê). Se a renegociação restringir o uso, a Lumis pode ter de retirar mais de um terço dos dados de clientes e retreinar o modelo.</w:t>
      </w:r>
    </w:p>
    <w:p w14:paraId="1C01BFE6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 xml:space="preserve">A mais rápida é a do fornecedor de modelo, que muda preço, termos ou versões com 30 dias de aviso. Se o preço dobrar, a margem bruta cai de 58% para 39,5%; somado a um dólar de R$ 6,50, chega a 29,6% (Figura 4). Há precedente: a </w:t>
      </w:r>
      <w:proofErr w:type="spellStart"/>
      <w:r w:rsidRPr="000B48B4">
        <w:rPr>
          <w:lang w:val="pt-BR"/>
        </w:rPr>
        <w:t>Anthropic</w:t>
      </w:r>
      <w:proofErr w:type="spellEnd"/>
      <w:r w:rsidRPr="000B48B4">
        <w:rPr>
          <w:lang w:val="pt-BR"/>
        </w:rPr>
        <w:t xml:space="preserve"> quadruplicou o preço de um de seus modelos em 2024⁹, e a própria Lumis já viu o desempenho cair depois de uma atualização do fornecedor, em setembro de 2025 </w:t>
      </w:r>
      <w:r w:rsidRPr="000B48B4">
        <w:rPr>
          <w:rStyle w:val="TagFonte"/>
          <w:lang w:val="pt-BR"/>
        </w:rPr>
        <w:t>[fonte: Cap. 2, Quadro 14]</w:t>
      </w:r>
      <w:r w:rsidRPr="000B48B4">
        <w:rPr>
          <w:lang w:val="pt-BR"/>
        </w:rPr>
        <w:t>.</w:t>
      </w:r>
    </w:p>
    <w:p w14:paraId="0A2BADF4" w14:textId="77777777" w:rsidR="00BF58EC" w:rsidRDefault="00000000">
      <w:pPr>
        <w:keepNext/>
        <w:jc w:val="center"/>
      </w:pPr>
      <w:r>
        <w:rPr>
          <w:noProof/>
        </w:rPr>
        <w:drawing>
          <wp:inline distT="0" distB="0" distL="0" distR="0" wp14:anchorId="730684EF" wp14:editId="5C26C3AD">
            <wp:extent cx="5760000" cy="17742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marg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237C" w14:textId="77777777" w:rsidR="00BF58EC" w:rsidRPr="000B48B4" w:rsidRDefault="00000000">
      <w:pPr>
        <w:pStyle w:val="Legenda"/>
        <w:rPr>
          <w:lang w:val="pt-BR"/>
        </w:rPr>
      </w:pPr>
      <w:r w:rsidRPr="000B48B4">
        <w:rPr>
          <w:lang w:val="pt-BR"/>
        </w:rPr>
        <w:t>Figura 4. Margem bruta em cada cenário de choque. Fonte: cálculos da equipe a partir dos Quadros 3 e 4 do Cap. 2.</w:t>
      </w:r>
    </w:p>
    <w:p w14:paraId="1B072E95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>Para as cinco dependências, recomendamos as respostas da Tabela 1, que a Lumis ainda não pratica. A força de negociação dela está nos clientes médios, que não têm time próprio de IA.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1814"/>
        <w:gridCol w:w="1474"/>
        <w:gridCol w:w="2041"/>
      </w:tblGrid>
      <w:tr w:rsidR="00BF58EC" w14:paraId="7BA859BE" w14:textId="77777777">
        <w:trPr>
          <w:tblHeader/>
          <w:jc w:val="center"/>
        </w:trPr>
        <w:tc>
          <w:tcPr>
            <w:tcW w:w="1928" w:type="dxa"/>
            <w:shd w:val="clear" w:color="auto" w:fill="0F2D3A"/>
          </w:tcPr>
          <w:p w14:paraId="7D92B822" w14:textId="77777777" w:rsidR="00BF58EC" w:rsidRDefault="00000000">
            <w:pPr>
              <w:pStyle w:val="LumisTabela"/>
            </w:pPr>
            <w:proofErr w:type="spellStart"/>
            <w:r>
              <w:rPr>
                <w:b/>
                <w:color w:val="FFFFFF"/>
              </w:rPr>
              <w:t>Dependência</w:t>
            </w:r>
            <w:proofErr w:type="spellEnd"/>
          </w:p>
        </w:tc>
        <w:tc>
          <w:tcPr>
            <w:tcW w:w="1814" w:type="dxa"/>
            <w:shd w:val="clear" w:color="auto" w:fill="0F2D3A"/>
          </w:tcPr>
          <w:p w14:paraId="00AEDE6D" w14:textId="77777777" w:rsidR="00BF58EC" w:rsidRDefault="00000000">
            <w:pPr>
              <w:pStyle w:val="LumisTabela"/>
            </w:pPr>
            <w:r>
              <w:rPr>
                <w:b/>
                <w:color w:val="FFFFFF"/>
              </w:rPr>
              <w:t>Se mudar PREÇO</w:t>
            </w:r>
          </w:p>
        </w:tc>
        <w:tc>
          <w:tcPr>
            <w:tcW w:w="1814" w:type="dxa"/>
            <w:shd w:val="clear" w:color="auto" w:fill="0F2D3A"/>
          </w:tcPr>
          <w:p w14:paraId="4F97A8A1" w14:textId="77777777" w:rsidR="00BF58EC" w:rsidRDefault="00000000">
            <w:pPr>
              <w:pStyle w:val="LumisTabela"/>
            </w:pPr>
            <w:r>
              <w:rPr>
                <w:b/>
                <w:color w:val="FFFFFF"/>
              </w:rPr>
              <w:t>Se mudar TERMOS</w:t>
            </w:r>
          </w:p>
        </w:tc>
        <w:tc>
          <w:tcPr>
            <w:tcW w:w="1474" w:type="dxa"/>
            <w:shd w:val="clear" w:color="auto" w:fill="0F2D3A"/>
          </w:tcPr>
          <w:p w14:paraId="082D08B3" w14:textId="77777777" w:rsidR="00BF58EC" w:rsidRDefault="00000000">
            <w:pPr>
              <w:pStyle w:val="LumisTabela"/>
            </w:pPr>
            <w:r>
              <w:rPr>
                <w:b/>
                <w:color w:val="FFFFFF"/>
              </w:rPr>
              <w:t>Se mudar ESCOPO</w:t>
            </w:r>
          </w:p>
        </w:tc>
        <w:tc>
          <w:tcPr>
            <w:tcW w:w="2041" w:type="dxa"/>
            <w:shd w:val="clear" w:color="auto" w:fill="0F2D3A"/>
          </w:tcPr>
          <w:p w14:paraId="42B382A9" w14:textId="77777777" w:rsidR="00BF58EC" w:rsidRDefault="00000000">
            <w:pPr>
              <w:pStyle w:val="LumisTabela"/>
            </w:pPr>
            <w:r>
              <w:rPr>
                <w:b/>
                <w:color w:val="FFFFFF"/>
              </w:rPr>
              <w:t>Resposta possível</w:t>
            </w:r>
          </w:p>
        </w:tc>
      </w:tr>
      <w:tr w:rsidR="00BF58EC" w14:paraId="07FC700B" w14:textId="77777777">
        <w:trPr>
          <w:jc w:val="center"/>
        </w:trPr>
        <w:tc>
          <w:tcPr>
            <w:tcW w:w="1928" w:type="dxa"/>
          </w:tcPr>
          <w:p w14:paraId="0487D1C0" w14:textId="77777777" w:rsidR="00BF58EC" w:rsidRDefault="00000000">
            <w:pPr>
              <w:pStyle w:val="LumisTabela"/>
            </w:pPr>
            <w:r w:rsidRPr="000B48B4">
              <w:rPr>
                <w:b/>
                <w:lang w:val="pt-BR"/>
              </w:rPr>
              <w:lastRenderedPageBreak/>
              <w:t>1. Dados de clientes</w:t>
            </w:r>
            <w:r w:rsidRPr="000B48B4">
              <w:rPr>
                <w:lang w:val="pt-BR"/>
              </w:rPr>
              <w:t xml:space="preserve"> (38 contratos). Hospital Vila Ipê: cláusula genérica, vence em 03/2027. </w:t>
            </w:r>
            <w:proofErr w:type="spellStart"/>
            <w:r>
              <w:t>Seguradora</w:t>
            </w:r>
            <w:proofErr w:type="spellEnd"/>
            <w:r>
              <w:t xml:space="preserve"> Prisma: 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silente</w:t>
            </w:r>
            <w:proofErr w:type="spellEnd"/>
            <w:r>
              <w:t>, vence em 12/2026.</w:t>
            </w:r>
          </w:p>
        </w:tc>
        <w:tc>
          <w:tcPr>
            <w:tcW w:w="1814" w:type="dxa"/>
          </w:tcPr>
          <w:p w14:paraId="698672D0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Os clientes podem passar a cobrar pelo dado ou exigir contrapartida.</w:t>
            </w:r>
          </w:p>
        </w:tc>
        <w:tc>
          <w:tcPr>
            <w:tcW w:w="1814" w:type="dxa"/>
          </w:tcPr>
          <w:p w14:paraId="65EF7B03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Uma renegociação pode restringir o treinamento ou exigir a retirada de 35,4% dos dados de clientes, o que forçaria retreinar o modelo.</w:t>
            </w:r>
          </w:p>
        </w:tc>
        <w:tc>
          <w:tcPr>
            <w:tcW w:w="1474" w:type="dxa"/>
          </w:tcPr>
          <w:p w14:paraId="2F4F200C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Clientes grandes podem levar os próprios dados para a Aster ou para o fornecedor de modelo.</w:t>
            </w:r>
          </w:p>
        </w:tc>
        <w:tc>
          <w:tcPr>
            <w:tcW w:w="2041" w:type="dxa"/>
          </w:tcPr>
          <w:p w14:paraId="098D2CCD" w14:textId="77777777" w:rsidR="00BF58EC" w:rsidRDefault="00000000">
            <w:pPr>
              <w:pStyle w:val="LumisTabela"/>
            </w:pPr>
            <w:r w:rsidRPr="000B48B4">
              <w:rPr>
                <w:lang w:val="pt-BR"/>
              </w:rPr>
              <w:t xml:space="preserve">Assinar aditivos de direito de uso antes dos vencimentos e montar a linhagem de dados para isolar os registros frágeis. </w:t>
            </w:r>
            <w:r>
              <w:t xml:space="preserve">A auditoria completa </w:t>
            </w:r>
            <w:proofErr w:type="spellStart"/>
            <w:r>
              <w:t>fica</w:t>
            </w:r>
            <w:proofErr w:type="spellEnd"/>
            <w:r>
              <w:t xml:space="preserve"> para a Entrega 2.</w:t>
            </w:r>
          </w:p>
        </w:tc>
      </w:tr>
      <w:tr w:rsidR="00BF58EC" w:rsidRPr="000B48B4" w14:paraId="1D3AFFDD" w14:textId="77777777">
        <w:trPr>
          <w:jc w:val="center"/>
        </w:trPr>
        <w:tc>
          <w:tcPr>
            <w:tcW w:w="1928" w:type="dxa"/>
            <w:shd w:val="clear" w:color="auto" w:fill="F1F6F4"/>
          </w:tcPr>
          <w:p w14:paraId="7A6318FB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b/>
                <w:lang w:val="pt-BR"/>
              </w:rPr>
              <w:t>2. Modelo fundacional</w:t>
            </w:r>
            <w:r w:rsidRPr="000B48B4">
              <w:rPr>
                <w:lang w:val="pt-BR"/>
              </w:rPr>
              <w:t xml:space="preserve"> (fornecedor único, 44,3% do custo direto, 30 dias de aviso).</w:t>
            </w:r>
          </w:p>
        </w:tc>
        <w:tc>
          <w:tcPr>
            <w:tcW w:w="1814" w:type="dxa"/>
            <w:shd w:val="clear" w:color="auto" w:fill="F1F6F4"/>
          </w:tcPr>
          <w:p w14:paraId="46C23DDC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Com +20%, a margem bruta cai para 54,3%. Com +100%, cai para 39,5%, a queima vai a R$ 2,54 </w:t>
            </w:r>
            <w:proofErr w:type="spellStart"/>
            <w:r w:rsidRPr="000B48B4">
              <w:rPr>
                <w:lang w:val="pt-BR"/>
              </w:rPr>
              <w:t>mi</w:t>
            </w:r>
            <w:proofErr w:type="spellEnd"/>
            <w:r w:rsidRPr="000B48B4">
              <w:rPr>
                <w:lang w:val="pt-BR"/>
              </w:rPr>
              <w:t xml:space="preserve"> por mês e o </w:t>
            </w:r>
            <w:proofErr w:type="spellStart"/>
            <w:r w:rsidRPr="000B48B4">
              <w:rPr>
                <w:lang w:val="pt-BR"/>
              </w:rPr>
              <w:t>runway</w:t>
            </w:r>
            <w:proofErr w:type="spellEnd"/>
            <w:r w:rsidRPr="000B48B4">
              <w:rPr>
                <w:lang w:val="pt-BR"/>
              </w:rPr>
              <w:t xml:space="preserve"> encurta de 11,6 para 8,7 meses. Há precedente: em 2024, a </w:t>
            </w:r>
            <w:proofErr w:type="spellStart"/>
            <w:r w:rsidRPr="000B48B4">
              <w:rPr>
                <w:lang w:val="pt-BR"/>
              </w:rPr>
              <w:t>Anthropic</w:t>
            </w:r>
            <w:proofErr w:type="spellEnd"/>
            <w:r w:rsidRPr="000B48B4">
              <w:rPr>
                <w:lang w:val="pt-BR"/>
              </w:rPr>
              <w:t xml:space="preserve"> quadruplicou o preço do </w:t>
            </w:r>
            <w:proofErr w:type="spellStart"/>
            <w:r w:rsidRPr="000B48B4">
              <w:rPr>
                <w:lang w:val="pt-BR"/>
              </w:rPr>
              <w:t>Haiku</w:t>
            </w:r>
            <w:proofErr w:type="spellEnd"/>
            <w:r w:rsidRPr="000B48B4">
              <w:rPr>
                <w:lang w:val="pt-BR"/>
              </w:rPr>
              <w:t>⁹.</w:t>
            </w:r>
          </w:p>
        </w:tc>
        <w:tc>
          <w:tcPr>
            <w:tcW w:w="1814" w:type="dxa"/>
            <w:shd w:val="clear" w:color="auto" w:fill="F1F6F4"/>
          </w:tcPr>
          <w:p w14:paraId="24CBF152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Se um modelo for descontinuado, o sistema clínico precisa ser revalidado. O desempenho já caiu depois de uma atualização do fornecedor (09/2025, registro de incidentes).</w:t>
            </w:r>
          </w:p>
        </w:tc>
        <w:tc>
          <w:tcPr>
            <w:tcW w:w="1474" w:type="dxa"/>
            <w:shd w:val="clear" w:color="auto" w:fill="F1F6F4"/>
          </w:tcPr>
          <w:p w14:paraId="3EF5ACCF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Com o módulo próprio de saúde, o fornecedor passa a concorrer na camada de aplicação.</w:t>
            </w:r>
          </w:p>
        </w:tc>
        <w:tc>
          <w:tcPr>
            <w:tcW w:w="2041" w:type="dxa"/>
            <w:shd w:val="clear" w:color="auto" w:fill="F1F6F4"/>
          </w:tcPr>
          <w:p w14:paraId="71F348C1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Homologar um segundo fornecedor, negociar preço e versão travados e avaliar se o núcleo preditivo pode rodar em modelo próprio </w:t>
            </w:r>
            <w:r w:rsidRPr="000B48B4">
              <w:rPr>
                <w:rStyle w:val="TagHiptese"/>
                <w:lang w:val="pt-BR"/>
              </w:rPr>
              <w:t>[hipótese: viável se a predição for sobre dados tabulares]</w:t>
            </w:r>
            <w:r w:rsidRPr="000B48B4">
              <w:rPr>
                <w:lang w:val="pt-BR"/>
              </w:rPr>
              <w:t>.</w:t>
            </w:r>
          </w:p>
        </w:tc>
      </w:tr>
      <w:tr w:rsidR="00BF58EC" w14:paraId="7778CFF3" w14:textId="77777777">
        <w:trPr>
          <w:jc w:val="center"/>
        </w:trPr>
        <w:tc>
          <w:tcPr>
            <w:tcW w:w="1928" w:type="dxa"/>
          </w:tcPr>
          <w:p w14:paraId="7B767C8D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b/>
                <w:lang w:val="pt-BR"/>
              </w:rPr>
              <w:t>3. Câmbio</w:t>
            </w:r>
            <w:r w:rsidRPr="000B48B4">
              <w:rPr>
                <w:lang w:val="pt-BR"/>
              </w:rPr>
              <w:t xml:space="preserve"> (72,2% do custo em US$, receita em R$).</w:t>
            </w:r>
          </w:p>
        </w:tc>
        <w:tc>
          <w:tcPr>
            <w:tcW w:w="1814" w:type="dxa"/>
          </w:tcPr>
          <w:p w14:paraId="0B952111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Cada R$ 0,10 a mais no dólar custa R$ 19.240 por mês. Com o dólar a R$ 6,00, a margem bruta fica em 54,7%; a R$ 6,50, em 51,9%.</w:t>
            </w:r>
          </w:p>
        </w:tc>
        <w:tc>
          <w:tcPr>
            <w:tcW w:w="1814" w:type="dxa"/>
          </w:tcPr>
          <w:p w14:paraId="732235C1" w14:textId="77777777" w:rsidR="00BF58EC" w:rsidRDefault="00000000">
            <w:pPr>
              <w:pStyle w:val="LumisTabela"/>
            </w:pPr>
            <w:r>
              <w:t>—</w:t>
            </w:r>
          </w:p>
        </w:tc>
        <w:tc>
          <w:tcPr>
            <w:tcW w:w="1474" w:type="dxa"/>
          </w:tcPr>
          <w:p w14:paraId="0275303E" w14:textId="77777777" w:rsidR="00BF58EC" w:rsidRDefault="00000000">
            <w:pPr>
              <w:pStyle w:val="LumisTabela"/>
            </w:pPr>
            <w:r>
              <w:t>—</w:t>
            </w:r>
          </w:p>
        </w:tc>
        <w:tc>
          <w:tcPr>
            <w:tcW w:w="2041" w:type="dxa"/>
          </w:tcPr>
          <w:p w14:paraId="64C86934" w14:textId="77777777" w:rsidR="00BF58EC" w:rsidRDefault="00000000">
            <w:pPr>
              <w:pStyle w:val="LumisTabela"/>
            </w:pPr>
            <w:r w:rsidRPr="000B48B4">
              <w:rPr>
                <w:lang w:val="pt-BR"/>
              </w:rPr>
              <w:t xml:space="preserve">Avaliar proteção cambial e cláusula de reajuste nos contratos com clientes.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consta</w:t>
            </w:r>
            <w:proofErr w:type="spellEnd"/>
            <w:r>
              <w:t xml:space="preserve"> se a Lumis já tem hedge.</w:t>
            </w:r>
          </w:p>
        </w:tc>
      </w:tr>
      <w:tr w:rsidR="00BF58EC" w:rsidRPr="000B48B4" w14:paraId="0A5684E3" w14:textId="77777777">
        <w:trPr>
          <w:jc w:val="center"/>
        </w:trPr>
        <w:tc>
          <w:tcPr>
            <w:tcW w:w="1928" w:type="dxa"/>
            <w:shd w:val="clear" w:color="auto" w:fill="F1F6F4"/>
          </w:tcPr>
          <w:p w14:paraId="70CE88DF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b/>
                <w:lang w:val="pt-BR"/>
              </w:rPr>
              <w:t>4. Nuvem</w:t>
            </w:r>
            <w:r w:rsidRPr="000B48B4">
              <w:rPr>
                <w:lang w:val="pt-BR"/>
              </w:rPr>
              <w:t xml:space="preserve"> (provedor global, 27,9% do custo, renovação em 04/2027).</w:t>
            </w:r>
          </w:p>
        </w:tc>
        <w:tc>
          <w:tcPr>
            <w:tcW w:w="1814" w:type="dxa"/>
            <w:shd w:val="clear" w:color="auto" w:fill="F1F6F4"/>
          </w:tcPr>
          <w:p w14:paraId="3E65CCEC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Cada 10% de reajuste custa R$ 40.176 por mês. Como a migração leva 7 meses, a Lumis aceita a renovação praticamente sem alternativa.</w:t>
            </w:r>
          </w:p>
        </w:tc>
        <w:tc>
          <w:tcPr>
            <w:tcW w:w="1814" w:type="dxa"/>
            <w:shd w:val="clear" w:color="auto" w:fill="F1F6F4"/>
          </w:tcPr>
          <w:p w14:paraId="62734197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Uma mudança de região ou de condições técnicas pode trazer exigências de transferência internacional de dados de saúde </w:t>
            </w:r>
            <w:r w:rsidRPr="000B48B4">
              <w:rPr>
                <w:rStyle w:val="TagHiptese"/>
                <w:lang w:val="pt-BR"/>
              </w:rPr>
              <w:t>[hipótese]</w:t>
            </w:r>
            <w:r w:rsidRPr="000B48B4">
              <w:rPr>
                <w:lang w:val="pt-BR"/>
              </w:rPr>
              <w:t>.</w:t>
            </w:r>
          </w:p>
        </w:tc>
        <w:tc>
          <w:tcPr>
            <w:tcW w:w="1474" w:type="dxa"/>
            <w:shd w:val="clear" w:color="auto" w:fill="F1F6F4"/>
          </w:tcPr>
          <w:p w14:paraId="7AA81F1C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Os provedores de nuvem também vendem IA para saúde </w:t>
            </w:r>
            <w:r w:rsidRPr="000B48B4">
              <w:rPr>
                <w:rStyle w:val="TagHiptese"/>
                <w:lang w:val="pt-BR"/>
              </w:rPr>
              <w:t>[hipótese de sobreposição]</w:t>
            </w:r>
            <w:r w:rsidRPr="000B48B4">
              <w:rPr>
                <w:lang w:val="pt-BR"/>
              </w:rPr>
              <w:t>.</w:t>
            </w:r>
          </w:p>
        </w:tc>
        <w:tc>
          <w:tcPr>
            <w:tcW w:w="2041" w:type="dxa"/>
            <w:shd w:val="clear" w:color="auto" w:fill="F1F6F4"/>
          </w:tcPr>
          <w:p w14:paraId="1EBE6C89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Começar já um plano de portabilidade e negociar a renovação com cláusulas de saída.</w:t>
            </w:r>
          </w:p>
        </w:tc>
      </w:tr>
      <w:tr w:rsidR="00BF58EC" w:rsidRPr="000B48B4" w14:paraId="17A37983" w14:textId="77777777">
        <w:trPr>
          <w:jc w:val="center"/>
        </w:trPr>
        <w:tc>
          <w:tcPr>
            <w:tcW w:w="1928" w:type="dxa"/>
          </w:tcPr>
          <w:p w14:paraId="3434A606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b/>
                <w:lang w:val="pt-BR"/>
              </w:rPr>
              <w:t>5. Bases clínicas</w:t>
            </w:r>
            <w:r w:rsidRPr="000B48B4">
              <w:rPr>
                <w:lang w:val="pt-BR"/>
              </w:rPr>
              <w:t xml:space="preserve"> (consórcio, 7,8% do custo).</w:t>
            </w:r>
          </w:p>
        </w:tc>
        <w:tc>
          <w:tcPr>
            <w:tcW w:w="1814" w:type="dxa"/>
          </w:tcPr>
          <w:p w14:paraId="62D1F870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O reajuste é indexado e não tem teto; cada </w:t>
            </w:r>
            <w:proofErr w:type="gramStart"/>
            <w:r w:rsidRPr="000B48B4">
              <w:rPr>
                <w:lang w:val="pt-BR"/>
              </w:rPr>
              <w:t>10% custa</w:t>
            </w:r>
            <w:proofErr w:type="gramEnd"/>
            <w:r w:rsidRPr="000B48B4">
              <w:rPr>
                <w:lang w:val="pt-BR"/>
              </w:rPr>
              <w:t xml:space="preserve"> R$ 11.204 por mês.</w:t>
            </w:r>
          </w:p>
        </w:tc>
        <w:tc>
          <w:tcPr>
            <w:tcW w:w="1814" w:type="dxa"/>
          </w:tcPr>
          <w:p w14:paraId="2C34CCBC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A renovação automática pode travar a saída.</w:t>
            </w:r>
          </w:p>
        </w:tc>
        <w:tc>
          <w:tcPr>
            <w:tcW w:w="1474" w:type="dxa"/>
          </w:tcPr>
          <w:p w14:paraId="009F1F4B" w14:textId="77777777" w:rsidR="00BF58EC" w:rsidRDefault="00000000">
            <w:pPr>
              <w:pStyle w:val="LumisTabela"/>
            </w:pPr>
            <w:r>
              <w:t>—</w:t>
            </w:r>
          </w:p>
        </w:tc>
        <w:tc>
          <w:tcPr>
            <w:tcW w:w="2041" w:type="dxa"/>
          </w:tcPr>
          <w:p w14:paraId="73802F4C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Negociar teto de reajuste na renovação.</w:t>
            </w:r>
          </w:p>
        </w:tc>
      </w:tr>
    </w:tbl>
    <w:p w14:paraId="75796231" w14:textId="77777777" w:rsidR="00BF58EC" w:rsidRPr="000B48B4" w:rsidRDefault="00000000">
      <w:pPr>
        <w:pStyle w:val="Legenda"/>
        <w:rPr>
          <w:lang w:val="pt-BR"/>
        </w:rPr>
      </w:pPr>
      <w:r w:rsidRPr="000B48B4">
        <w:rPr>
          <w:lang w:val="pt-BR"/>
        </w:rPr>
        <w:t>Tabela 1. Dependências estruturais, efeito de cada mudança e resposta recomendada. Fonte: Cap. 2, Quadros 3, 4, 5, 7 e 14; cálculos da equipe a partir do Quadro 4.</w:t>
      </w:r>
    </w:p>
    <w:p w14:paraId="4CB8D634" w14:textId="77777777" w:rsidR="00BF58EC" w:rsidRPr="000B48B4" w:rsidRDefault="00000000">
      <w:pPr>
        <w:pStyle w:val="Ttulo1"/>
        <w:rPr>
          <w:lang w:val="pt-BR"/>
        </w:rPr>
      </w:pPr>
      <w:r w:rsidRPr="000B48B4">
        <w:rPr>
          <w:lang w:val="pt-BR"/>
        </w:rPr>
        <w:t>4. O que é difícil de copiar</w:t>
      </w:r>
    </w:p>
    <w:p w14:paraId="69FE7203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 xml:space="preserve">Partimos da leitura de que o diferencial está na combinação de produto especializado, integração com o cliente e conhecimento acumulado, já que a tecnologia sozinha é copiável. Testada contra os dados, nenhuma parte dessa combinação chega hoje a ser difícil de copiar, e duas delas são </w:t>
      </w:r>
      <w:proofErr w:type="gramStart"/>
      <w:r w:rsidRPr="000B48B4">
        <w:rPr>
          <w:lang w:val="pt-BR"/>
        </w:rPr>
        <w:t>passivo</w:t>
      </w:r>
      <w:proofErr w:type="gramEnd"/>
      <w:r w:rsidRPr="000B48B4">
        <w:rPr>
          <w:lang w:val="pt-BR"/>
        </w:rPr>
        <w:t>.</w:t>
      </w:r>
    </w:p>
    <w:p w14:paraId="6168D739" w14:textId="77777777" w:rsidR="00BF58E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2DB19E" wp14:editId="3203D836">
            <wp:extent cx="5760000" cy="33675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copi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8266" w14:textId="77777777" w:rsidR="00BF58EC" w:rsidRPr="000B48B4" w:rsidRDefault="00000000">
      <w:pPr>
        <w:pStyle w:val="Legenda"/>
        <w:rPr>
          <w:lang w:val="pt-BR"/>
        </w:rPr>
      </w:pPr>
      <w:r w:rsidRPr="000B48B4">
        <w:rPr>
          <w:lang w:val="pt-BR"/>
        </w:rPr>
        <w:t>Figura 5. Cada elemento da combinação testado contra os dados. Fonte: Cap. 2, Quadros 3, 6, 7, 9 e 11; classificação da equipe.</w:t>
      </w:r>
    </w:p>
    <w:p w14:paraId="6A382A9D" w14:textId="77777777" w:rsidR="00BF58EC" w:rsidRDefault="00000000">
      <w:r w:rsidRPr="000B48B4">
        <w:rPr>
          <w:lang w:val="pt-BR"/>
        </w:rPr>
        <w:t xml:space="preserve">Um concorrente com mais capital replica a tecnologia em meses, e o dono do prontuário replica a distribuição de imediato. O que pode vir a ser difícil de copiar é o dado de desfecho da priorização clínica no fluxo hospitalar brasileiro, com direito de uso limpo, acompanhado de prova auditável de desempenho por subgrupo. Nem o dono do prontuário nem o fornecedor de modelo têm isso hoje. </w:t>
      </w:r>
      <w:r>
        <w:t xml:space="preserve">Para </w:t>
      </w:r>
      <w:proofErr w:type="spellStart"/>
      <w:r>
        <w:t>chegar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</w:t>
      </w:r>
      <w:proofErr w:type="spellStart"/>
      <w:r>
        <w:t>propomos</w:t>
      </w:r>
      <w:proofErr w:type="spellEnd"/>
      <w:r>
        <w:t xml:space="preserve"> três movimentos:</w:t>
      </w:r>
    </w:p>
    <w:p w14:paraId="07C7C5A5" w14:textId="77777777" w:rsidR="00BF58EC" w:rsidRPr="000B48B4" w:rsidRDefault="00000000">
      <w:pPr>
        <w:pStyle w:val="Commarcadores"/>
        <w:rPr>
          <w:lang w:val="pt-BR"/>
        </w:rPr>
      </w:pPr>
      <w:r w:rsidRPr="000B48B4">
        <w:rPr>
          <w:b/>
          <w:lang w:val="pt-BR"/>
        </w:rPr>
        <w:t>Regularizar os contratos de dados</w:t>
      </w:r>
      <w:r w:rsidRPr="000B48B4">
        <w:rPr>
          <w:lang w:val="pt-BR"/>
        </w:rPr>
        <w:t xml:space="preserve"> antes dos vencimentos de dezembro de 2026 e março de 2027 e estender o direito de uso aos clientes que hoje não contribuem com dados.</w:t>
      </w:r>
    </w:p>
    <w:p w14:paraId="15F6010B" w14:textId="77777777" w:rsidR="00BF58EC" w:rsidRPr="000B48B4" w:rsidRDefault="00000000">
      <w:pPr>
        <w:pStyle w:val="Commarcadores"/>
        <w:rPr>
          <w:lang w:val="pt-BR"/>
        </w:rPr>
      </w:pPr>
      <w:r w:rsidRPr="000B48B4">
        <w:rPr>
          <w:b/>
          <w:lang w:val="pt-BR"/>
        </w:rPr>
        <w:t>Trocar os 94% por uma validação em campo</w:t>
      </w:r>
      <w:r w:rsidRPr="000B48B4">
        <w:rPr>
          <w:lang w:val="pt-BR"/>
        </w:rPr>
        <w:t>, separada por subgrupo e publicada. Isso também cumpre nosso compromisso de Não Amplificação de Danos, assumido na Declaração de Intenção da Fase 1.</w:t>
      </w:r>
    </w:p>
    <w:p w14:paraId="1992BC05" w14:textId="77777777" w:rsidR="00BF58EC" w:rsidRPr="000B48B4" w:rsidRDefault="00000000">
      <w:pPr>
        <w:pStyle w:val="Commarcadores"/>
        <w:rPr>
          <w:lang w:val="pt-BR"/>
        </w:rPr>
      </w:pPr>
      <w:r w:rsidRPr="000B48B4">
        <w:rPr>
          <w:b/>
          <w:lang w:val="pt-BR"/>
        </w:rPr>
        <w:t>Concentrar a operação nos hospitais e seguradoras médios</w:t>
      </w:r>
      <w:r w:rsidRPr="000B48B4">
        <w:rPr>
          <w:lang w:val="pt-BR"/>
        </w:rPr>
        <w:t>, onde a integração vale mais e o cliente não tem time próprio para fazer a IA.</w:t>
      </w:r>
    </w:p>
    <w:p w14:paraId="2D43C80F" w14:textId="77777777" w:rsidR="00BF58EC" w:rsidRPr="000B48B4" w:rsidRDefault="00000000">
      <w:pPr>
        <w:pStyle w:val="Ttulo1"/>
        <w:rPr>
          <w:lang w:val="pt-BR"/>
        </w:rPr>
      </w:pPr>
      <w:r w:rsidRPr="000B48B4">
        <w:rPr>
          <w:lang w:val="pt-BR"/>
        </w:rPr>
        <w:t>5. O que isso muda na tese</w:t>
      </w:r>
    </w:p>
    <w:p w14:paraId="1C5EC2CA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 xml:space="preserve">A tese de crescimento para o Vetor Capital precisa mostrar o que a Lumis vai construir para merecer o múltiplo de 10,3 vezes o ARR </w:t>
      </w:r>
      <w:r w:rsidRPr="000B48B4">
        <w:rPr>
          <w:rStyle w:val="TagFonte"/>
          <w:lang w:val="pt-BR"/>
        </w:rPr>
        <w:t>[fonte: Cap. 2, Quadro 3]</w:t>
      </w:r>
      <w:r w:rsidRPr="000B48B4">
        <w:rPr>
          <w:lang w:val="pt-BR"/>
        </w:rPr>
        <w:t>, porque o que ela tem hoje não sustenta esse valor sozinho. A Entrega 2 detalha os contratos e as métricas, e a Entrega 3 define quem responde por cada decisão sobre fornecedores.</w:t>
      </w:r>
    </w:p>
    <w:p w14:paraId="7A6382F7" w14:textId="77777777" w:rsidR="00BF58EC" w:rsidRPr="000B48B4" w:rsidRDefault="00000000">
      <w:pPr>
        <w:pStyle w:val="Ttulo2"/>
        <w:rPr>
          <w:lang w:val="pt-BR"/>
        </w:rPr>
      </w:pPr>
      <w:r w:rsidRPr="000B48B4">
        <w:rPr>
          <w:lang w:val="pt-BR"/>
        </w:rPr>
        <w:t>Referências (contexto externo, análogos reais)</w:t>
      </w:r>
    </w:p>
    <w:p w14:paraId="56A437CA" w14:textId="77777777" w:rsidR="00BF58EC" w:rsidRPr="000B48B4" w:rsidRDefault="00000000">
      <w:pPr>
        <w:pStyle w:val="LumisNota"/>
        <w:rPr>
          <w:lang w:val="pt-BR"/>
        </w:rPr>
      </w:pPr>
      <w:r>
        <w:t xml:space="preserve">1. SYNERGY RESEARCH GROUP. Q2 Cloud Market Passes $143 Billion. </w:t>
      </w:r>
      <w:r w:rsidRPr="000B48B4">
        <w:rPr>
          <w:lang w:val="pt-BR"/>
        </w:rPr>
        <w:t>30 jul. 2026. Disponível em: https://www.srgresearch.com/articles/q2-cloud-market-passes-143-billion-highest-growth-rate-in-eight-years.</w:t>
      </w:r>
    </w:p>
    <w:p w14:paraId="74FD162C" w14:textId="77777777" w:rsidR="00BF58EC" w:rsidRPr="000B48B4" w:rsidRDefault="00000000">
      <w:pPr>
        <w:pStyle w:val="LumisNota"/>
        <w:rPr>
          <w:lang w:val="pt-BR"/>
        </w:rPr>
      </w:pPr>
      <w:r w:rsidRPr="000B48B4">
        <w:rPr>
          <w:lang w:val="pt-BR"/>
        </w:rPr>
        <w:t>2. MV. MV se torna a 5ª maior fornecedora global de prontuário eletrônico hospitalar (dados KLAS 2025). 4 ago. 2025. Disponível em: https://mv.com.br/imprensa/mv-se-torna-a-5a-maior-fornecedora-global-de-prontuario-eletronico-hospitalar.</w:t>
      </w:r>
    </w:p>
    <w:p w14:paraId="2C48955D" w14:textId="77777777" w:rsidR="00BF58EC" w:rsidRPr="000B48B4" w:rsidRDefault="00000000">
      <w:pPr>
        <w:pStyle w:val="LumisNota"/>
        <w:rPr>
          <w:lang w:val="pt-BR"/>
        </w:rPr>
      </w:pPr>
      <w:r w:rsidRPr="000B48B4">
        <w:rPr>
          <w:lang w:val="pt-BR"/>
        </w:rPr>
        <w:lastRenderedPageBreak/>
        <w:t xml:space="preserve">3. PHILIPS. Philips expande acesso ao </w:t>
      </w:r>
      <w:proofErr w:type="spellStart"/>
      <w:r w:rsidRPr="000B48B4">
        <w:rPr>
          <w:lang w:val="pt-BR"/>
        </w:rPr>
        <w:t>Tasy</w:t>
      </w:r>
      <w:proofErr w:type="spellEnd"/>
      <w:r w:rsidRPr="000B48B4">
        <w:rPr>
          <w:lang w:val="pt-BR"/>
        </w:rPr>
        <w:t xml:space="preserve"> EMR na Rede D'Or. 19 ago. 2025. Disponível em: https://www.philips.com.br/a-w/about/news/archive/standard/news/press/2025/20250819-philips-expands-access-to-tasy-emr-in-rede-d-or-improving-patient-care.html.</w:t>
      </w:r>
    </w:p>
    <w:p w14:paraId="7796E287" w14:textId="77777777" w:rsidR="00BF58EC" w:rsidRPr="000B48B4" w:rsidRDefault="00000000">
      <w:pPr>
        <w:pStyle w:val="LumisNota"/>
        <w:rPr>
          <w:lang w:val="pt-BR"/>
        </w:rPr>
      </w:pPr>
      <w:r>
        <w:t xml:space="preserve">4. TESTINGCATALOG. OpenAI launches ChatGPT for Healthcare with US hospitals. </w:t>
      </w:r>
      <w:r w:rsidRPr="000B48B4">
        <w:rPr>
          <w:lang w:val="pt-BR"/>
        </w:rPr>
        <w:t>8 jan. 2026. Disponível em: https://www.testingcatalog.com/openai-launches-chatgpt-for-healthcare-with-us-hospitals/.</w:t>
      </w:r>
    </w:p>
    <w:p w14:paraId="727D5BC3" w14:textId="77777777" w:rsidR="00BF58EC" w:rsidRPr="000B48B4" w:rsidRDefault="00000000">
      <w:pPr>
        <w:pStyle w:val="LumisNota"/>
        <w:rPr>
          <w:lang w:val="pt-BR"/>
        </w:rPr>
      </w:pPr>
      <w:r>
        <w:t xml:space="preserve">5. ANTHROPIC. Advancing Claude in healthcare and the life sciences. </w:t>
      </w:r>
      <w:r w:rsidRPr="000B48B4">
        <w:rPr>
          <w:lang w:val="pt-BR"/>
        </w:rPr>
        <w:t>11 jan. 2026. Disponível em: https://www.anthropic.com/news/healthcare-life-sciences.</w:t>
      </w:r>
    </w:p>
    <w:p w14:paraId="4E363875" w14:textId="77777777" w:rsidR="00BF58EC" w:rsidRPr="000B48B4" w:rsidRDefault="00000000">
      <w:pPr>
        <w:pStyle w:val="LumisNota"/>
        <w:rPr>
          <w:lang w:val="pt-BR"/>
        </w:rPr>
      </w:pPr>
      <w:r w:rsidRPr="000B48B4">
        <w:rPr>
          <w:lang w:val="pt-BR"/>
        </w:rPr>
        <w:t>6. CONVERGÊNCIA DIGITAL. Hospital Israelita Albert Einstein: algoritmos, IA e inovação salvam vidas. 8 jan. 2025. Disponível em: https://convergenciadigital.com.br/mercado/hospital-israelita-albert-einstein-algoritmos-ia-e-inovacao-salvam-vidas/.</w:t>
      </w:r>
    </w:p>
    <w:p w14:paraId="1120BAA5" w14:textId="77777777" w:rsidR="00BF58EC" w:rsidRPr="000B48B4" w:rsidRDefault="00000000">
      <w:pPr>
        <w:pStyle w:val="LumisNota"/>
        <w:rPr>
          <w:lang w:val="pt-BR"/>
        </w:rPr>
      </w:pPr>
      <w:r w:rsidRPr="000B48B4">
        <w:rPr>
          <w:lang w:val="pt-BR"/>
        </w:rPr>
        <w:t>7. LET'S MONEY. Itaú usa mais de 1,3 mil modelos de IA. 2026. Disponível em: https://www.letsmoney.com.br/noticias/itau-usa-mais-de-mil-modelos-ia/.</w:t>
      </w:r>
    </w:p>
    <w:p w14:paraId="2FA51320" w14:textId="77777777" w:rsidR="00BF58EC" w:rsidRDefault="00000000">
      <w:pPr>
        <w:pStyle w:val="LumisNota"/>
      </w:pPr>
      <w:r>
        <w:t>8. WONG, A. et al. External Validation of a Widely Implemented Proprietary Sepsis Prediction Model in Hospitalized Patients. JAMA Internal Medicine, v. 181, n. 8, p. 1065-1070, 2021.</w:t>
      </w:r>
    </w:p>
    <w:p w14:paraId="6ADB7B87" w14:textId="77777777" w:rsidR="00BF58EC" w:rsidRPr="000B48B4" w:rsidRDefault="00000000">
      <w:pPr>
        <w:pStyle w:val="LumisNota"/>
        <w:rPr>
          <w:lang w:val="pt-BR"/>
        </w:rPr>
      </w:pPr>
      <w:r>
        <w:t xml:space="preserve">9. TECHCRUNCH. Anthropic hikes the price of its Haiku model. </w:t>
      </w:r>
      <w:r w:rsidRPr="000B48B4">
        <w:rPr>
          <w:lang w:val="pt-BR"/>
        </w:rPr>
        <w:t>4 nov. 2024. Disponível em: https://techcrunch.com/2024/11/04/anthropic-hikes-the-price-of-its-haiku-model.</w:t>
      </w:r>
    </w:p>
    <w:p w14:paraId="011EE022" w14:textId="77777777" w:rsidR="00BF58EC" w:rsidRPr="000B48B4" w:rsidRDefault="00000000">
      <w:pPr>
        <w:pStyle w:val="LumisNota"/>
        <w:rPr>
          <w:lang w:val="pt-BR"/>
        </w:rPr>
      </w:pPr>
      <w:r>
        <w:t xml:space="preserve">10. SHAPIRO, C.; VARIAN, H. R. Information Rules: A Strategic Guide to the Network Economy. </w:t>
      </w:r>
      <w:r w:rsidRPr="000B48B4">
        <w:rPr>
          <w:lang w:val="pt-BR"/>
        </w:rPr>
        <w:t xml:space="preserve">Boston: Harvard Business </w:t>
      </w:r>
      <w:proofErr w:type="spellStart"/>
      <w:r w:rsidRPr="000B48B4">
        <w:rPr>
          <w:lang w:val="pt-BR"/>
        </w:rPr>
        <w:t>School</w:t>
      </w:r>
      <w:proofErr w:type="spellEnd"/>
      <w:r w:rsidRPr="000B48B4">
        <w:rPr>
          <w:lang w:val="pt-BR"/>
        </w:rPr>
        <w:t xml:space="preserve"> Press, 1999.</w:t>
      </w:r>
    </w:p>
    <w:p w14:paraId="18893605" w14:textId="77777777" w:rsidR="00BF58EC" w:rsidRPr="000B48B4" w:rsidRDefault="00000000">
      <w:pPr>
        <w:pStyle w:val="LumisNota"/>
        <w:rPr>
          <w:lang w:val="pt-BR"/>
        </w:rPr>
      </w:pPr>
      <w:r w:rsidRPr="000B48B4">
        <w:rPr>
          <w:lang w:val="pt-BR"/>
        </w:rPr>
        <w:t>Dados da Lumis: Anexo A do Cap. 2 (Quadros 3 a 6; para dados e desempenho, Quadros 7, 9, 10 e 14). Os números calculados (margens, cenários, crescimento) partem do Quadro 4, e o detalhamento está no material de apoio da equipe. As empresas reais citadas são análogos e não fazem parte do caso Lumis.</w:t>
      </w:r>
    </w:p>
    <w:p w14:paraId="62EA2419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br w:type="page"/>
      </w:r>
    </w:p>
    <w:p w14:paraId="4B77C6F5" w14:textId="77777777" w:rsidR="00BF58EC" w:rsidRPr="000B48B4" w:rsidRDefault="00000000">
      <w:pPr>
        <w:pStyle w:val="Ttulo1"/>
        <w:rPr>
          <w:lang w:val="pt-BR"/>
        </w:rPr>
      </w:pPr>
      <w:r w:rsidRPr="000B48B4">
        <w:rPr>
          <w:lang w:val="pt-BR"/>
        </w:rPr>
        <w:lastRenderedPageBreak/>
        <w:t>Apêndice A: Uso de IA generativa na pesquisa e na redação</w:t>
      </w:r>
    </w:p>
    <w:p w14:paraId="4D188E81" w14:textId="77777777" w:rsidR="00BF58EC" w:rsidRPr="000B48B4" w:rsidRDefault="00000000">
      <w:pPr>
        <w:rPr>
          <w:lang w:val="pt-BR"/>
        </w:rPr>
      </w:pPr>
      <w:r w:rsidRPr="000B48B4">
        <w:rPr>
          <w:b/>
          <w:lang w:val="pt-BR"/>
        </w:rPr>
        <w:t>Ferramenta e data:</w:t>
      </w:r>
      <w:r w:rsidRPr="000B48B4">
        <w:rPr>
          <w:lang w:val="pt-BR"/>
        </w:rPr>
        <w:t xml:space="preserve"> Claude </w:t>
      </w:r>
      <w:proofErr w:type="spellStart"/>
      <w:r w:rsidRPr="000B48B4">
        <w:rPr>
          <w:lang w:val="pt-BR"/>
        </w:rPr>
        <w:t>Code</w:t>
      </w:r>
      <w:proofErr w:type="spellEnd"/>
      <w:r w:rsidRPr="000B48B4">
        <w:rPr>
          <w:lang w:val="pt-BR"/>
        </w:rPr>
        <w:t xml:space="preserve"> (</w:t>
      </w:r>
      <w:proofErr w:type="spellStart"/>
      <w:r w:rsidRPr="000B48B4">
        <w:rPr>
          <w:lang w:val="pt-BR"/>
        </w:rPr>
        <w:t>Anthropic</w:t>
      </w:r>
      <w:proofErr w:type="spellEnd"/>
      <w:r w:rsidRPr="000B48B4">
        <w:rPr>
          <w:lang w:val="pt-BR"/>
        </w:rPr>
        <w:t>), em 05 e 06/10/2026, com subagentes autorizados a buscar e abrir páginas na web.</w:t>
      </w:r>
    </w:p>
    <w:p w14:paraId="421FBB1D" w14:textId="77777777" w:rsidR="00BF58EC" w:rsidRPr="000B48B4" w:rsidRDefault="00000000">
      <w:pPr>
        <w:rPr>
          <w:lang w:val="pt-BR"/>
        </w:rPr>
      </w:pPr>
      <w:r w:rsidRPr="000B48B4">
        <w:rPr>
          <w:b/>
          <w:lang w:val="pt-BR"/>
        </w:rPr>
        <w:t>Método.</w:t>
      </w:r>
      <w:r w:rsidRPr="000B48B4">
        <w:rPr>
          <w:lang w:val="pt-BR"/>
        </w:rPr>
        <w:t xml:space="preserve"> A IA foi usada como instrumento de pesquisa e como apoio à redação. A equipe revisou os achados, conferiu as fontes e fez a reescrita final do texto. Na pesquisa, cinco frentes rodaram em paralelo (camadas, concorrência, dependências, </w:t>
      </w:r>
      <w:proofErr w:type="spellStart"/>
      <w:r w:rsidRPr="000B48B4">
        <w:rPr>
          <w:lang w:val="pt-BR"/>
        </w:rPr>
        <w:t>defensabilidade</w:t>
      </w:r>
      <w:proofErr w:type="spellEnd"/>
      <w:r w:rsidRPr="000B48B4">
        <w:rPr>
          <w:lang w:val="pt-BR"/>
        </w:rPr>
        <w:t xml:space="preserve"> e cálculos), e todas receberam o mesmo bloco de contexto, com os Quadros 3 a 6 transcritos e estas regras:</w:t>
      </w:r>
    </w:p>
    <w:p w14:paraId="565A0F9D" w14:textId="77777777" w:rsidR="00BF58EC" w:rsidRPr="000B48B4" w:rsidRDefault="00000000">
      <w:pPr>
        <w:pStyle w:val="Commarcadores"/>
        <w:rPr>
          <w:lang w:val="pt-BR"/>
        </w:rPr>
      </w:pPr>
      <w:r w:rsidRPr="000B48B4">
        <w:rPr>
          <w:lang w:val="pt-BR"/>
        </w:rPr>
        <w:t>não inventar números sobre a Lumis;</w:t>
      </w:r>
    </w:p>
    <w:p w14:paraId="5815F032" w14:textId="77777777" w:rsidR="00BF58EC" w:rsidRPr="000B48B4" w:rsidRDefault="00000000">
      <w:pPr>
        <w:pStyle w:val="Commarcadores"/>
        <w:rPr>
          <w:lang w:val="pt-BR"/>
        </w:rPr>
      </w:pPr>
      <w:r w:rsidRPr="000B48B4">
        <w:rPr>
          <w:lang w:val="pt-BR"/>
        </w:rPr>
        <w:t>não pesquisar as empresas fictícias e buscar, no lugar delas, análogos reais rotulados como tal;</w:t>
      </w:r>
    </w:p>
    <w:p w14:paraId="5CAC9929" w14:textId="77777777" w:rsidR="00BF58EC" w:rsidRPr="000B48B4" w:rsidRDefault="00000000">
      <w:pPr>
        <w:pStyle w:val="Commarcadores"/>
        <w:rPr>
          <w:lang w:val="pt-BR"/>
        </w:rPr>
      </w:pPr>
      <w:r w:rsidRPr="000B48B4">
        <w:rPr>
          <w:lang w:val="pt-BR"/>
        </w:rPr>
        <w:t>citar fonte aberta para todo fato externo;</w:t>
      </w:r>
    </w:p>
    <w:p w14:paraId="647CA26B" w14:textId="77777777" w:rsidR="00BF58EC" w:rsidRPr="000B48B4" w:rsidRDefault="00000000">
      <w:pPr>
        <w:pStyle w:val="Commarcadores"/>
        <w:rPr>
          <w:lang w:val="pt-BR"/>
        </w:rPr>
      </w:pPr>
      <w:r w:rsidRPr="000B48B4">
        <w:rPr>
          <w:lang w:val="pt-BR"/>
        </w:rPr>
        <w:t>separar fato, dado do caso, cálculo e hipótese.</w:t>
      </w:r>
    </w:p>
    <w:p w14:paraId="1C6FCBA0" w14:textId="77777777" w:rsidR="00BF58EC" w:rsidRPr="000B48B4" w:rsidRDefault="00000000">
      <w:pPr>
        <w:rPr>
          <w:lang w:val="pt-BR"/>
        </w:rPr>
      </w:pPr>
      <w:r w:rsidRPr="000B48B4">
        <w:rPr>
          <w:lang w:val="pt-BR"/>
        </w:rPr>
        <w:t>Cada frente passou por um segundo agente verificador, instruído a tentar refutar cada achado reabrindo a fonte e refazendo as contas. Dos 85 achados, 52 foram confirmados, 32 corrigidos ("parcial") e 1 descartado. Os não confirmados ficaram fora do texto. Seguem os dois prompts de pesquisa mais usados e o prompt de verificação; os demais estão no registro completo da equipe.</w:t>
      </w:r>
    </w:p>
    <w:p w14:paraId="07E36A0F" w14:textId="77777777" w:rsidR="00BF58EC" w:rsidRPr="000B48B4" w:rsidRDefault="00000000">
      <w:pPr>
        <w:rPr>
          <w:lang w:val="pt-BR"/>
        </w:rPr>
      </w:pPr>
      <w:r w:rsidRPr="000B48B4">
        <w:rPr>
          <w:b/>
          <w:lang w:val="pt-BR"/>
        </w:rPr>
        <w:t>Bloco de contexto comum (resumido):</w:t>
      </w:r>
      <w:r w:rsidRPr="000B48B4">
        <w:rPr>
          <w:lang w:val="pt-BR"/>
        </w:rPr>
        <w:t xml:space="preserve"> papel de analista sênior de estratégia de IA em saúde, com experiência em </w:t>
      </w:r>
      <w:proofErr w:type="spellStart"/>
      <w:r w:rsidRPr="000B48B4">
        <w:rPr>
          <w:lang w:val="pt-BR"/>
        </w:rPr>
        <w:t>due</w:t>
      </w:r>
      <w:proofErr w:type="spellEnd"/>
      <w:r w:rsidRPr="000B48B4">
        <w:rPr>
          <w:lang w:val="pt-BR"/>
        </w:rPr>
        <w:t xml:space="preserve"> </w:t>
      </w:r>
      <w:proofErr w:type="spellStart"/>
      <w:r w:rsidRPr="000B48B4">
        <w:rPr>
          <w:lang w:val="pt-BR"/>
        </w:rPr>
        <w:t>diligence</w:t>
      </w:r>
      <w:proofErr w:type="spellEnd"/>
      <w:r w:rsidRPr="000B48B4">
        <w:rPr>
          <w:lang w:val="pt-BR"/>
        </w:rPr>
        <w:t xml:space="preserve"> de venture capital no Brasil; contexto da Lumis e do Vetor Capital; Quadros 3 a 6 na íntegra; as regras acima.</w:t>
      </w:r>
    </w:p>
    <w:p w14:paraId="3A686604" w14:textId="77777777" w:rsidR="00BF58EC" w:rsidRPr="000B48B4" w:rsidRDefault="00000000">
      <w:pPr>
        <w:pStyle w:val="Ttulo2"/>
        <w:rPr>
          <w:lang w:val="pt-BR"/>
        </w:rPr>
      </w:pPr>
      <w:r w:rsidRPr="000B48B4">
        <w:rPr>
          <w:lang w:val="pt-BR"/>
        </w:rPr>
        <w:t>Prompt 1: Concorrentes diretos, indiretos e potenciais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BF58EC" w:rsidRPr="000B48B4" w14:paraId="19EDB400" w14:textId="77777777">
        <w:trPr>
          <w:jc w:val="center"/>
        </w:trPr>
        <w:tc>
          <w:tcPr>
            <w:tcW w:w="9072" w:type="dxa"/>
            <w:shd w:val="clear" w:color="auto" w:fill="F1F6F4"/>
          </w:tcPr>
          <w:p w14:paraId="521E7381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## Tarefa: concorrentes diretos, indiretos e potenciais (incluindo quem tem distribuição)</w:t>
            </w:r>
          </w:p>
          <w:p w14:paraId="754203B6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Levante análogos REAIS no Brasil (e globais com presença no Brasil) para cada tipo de participante do Quadro 6, e acrescente tipos que o quadro não lista:</w:t>
            </w:r>
          </w:p>
          <w:p w14:paraId="009553E2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sistemas</w:t>
            </w:r>
            <w:proofErr w:type="gramEnd"/>
            <w:r w:rsidRPr="000B48B4">
              <w:rPr>
                <w:lang w:val="pt-BR"/>
              </w:rPr>
              <w:t xml:space="preserve"> hospitalares/prontuário eletrônico (EHR/HIS) com IA embutida ou anunciada (ex.: verificar Epic, Oracle Health/</w:t>
            </w:r>
            <w:proofErr w:type="spellStart"/>
            <w:r w:rsidRPr="000B48B4">
              <w:rPr>
                <w:lang w:val="pt-BR"/>
              </w:rPr>
              <w:t>Cerner</w:t>
            </w:r>
            <w:proofErr w:type="spellEnd"/>
            <w:r w:rsidRPr="000B48B4">
              <w:rPr>
                <w:lang w:val="pt-BR"/>
              </w:rPr>
              <w:t xml:space="preserve">, Philips </w:t>
            </w:r>
            <w:proofErr w:type="spellStart"/>
            <w:r w:rsidRPr="000B48B4">
              <w:rPr>
                <w:lang w:val="pt-BR"/>
              </w:rPr>
              <w:t>Tasy</w:t>
            </w:r>
            <w:proofErr w:type="spellEnd"/>
            <w:r w:rsidRPr="000B48B4">
              <w:rPr>
                <w:lang w:val="pt-BR"/>
              </w:rPr>
              <w:t>, MV, TOTVS Saúde e outros com presença no Brasil): base instalada no Brasil, recursos de IA preditiva, triagem ou priorização anunciados, com fonte e data;</w:t>
            </w:r>
          </w:p>
          <w:p w14:paraId="7BBFB4D4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healthtechs</w:t>
            </w:r>
            <w:proofErr w:type="gramEnd"/>
            <w:r w:rsidRPr="000B48B4">
              <w:rPr>
                <w:lang w:val="pt-BR"/>
              </w:rPr>
              <w:t xml:space="preserve"> brasileiras de IA clínica, triagem ou risco (confirme a existência e o produto de cada uma; não liste nomes sem fonte);</w:t>
            </w:r>
          </w:p>
          <w:p w14:paraId="04891DE9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BI e </w:t>
            </w:r>
            <w:proofErr w:type="spellStart"/>
            <w:r w:rsidRPr="000B48B4">
              <w:rPr>
                <w:lang w:val="pt-BR"/>
              </w:rPr>
              <w:t>analytics</w:t>
            </w:r>
            <w:proofErr w:type="spellEnd"/>
            <w:r w:rsidRPr="000B48B4">
              <w:rPr>
                <w:lang w:val="pt-BR"/>
              </w:rPr>
              <w:t xml:space="preserve"> hospitalar; consultorias e integradores que fazem IA sob medida em saúde;</w:t>
            </w:r>
          </w:p>
          <w:p w14:paraId="1B4D1A16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big</w:t>
            </w:r>
            <w:proofErr w:type="gramEnd"/>
            <w:r w:rsidRPr="000B48B4">
              <w:rPr>
                <w:lang w:val="pt-BR"/>
              </w:rPr>
              <w:t xml:space="preserve"> </w:t>
            </w:r>
            <w:proofErr w:type="spellStart"/>
            <w:r w:rsidRPr="000B48B4">
              <w:rPr>
                <w:lang w:val="pt-BR"/>
              </w:rPr>
              <w:t>techs</w:t>
            </w:r>
            <w:proofErr w:type="spellEnd"/>
            <w:r w:rsidRPr="000B48B4">
              <w:rPr>
                <w:lang w:val="pt-BR"/>
              </w:rPr>
              <w:t xml:space="preserve"> e provedores de modelo com produtos de saúde (ex.: verificar ofertas de Microsoft, Google, </w:t>
            </w:r>
            <w:proofErr w:type="spellStart"/>
            <w:r w:rsidRPr="000B48B4">
              <w:rPr>
                <w:lang w:val="pt-BR"/>
              </w:rPr>
              <w:t>Amazon</w:t>
            </w:r>
            <w:proofErr w:type="spellEnd"/>
            <w:r w:rsidRPr="000B48B4">
              <w:rPr>
                <w:lang w:val="pt-BR"/>
              </w:rPr>
              <w:t xml:space="preserve">, OpenAI, </w:t>
            </w:r>
            <w:proofErr w:type="spellStart"/>
            <w:r w:rsidRPr="000B48B4">
              <w:rPr>
                <w:lang w:val="pt-BR"/>
              </w:rPr>
              <w:t>Anthropic</w:t>
            </w:r>
            <w:proofErr w:type="spellEnd"/>
            <w:r w:rsidRPr="000B48B4">
              <w:rPr>
                <w:lang w:val="pt-BR"/>
              </w:rPr>
              <w:t xml:space="preserve"> voltadas à saúde, com data de lançamento);</w:t>
            </w:r>
          </w:p>
          <w:p w14:paraId="77EE786F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concorrentes</w:t>
            </w:r>
            <w:proofErr w:type="gramEnd"/>
            <w:r w:rsidRPr="000B48B4">
              <w:rPr>
                <w:lang w:val="pt-BR"/>
              </w:rPr>
              <w:t xml:space="preserve"> nos outros dois segmentos da Lumis (seguradoras: classificação de sinistros; bancos: risco de crédito), pois 14 das 38 contas estão fora da saúde (Quadro 3).</w:t>
            </w:r>
          </w:p>
          <w:p w14:paraId="128F2E3E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Para cada um, classifique como DIRETO (mesmo problema, mesmo cliente), INDIRETO (resolve o problema de outro jeito) ou POTENCIAL (ainda não compete, mas tem distribuição nos mesmos clientes), e explique o mecanismo de ameaça. Destaque o padrão "distribuição vence qualidade isolada" (</w:t>
            </w:r>
            <w:proofErr w:type="spellStart"/>
            <w:r w:rsidRPr="000B48B4">
              <w:rPr>
                <w:lang w:val="pt-BR"/>
              </w:rPr>
              <w:t>bundling</w:t>
            </w:r>
            <w:proofErr w:type="spellEnd"/>
            <w:r w:rsidRPr="000B48B4">
              <w:rPr>
                <w:lang w:val="pt-BR"/>
              </w:rPr>
              <w:t xml:space="preserve"> no EHR) com evidência real, se existir.</w:t>
            </w:r>
          </w:p>
        </w:tc>
      </w:tr>
    </w:tbl>
    <w:p w14:paraId="4F1F35AC" w14:textId="77777777" w:rsidR="00BF58EC" w:rsidRPr="000B48B4" w:rsidRDefault="00BF58EC">
      <w:pPr>
        <w:pStyle w:val="LumisNota"/>
        <w:rPr>
          <w:lang w:val="pt-BR"/>
        </w:rPr>
      </w:pPr>
    </w:p>
    <w:p w14:paraId="7B5AE0DF" w14:textId="77777777" w:rsidR="00BF58EC" w:rsidRPr="000B48B4" w:rsidRDefault="00000000">
      <w:pPr>
        <w:rPr>
          <w:lang w:val="pt-BR"/>
        </w:rPr>
      </w:pPr>
      <w:r w:rsidRPr="000B48B4">
        <w:rPr>
          <w:b/>
          <w:lang w:val="pt-BR"/>
        </w:rPr>
        <w:t>Resultado obtido:</w:t>
      </w:r>
      <w:r w:rsidRPr="000B48B4">
        <w:rPr>
          <w:lang w:val="pt-BR"/>
        </w:rPr>
        <w:t xml:space="preserve"> 17 achados a partir de 25 buscas. O principal é o padrão de distribuição embutida no prontuário, com análogos brasileiros (MV com 894 hospitais e </w:t>
      </w:r>
      <w:proofErr w:type="spellStart"/>
      <w:r w:rsidRPr="000B48B4">
        <w:rPr>
          <w:lang w:val="pt-BR"/>
        </w:rPr>
        <w:t>Tasy</w:t>
      </w:r>
      <w:proofErr w:type="spellEnd"/>
      <w:r w:rsidRPr="000B48B4">
        <w:rPr>
          <w:lang w:val="pt-BR"/>
        </w:rPr>
        <w:t xml:space="preserve"> com 500 na América Latina, segundo o KLAS; </w:t>
      </w:r>
      <w:proofErr w:type="spellStart"/>
      <w:r w:rsidRPr="000B48B4">
        <w:rPr>
          <w:lang w:val="pt-BR"/>
        </w:rPr>
        <w:t>Tasy</w:t>
      </w:r>
      <w:proofErr w:type="spellEnd"/>
      <w:r w:rsidRPr="000B48B4">
        <w:rPr>
          <w:lang w:val="pt-BR"/>
        </w:rPr>
        <w:t xml:space="preserve"> na Rede D'Or). Apareceram também a entrada de OpenAI e </w:t>
      </w:r>
      <w:proofErr w:type="spellStart"/>
      <w:r w:rsidRPr="000B48B4">
        <w:rPr>
          <w:lang w:val="pt-BR"/>
        </w:rPr>
        <w:t>Anthropic</w:t>
      </w:r>
      <w:proofErr w:type="spellEnd"/>
      <w:r w:rsidRPr="000B48B4">
        <w:rPr>
          <w:lang w:val="pt-BR"/>
        </w:rPr>
        <w:t xml:space="preserve"> na saúde (</w:t>
      </w:r>
      <w:proofErr w:type="spellStart"/>
      <w:r w:rsidRPr="000B48B4">
        <w:rPr>
          <w:lang w:val="pt-BR"/>
        </w:rPr>
        <w:t>jan</w:t>
      </w:r>
      <w:proofErr w:type="spellEnd"/>
      <w:r w:rsidRPr="000B48B4">
        <w:rPr>
          <w:lang w:val="pt-BR"/>
        </w:rPr>
        <w:t>/2026), healthtechs e integradores nacionais e concorrentes em seguros e crédito.</w:t>
      </w:r>
    </w:p>
    <w:p w14:paraId="6871BF99" w14:textId="77777777" w:rsidR="00BF58EC" w:rsidRPr="000B48B4" w:rsidRDefault="00000000">
      <w:pPr>
        <w:rPr>
          <w:lang w:val="pt-BR"/>
        </w:rPr>
      </w:pPr>
      <w:r w:rsidRPr="000B48B4">
        <w:rPr>
          <w:b/>
          <w:lang w:val="pt-BR"/>
        </w:rPr>
        <w:t>Verificação:</w:t>
      </w:r>
      <w:r w:rsidRPr="000B48B4">
        <w:rPr>
          <w:lang w:val="pt-BR"/>
        </w:rPr>
        <w:t xml:space="preserve"> 6 achados confirmados, 10 corrigidos e 1 descartado (um resultado de caso clínico atribuído à empresa errada). Uma crítica de completude apontou a falta dos grandes compradores que desenvolvem IA própria, e uma pesquisa complementar trouxe Einstein, Itaú, Bradesco e Porto. </w:t>
      </w:r>
      <w:r w:rsidRPr="000B48B4">
        <w:rPr>
          <w:lang w:val="pt-BR"/>
        </w:rPr>
        <w:lastRenderedPageBreak/>
        <w:t>Antes de entrarem no texto, as fontes 2 a 7 das referências foram reabertas em 05/10/2026, e os números citados foram confirmados.</w:t>
      </w:r>
    </w:p>
    <w:p w14:paraId="6ED042B2" w14:textId="77777777" w:rsidR="00BF58EC" w:rsidRDefault="00000000">
      <w:pPr>
        <w:pStyle w:val="Ttulo2"/>
      </w:pPr>
      <w:r>
        <w:t xml:space="preserve">Prompt 2: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de fornecedores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BF58EC" w:rsidRPr="000B48B4" w14:paraId="0AE54F4B" w14:textId="77777777">
        <w:trPr>
          <w:jc w:val="center"/>
        </w:trPr>
        <w:tc>
          <w:tcPr>
            <w:tcW w:w="9072" w:type="dxa"/>
            <w:shd w:val="clear" w:color="auto" w:fill="F1F6F4"/>
          </w:tcPr>
          <w:p w14:paraId="469B9901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## Tarefa: dependências críticas e o que acontece se cada fornecedor mudar preço, termos ou escopo</w:t>
            </w:r>
          </w:p>
          <w:p w14:paraId="5A499C65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Os quatro fornecedores estruturais estão no Quadro 5 (modelo fundacional único, nuvem global, consórcio de bases clínicas, 38 contratos de dados de clientes). Para cada um, levante PRECEDENTES REAIS que mostram que o risco é concreto:</w:t>
            </w:r>
          </w:p>
          <w:p w14:paraId="5501B125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modelos</w:t>
            </w:r>
            <w:proofErr w:type="gramEnd"/>
            <w:r w:rsidRPr="000B48B4">
              <w:rPr>
                <w:lang w:val="pt-BR"/>
              </w:rPr>
              <w:t xml:space="preserve"> fundacionais: casos documentados de mudança de preço, descontinuação/depreciação de modelos com prazo curto, mudanças de termos de uso ou de política de dados, e provedores lançando produto próprio para saúde (data e fonte);</w:t>
            </w:r>
          </w:p>
          <w:p w14:paraId="3CF5CC35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nuvem</w:t>
            </w:r>
            <w:proofErr w:type="gramEnd"/>
            <w:r w:rsidRPr="000B48B4">
              <w:rPr>
                <w:lang w:val="pt-BR"/>
              </w:rPr>
              <w:t>: custos e prazos típicos de migração, taxas de saída de dados (</w:t>
            </w:r>
            <w:proofErr w:type="spellStart"/>
            <w:r w:rsidRPr="000B48B4">
              <w:rPr>
                <w:lang w:val="pt-BR"/>
              </w:rPr>
              <w:t>egress</w:t>
            </w:r>
            <w:proofErr w:type="spellEnd"/>
            <w:r w:rsidRPr="000B48B4">
              <w:rPr>
                <w:lang w:val="pt-BR"/>
              </w:rPr>
              <w:t xml:space="preserve">) e mudanças regulatórias recentes sobre elas (ex.: EU Data </w:t>
            </w:r>
            <w:proofErr w:type="spellStart"/>
            <w:r w:rsidRPr="000B48B4">
              <w:rPr>
                <w:lang w:val="pt-BR"/>
              </w:rPr>
              <w:t>Act</w:t>
            </w:r>
            <w:proofErr w:type="spellEnd"/>
            <w:r w:rsidRPr="000B48B4">
              <w:rPr>
                <w:lang w:val="pt-BR"/>
              </w:rPr>
              <w:t xml:space="preserve">), </w:t>
            </w:r>
            <w:proofErr w:type="spellStart"/>
            <w:r w:rsidRPr="000B48B4">
              <w:rPr>
                <w:lang w:val="pt-BR"/>
              </w:rPr>
              <w:t>lock</w:t>
            </w:r>
            <w:proofErr w:type="spellEnd"/>
            <w:r w:rsidRPr="000B48B4">
              <w:rPr>
                <w:lang w:val="pt-BR"/>
              </w:rPr>
              <w:t>-in, regiões de dados no Brasil;</w:t>
            </w:r>
          </w:p>
          <w:p w14:paraId="3CA7D915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bases</w:t>
            </w:r>
            <w:proofErr w:type="gramEnd"/>
            <w:r w:rsidRPr="000B48B4">
              <w:rPr>
                <w:lang w:val="pt-BR"/>
              </w:rPr>
              <w:t xml:space="preserve"> clínicas de referência licenciadas: como funcionam o licenciamento e os reajustes no setor (se não achar fonte, diga);</w:t>
            </w:r>
          </w:p>
          <w:p w14:paraId="0E3FCD94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dados</w:t>
            </w:r>
            <w:proofErr w:type="gramEnd"/>
            <w:r w:rsidRPr="000B48B4">
              <w:rPr>
                <w:lang w:val="pt-BR"/>
              </w:rPr>
              <w:t xml:space="preserve"> de clientes: o que a LGPD (dado de saúde é sensível, art. 11) e a ANPD dizem sobre reutilizar dados de clientes para treinar modelos; precedentes de disputa contratual ou regulatória sobre uso de dados de saúde para IA;</w:t>
            </w:r>
          </w:p>
          <w:p w14:paraId="40BE5D2A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câmbio</w:t>
            </w:r>
            <w:proofErr w:type="gramEnd"/>
            <w:r w:rsidRPr="000B48B4">
              <w:rPr>
                <w:lang w:val="pt-BR"/>
              </w:rPr>
              <w:t>: volatilidade do real frente ao dólar nos últimos 3–5 anos (máximas e mínimas, com fonte, ex.: Banco Central), já que 72,2% do custo é em dólar.</w:t>
            </w:r>
          </w:p>
          <w:p w14:paraId="6208E926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Para cada fornecedor, descreva qualitativamente o impacto no negócio da Lumis se ele (i) subir preço, (</w:t>
            </w:r>
            <w:proofErr w:type="spellStart"/>
            <w:r w:rsidRPr="000B48B4">
              <w:rPr>
                <w:lang w:val="pt-BR"/>
              </w:rPr>
              <w:t>ii</w:t>
            </w:r>
            <w:proofErr w:type="spellEnd"/>
            <w:r w:rsidRPr="000B48B4">
              <w:rPr>
                <w:lang w:val="pt-BR"/>
              </w:rPr>
              <w:t>) mudar termos, (</w:t>
            </w:r>
            <w:proofErr w:type="spellStart"/>
            <w:r w:rsidRPr="000B48B4">
              <w:rPr>
                <w:lang w:val="pt-BR"/>
              </w:rPr>
              <w:t>iii</w:t>
            </w:r>
            <w:proofErr w:type="spellEnd"/>
            <w:r w:rsidRPr="000B48B4">
              <w:rPr>
                <w:lang w:val="pt-BR"/>
              </w:rPr>
              <w:t>) mudar escopo ou virar concorrente. A quantificação fica a cargo de outra frente; aqui foque em evidência de que o evento é plausível.</w:t>
            </w:r>
          </w:p>
        </w:tc>
      </w:tr>
    </w:tbl>
    <w:p w14:paraId="1A1FA6B9" w14:textId="77777777" w:rsidR="00BF58EC" w:rsidRPr="000B48B4" w:rsidRDefault="00BF58EC">
      <w:pPr>
        <w:pStyle w:val="LumisNota"/>
        <w:rPr>
          <w:lang w:val="pt-BR"/>
        </w:rPr>
      </w:pPr>
    </w:p>
    <w:p w14:paraId="4B4BBCB5" w14:textId="77777777" w:rsidR="00BF58EC" w:rsidRPr="000B48B4" w:rsidRDefault="00000000">
      <w:pPr>
        <w:rPr>
          <w:lang w:val="pt-BR"/>
        </w:rPr>
      </w:pPr>
      <w:r w:rsidRPr="000B48B4">
        <w:rPr>
          <w:b/>
          <w:lang w:val="pt-BR"/>
        </w:rPr>
        <w:t>Resultado obtido:</w:t>
      </w:r>
      <w:r w:rsidRPr="000B48B4">
        <w:rPr>
          <w:lang w:val="pt-BR"/>
        </w:rPr>
        <w:t xml:space="preserve"> 20 achados a partir de 22 buscas. Os principais precedentes reais são a descontinuação de modelos com aviso curto, o aumento de 4 vezes no preço do </w:t>
      </w:r>
      <w:proofErr w:type="spellStart"/>
      <w:r w:rsidRPr="000B48B4">
        <w:rPr>
          <w:lang w:val="pt-BR"/>
        </w:rPr>
        <w:t>Haiku</w:t>
      </w:r>
      <w:proofErr w:type="spellEnd"/>
      <w:r w:rsidRPr="000B48B4">
        <w:rPr>
          <w:lang w:val="pt-BR"/>
        </w:rPr>
        <w:t xml:space="preserve"> em 2024, a concentração da nuvem e os custos de saída, os limites da LGPD para dado de saúde (art. 11) e a volatilidade do câmbio, com PTAX entre R$ 4,62 e R$ 6,21 em cinco anos (Banco Central).</w:t>
      </w:r>
    </w:p>
    <w:p w14:paraId="339339C1" w14:textId="77777777" w:rsidR="00BF58EC" w:rsidRPr="000B48B4" w:rsidRDefault="00000000">
      <w:pPr>
        <w:rPr>
          <w:lang w:val="pt-BR"/>
        </w:rPr>
      </w:pPr>
      <w:r w:rsidRPr="000B48B4">
        <w:rPr>
          <w:b/>
          <w:lang w:val="pt-BR"/>
        </w:rPr>
        <w:t>Verificação:</w:t>
      </w:r>
      <w:r w:rsidRPr="000B48B4">
        <w:rPr>
          <w:lang w:val="pt-BR"/>
        </w:rPr>
        <w:t xml:space="preserve"> 15 achados confirmados e 5 corrigidos. Uma pesquisa complementar sobre o poder de negociação com o fornecedor de modelo (alternativas e custo de troca) mudou a ordem de criticidade, e os dados de clientes passaram à frente do modelo. Os cálculos de sensibilidade (margem, câmbio, </w:t>
      </w:r>
      <w:proofErr w:type="spellStart"/>
      <w:r w:rsidRPr="000B48B4">
        <w:rPr>
          <w:lang w:val="pt-BR"/>
        </w:rPr>
        <w:t>runway</w:t>
      </w:r>
      <w:proofErr w:type="spellEnd"/>
      <w:r w:rsidRPr="000B48B4">
        <w:rPr>
          <w:lang w:val="pt-BR"/>
        </w:rPr>
        <w:t xml:space="preserve">) foram refeitos a partir do Quadro 4, e a fonte do aumento de preço do </w:t>
      </w:r>
      <w:proofErr w:type="spellStart"/>
      <w:r w:rsidRPr="000B48B4">
        <w:rPr>
          <w:lang w:val="pt-BR"/>
        </w:rPr>
        <w:t>Haiku</w:t>
      </w:r>
      <w:proofErr w:type="spellEnd"/>
      <w:r w:rsidRPr="000B48B4">
        <w:rPr>
          <w:lang w:val="pt-BR"/>
        </w:rPr>
        <w:t xml:space="preserve"> foi reaberta.</w:t>
      </w:r>
    </w:p>
    <w:p w14:paraId="321B7E53" w14:textId="77777777" w:rsidR="00BF58EC" w:rsidRPr="000B48B4" w:rsidRDefault="00000000">
      <w:pPr>
        <w:pStyle w:val="Ttulo2"/>
        <w:rPr>
          <w:lang w:val="pt-BR"/>
        </w:rPr>
      </w:pPr>
      <w:r w:rsidRPr="000B48B4">
        <w:rPr>
          <w:lang w:val="pt-BR"/>
        </w:rPr>
        <w:t>Prompt 3: Verificação adversarial (usado em todas as frentes)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BF58EC" w14:paraId="5725D18F" w14:textId="77777777">
        <w:trPr>
          <w:jc w:val="center"/>
        </w:trPr>
        <w:tc>
          <w:tcPr>
            <w:tcW w:w="9072" w:type="dxa"/>
            <w:shd w:val="clear" w:color="auto" w:fill="F1F6F4"/>
          </w:tcPr>
          <w:p w14:paraId="63CA0E7E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Você é verificador independente e cético de uma </w:t>
            </w:r>
            <w:proofErr w:type="spellStart"/>
            <w:r w:rsidRPr="000B48B4">
              <w:rPr>
                <w:lang w:val="pt-BR"/>
              </w:rPr>
              <w:t>due</w:t>
            </w:r>
            <w:proofErr w:type="spellEnd"/>
            <w:r w:rsidRPr="000B48B4">
              <w:rPr>
                <w:lang w:val="pt-BR"/>
              </w:rPr>
              <w:t xml:space="preserve"> </w:t>
            </w:r>
            <w:proofErr w:type="spellStart"/>
            <w:r w:rsidRPr="000B48B4">
              <w:rPr>
                <w:lang w:val="pt-BR"/>
              </w:rPr>
              <w:t>diligence</w:t>
            </w:r>
            <w:proofErr w:type="spellEnd"/>
            <w:r w:rsidRPr="000B48B4">
              <w:rPr>
                <w:lang w:val="pt-BR"/>
              </w:rPr>
              <w:t>. Sua função é REFUTAR, não confirmar. Na dúvida, marque "</w:t>
            </w:r>
            <w:proofErr w:type="spellStart"/>
            <w:r w:rsidRPr="000B48B4">
              <w:rPr>
                <w:lang w:val="pt-BR"/>
              </w:rPr>
              <w:t>nao_confirmado</w:t>
            </w:r>
            <w:proofErr w:type="spellEnd"/>
            <w:r w:rsidRPr="000B48B4">
              <w:rPr>
                <w:lang w:val="pt-BR"/>
              </w:rPr>
              <w:t>".</w:t>
            </w:r>
          </w:p>
          <w:p w14:paraId="599AD788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[bloco de contexto comum]</w:t>
            </w:r>
          </w:p>
          <w:p w14:paraId="244B5B7E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## Achados a verificar: &lt;lista de achados da frente&gt;</w:t>
            </w:r>
          </w:p>
          <w:p w14:paraId="7A01B781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>## Como verificar</w:t>
            </w:r>
          </w:p>
          <w:p w14:paraId="2EE9BBB0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spellStart"/>
            <w:proofErr w:type="gramStart"/>
            <w:r w:rsidRPr="000B48B4">
              <w:rPr>
                <w:lang w:val="pt-BR"/>
              </w:rPr>
              <w:t>fato</w:t>
            </w:r>
            <w:proofErr w:type="gramEnd"/>
            <w:r w:rsidRPr="000B48B4">
              <w:rPr>
                <w:lang w:val="pt-BR"/>
              </w:rPr>
              <w:t>_externo</w:t>
            </w:r>
            <w:proofErr w:type="spellEnd"/>
            <w:r w:rsidRPr="000B48B4">
              <w:rPr>
                <w:lang w:val="pt-BR"/>
              </w:rPr>
              <w:t>: abra a URL e confirme se a fonte diz exatamente o que a afirmação diz (número, data, autoria). Se a URL falhar, procure a mesma informação em outra fonte primária. Afirmação mais forte que a fonte = "parcial", com correção.</w:t>
            </w:r>
          </w:p>
          <w:p w14:paraId="57D21119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spellStart"/>
            <w:proofErr w:type="gramStart"/>
            <w:r w:rsidRPr="000B48B4">
              <w:rPr>
                <w:lang w:val="pt-BR"/>
              </w:rPr>
              <w:t>dado</w:t>
            </w:r>
            <w:proofErr w:type="gramEnd"/>
            <w:r w:rsidRPr="000B48B4">
              <w:rPr>
                <w:lang w:val="pt-BR"/>
              </w:rPr>
              <w:t>_anexo</w:t>
            </w:r>
            <w:proofErr w:type="spellEnd"/>
            <w:r w:rsidRPr="000B48B4">
              <w:rPr>
                <w:lang w:val="pt-BR"/>
              </w:rPr>
              <w:t>: confira contra os quadros, palavra por palavra.</w:t>
            </w:r>
          </w:p>
          <w:p w14:paraId="30E6D4D5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gramStart"/>
            <w:r w:rsidRPr="000B48B4">
              <w:rPr>
                <w:lang w:val="pt-BR"/>
              </w:rPr>
              <w:t>calculo</w:t>
            </w:r>
            <w:proofErr w:type="gramEnd"/>
            <w:r w:rsidRPr="000B48B4">
              <w:rPr>
                <w:lang w:val="pt-BR"/>
              </w:rPr>
              <w:t>: refaça a conta. Qualquer divergência = "refutado", com o valor correto.</w:t>
            </w:r>
          </w:p>
          <w:p w14:paraId="227FC6AC" w14:textId="77777777" w:rsidR="00BF58EC" w:rsidRPr="000B48B4" w:rsidRDefault="00000000">
            <w:pPr>
              <w:pStyle w:val="LumisTabela"/>
              <w:rPr>
                <w:lang w:val="pt-BR"/>
              </w:rPr>
            </w:pPr>
            <w:r w:rsidRPr="000B48B4">
              <w:rPr>
                <w:lang w:val="pt-BR"/>
              </w:rPr>
              <w:t xml:space="preserve">- </w:t>
            </w:r>
            <w:proofErr w:type="spellStart"/>
            <w:proofErr w:type="gramStart"/>
            <w:r w:rsidRPr="000B48B4">
              <w:rPr>
                <w:lang w:val="pt-BR"/>
              </w:rPr>
              <w:t>hipotese</w:t>
            </w:r>
            <w:proofErr w:type="spellEnd"/>
            <w:proofErr w:type="gramEnd"/>
            <w:r w:rsidRPr="000B48B4">
              <w:rPr>
                <w:lang w:val="pt-BR"/>
              </w:rPr>
              <w:t>: avalie se está marcada como hipótese e se é razoável.</w:t>
            </w:r>
          </w:p>
          <w:p w14:paraId="1AF57F6A" w14:textId="77777777" w:rsidR="00BF58EC" w:rsidRDefault="00000000">
            <w:pPr>
              <w:pStyle w:val="LumisTabela"/>
            </w:pPr>
            <w:proofErr w:type="spellStart"/>
            <w:r>
              <w:t>Verifique</w:t>
            </w:r>
            <w:proofErr w:type="spellEnd"/>
            <w:r>
              <w:t xml:space="preserve"> TODOS </w:t>
            </w:r>
            <w:proofErr w:type="spellStart"/>
            <w:r>
              <w:t>os</w:t>
            </w:r>
            <w:proofErr w:type="spellEnd"/>
            <w:r>
              <w:t xml:space="preserve"> IDs.</w:t>
            </w:r>
          </w:p>
        </w:tc>
      </w:tr>
    </w:tbl>
    <w:p w14:paraId="60E542CC" w14:textId="77777777" w:rsidR="00BF58EC" w:rsidRDefault="00BF58EC">
      <w:pPr>
        <w:pStyle w:val="LumisNota"/>
      </w:pPr>
    </w:p>
    <w:p w14:paraId="564082DF" w14:textId="77777777" w:rsidR="00BF58EC" w:rsidRPr="000B48B4" w:rsidRDefault="00000000">
      <w:pPr>
        <w:rPr>
          <w:lang w:val="pt-BR"/>
        </w:rPr>
      </w:pPr>
      <w:r w:rsidRPr="000B48B4">
        <w:rPr>
          <w:b/>
          <w:lang w:val="pt-BR"/>
        </w:rPr>
        <w:t>O que a verificação mudou:</w:t>
      </w:r>
      <w:r w:rsidRPr="000B48B4">
        <w:rPr>
          <w:lang w:val="pt-BR"/>
        </w:rPr>
        <w:t xml:space="preserve"> corrigiu, entre outros, uma data de lançamento antecipada indevidamente (um produto previsto para 2027), uma comparação de "quase 10 vezes" que na </w:t>
      </w:r>
      <w:r w:rsidRPr="000B48B4">
        <w:rPr>
          <w:lang w:val="pt-BR"/>
        </w:rPr>
        <w:lastRenderedPageBreak/>
        <w:t>verdade era de 8,3 vezes, um percentual de mercado aplicado ao total quando valia só para IA generativa e uma data de fim de caixa calculada errado. Sem a verificação, quatro erros factuais teriam entrado no texto.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 xml:space="preserve">F2-E1 · Mapa do </w:t>
    </w:r>
    <w:proofErr w:type="spellStart"/>
    <w:r>
      <w:rPr>
        <w:color w:val="6B7C85"/>
        <w:sz w:val="17"/>
      </w:rPr>
      <w:t>Território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