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1390" w14:textId="77777777" w:rsidR="00BA4F1C" w:rsidRDefault="00000000">
      <w:pPr>
        <w:spacing w:after="40"/>
      </w:pPr>
      <w:r>
        <w:rPr>
          <w:rFonts w:ascii="Calibri" w:eastAsia="Calibri" w:hAnsi="Calibri" w:cs="Calibri"/>
          <w:b/>
          <w:bCs/>
          <w:color w:val="6B7A8C"/>
        </w:rPr>
        <w:t>FASE 2 · ENTREGA 1</w:t>
      </w:r>
    </w:p>
    <w:p w14:paraId="1BBC5FCB" w14:textId="77777777" w:rsidR="00BA4F1C" w:rsidRDefault="00000000">
      <w:pPr>
        <w:spacing w:after="40"/>
      </w:pPr>
      <w:r>
        <w:rPr>
          <w:rFonts w:ascii="Calibri" w:eastAsia="Calibri" w:hAnsi="Calibri" w:cs="Calibri"/>
          <w:b/>
          <w:bCs/>
          <w:color w:val="1F3A5F"/>
          <w:sz w:val="36"/>
          <w:szCs w:val="36"/>
        </w:rPr>
        <w:t>MAPA DO TERRITÓRIO</w:t>
      </w:r>
    </w:p>
    <w:p w14:paraId="24B3B88D" w14:textId="77777777" w:rsidR="00BA4F1C" w:rsidRDefault="00000000">
      <w:pPr>
        <w:spacing w:after="60"/>
      </w:pPr>
      <w:r>
        <w:rPr>
          <w:rFonts w:ascii="Calibri" w:eastAsia="Calibri" w:hAnsi="Calibri" w:cs="Calibri"/>
          <w:color w:val="6B7A8C"/>
        </w:rPr>
        <w:t>Relatório ao Conselho · Lumis Intelligence · Versão 2 · Outubro de 2026</w:t>
      </w:r>
    </w:p>
    <w:p w14:paraId="1DBBCFD8" w14:textId="77777777" w:rsidR="00BA4F1C" w:rsidRDefault="00000000">
      <w:pPr>
        <w:pBdr>
          <w:bottom w:val="single" w:sz="8" w:space="4" w:color="1F3A5F"/>
        </w:pBdr>
        <w:spacing w:after="200"/>
      </w:pPr>
      <w:r>
        <w:rPr>
          <w:rFonts w:ascii="Calibri" w:eastAsia="Calibri" w:hAnsi="Calibri" w:cs="Calibri"/>
          <w:b/>
          <w:bCs/>
          <w:sz w:val="19"/>
          <w:szCs w:val="19"/>
        </w:rPr>
        <w:t xml:space="preserve">Equipe: </w:t>
      </w:r>
      <w:r>
        <w:rPr>
          <w:rFonts w:ascii="Calibri" w:eastAsia="Calibri" w:hAnsi="Calibri" w:cs="Calibri"/>
          <w:sz w:val="19"/>
          <w:szCs w:val="19"/>
        </w:rPr>
        <w:t>Bruno Müller · Diego Franca Evangelista · Felipe Alef · Gustavo Halfen Simon · Maria Fernanda Barros</w:t>
      </w:r>
    </w:p>
    <w:p w14:paraId="4921440C" w14:textId="77777777" w:rsidR="00BA4F1C" w:rsidRDefault="00000000">
      <w:pPr>
        <w:pStyle w:val="Ttulo1"/>
        <w:keepNext/>
        <w:spacing w:before="220" w:after="100"/>
      </w:pPr>
      <w:r>
        <w:rPr>
          <w:b/>
          <w:rFonts w:ascii="Calibri" w:eastAsia="Calibri" w:hAnsi="Calibri" w:cs="Calibri"/>
          <w:color w:val="1F3A5F"/>
          <w:sz w:val="24"/>
          <w:szCs w:val="24"/>
        </w:rPr>
        <w:t xml:space="preserve">O que encontramos</w:t>
      </w:r>
    </w:p>
    <w:p w14:paraId="289535ED" w14:textId="77777777" w:rsidR="00BA4F1C" w:rsidRDefault="00000000">
      <w:pPr>
        <w:spacing w:after="110" w:line="276" w:lineRule="auto"/>
        <w:jc w:val="both"/>
      </w:pPr>
      <w:r>
        <w:rPr>
          <w:rFonts w:ascii="Calibri" w:eastAsia="Calibri" w:hAnsi="Calibri" w:cs="Calibri"/>
        </w:rPr>
        <w:t xml:space="preserve">Quase tudo o que faz o Lumis Insight funcionar é alugado. Nuvem e modelo fundacional somam 72,2% do custo direto, são pagos em dólar e podem mudar de preço sem que a Lumis tenha para onde ir. A única camada que ela controla, a aplicação, roda dentro do sistema hospitalar do cliente. E a base de dados, que poderia diferenciá-la, depende de 38 contratos que estão pendentes de revisão.</w:t>
      </w:r>
    </w:p>
    <w:p w14:paraId="289535ED" w14:textId="77777777" w:rsidR="00BA4F1C" w:rsidRDefault="00000000">
      <w:pPr>
        <w:spacing w:after="110" w:line="276" w:lineRule="auto"/>
        <w:jc w:val="both"/>
      </w:pPr>
      <w:r>
        <w:rPr>
          <w:rFonts w:ascii="Calibri" w:eastAsia="Calibri" w:hAnsi="Calibri" w:cs="Calibri"/>
        </w:rPr>
        <w:t xml:space="preserve">Por isso, nossa resposta à pergunta do Vetor Capital é desconfortável: hoje, pouco na Lumis é difícil de copiar. Existe um caminho para mudar isso, e ele passa por dados com direito de uso limpo e por uma validação que se sustente em campo. É desse ponto que a tese de crescimento precisa partir.</w:t>
      </w:r>
    </w:p>
    <w:p w14:paraId="4921440C" w14:textId="77777777" w:rsidR="00BA4F1C" w:rsidRDefault="00000000">
      <w:pPr>
        <w:pStyle w:val="Ttulo1"/>
        <w:keepNext/>
        <w:spacing w:before="220" w:after="100"/>
      </w:pPr>
      <w:r>
        <w:rPr>
          <w:b/>
          <w:rFonts w:ascii="Calibri" w:eastAsia="Calibri" w:hAnsi="Calibri" w:cs="Calibri"/>
          <w:color w:val="1F3A5F"/>
          <w:sz w:val="24"/>
          <w:szCs w:val="24"/>
        </w:rPr>
        <w:t xml:space="preserve">1. Onde a Lumis está</w:t>
      </w:r>
    </w:p>
    <w:p w14:paraId="289535ED" w14:textId="77777777" w:rsidR="00BA4F1C" w:rsidRDefault="00000000">
      <w:pPr>
        <w:spacing w:after="110" w:line="276" w:lineRule="auto"/>
        <w:jc w:val="both"/>
      </w:pPr>
      <w:r>
        <w:rPr>
          <w:rFonts w:ascii="Calibri" w:eastAsia="Calibri" w:hAnsi="Calibri" w:cs="Calibri"/>
        </w:rPr>
        <w:t xml:space="preserve">O mercado de IA em que a Lumis opera tem quatro camadas: infraestrutura de nuvem, modelos fundacionais, dados e aplicação. Quando olhamos o que a empresa controla em cada uma, a dependência abaixo da aplicação é quase total.</w:t>
      </w:r>
    </w:p>
    <w:p w14:paraId="289535ED" w14:textId="77777777" w:rsidR="00BA4F1C" w:rsidRDefault="00000000">
      <w:pPr>
        <w:spacing w:after="110" w:line="276" w:lineRule="auto"/>
        <w:jc w:val="both"/>
      </w:pPr>
      <w:r>
        <w:rPr>
          <w:rFonts w:ascii="Calibri" w:eastAsia="Calibri" w:hAnsi="Calibri" w:cs="Calibri"/>
        </w:rPr>
        <w:t xml:space="preserve">Nuvem e modelo são alugados. A nuvem vem de um provedor global, num mercado em que três empresas concentram 63% da oferta¹, e o contrato vence em abril de 2027. Como a migração leva sete meses, a Lumis vai chegar à renovação sem alternativa pronta. O modelo vem de um fornecedor único, cobrado por consumo e sem preço garantido, que pode mudar os termos com 30 dias de aviso. É o maior item de custo da empresa. O preço desses modelos tem caído, o que alivia a conta, mas também barateia a entrada de concorrentes, que compram a mesma capacidade.</w:t>
      </w:r>
    </w:p>
    <w:p w14:paraId="289535ED" w14:textId="77777777" w:rsidR="00BA4F1C" w:rsidRDefault="00000000">
      <w:pPr>
        <w:spacing w:after="110" w:line="276" w:lineRule="auto"/>
        <w:jc w:val="both"/>
      </w:pPr>
      <w:r>
        <w:rPr>
          <w:rFonts w:ascii="Calibri" w:eastAsia="Calibri" w:hAnsi="Calibri" w:cs="Calibri"/>
        </w:rPr>
        <w:t xml:space="preserve">Nos dados, o controle existe, mas é condicionado. A maior parte da base vem do DATASUS, que é público. A parte que vem dos clientes, a única que poderia ser exclusiva, depende de contratos individuais, e mais de um terço desses dados não tem autorização clara para treinar modelos. O insumo com mais potencial de diferenciação é também o mais frágil do ponto de vista jurídico.</w:t>
      </w:r>
    </w:p>
    <w:p w14:paraId="289535ED" w14:textId="77777777" w:rsidR="00BA4F1C" w:rsidRDefault="00000000">
      <w:pPr>
        <w:spacing w:after="110" w:line="276" w:lineRule="auto"/>
        <w:jc w:val="both"/>
      </w:pPr>
      <w:r>
        <w:rPr>
          <w:rFonts w:ascii="Calibri" w:eastAsia="Calibri" w:hAnsi="Calibri" w:cs="Calibri"/>
        </w:rPr>
        <w:t xml:space="preserve">Resta a aplicação. O Lumis Insight é o fluxo de priorização e classificação de risco que atende as 38 contas, e é ali que a Lumis decide de fato. Mesmo assim, o produto roda dentro do sistema do hospital, e quem define o que entra nesse fluxo é o dono do prontuário. O valor que o cliente percebe depende ainda de uma boa implementação, de treinamento e da incorporação à rotina, trabalho que atravessa todas as camadas.</w:t>
      </w:r>
    </w:p>
    <w:p w14:paraId="289535ED" w14:textId="77777777" w:rsidR="00BA4F1C" w:rsidRDefault="00000000">
      <w:pPr>
        <w:spacing w:after="110" w:line="276" w:lineRule="auto"/>
        <w:jc w:val="both"/>
      </w:pPr>
      <w:r>
        <w:rPr>
          <w:rFonts w:ascii="Calibri" w:eastAsia="Calibri" w:hAnsi="Calibri" w:cs="Calibri"/>
        </w:rPr>
        <w:t xml:space="preserve">Shapiro e Varian (1999) mostram que, em mercados de informação, o valor vai para quem controla o gargalo. No caso da Lumis, os gargalos são a distribuição dentro do hospital e o direito de usar o dado de desfecho, e nenhum dos dois está com ela. Se a aplicação é o único território da Lumis, a pergunta seguinte é quem consegue entrar nele.</w:t>
      </w:r>
    </w:p>
    <w:p w14:paraId="4921440C" w14:textId="77777777" w:rsidR="00BA4F1C" w:rsidRDefault="00000000">
      <w:pPr>
        <w:pStyle w:val="Ttulo1"/>
        <w:keepNext/>
        <w:spacing w:before="220" w:after="100"/>
      </w:pPr>
      <w:r>
        <w:rPr>
          <w:b/>
          <w:rFonts w:ascii="Calibri" w:eastAsia="Calibri" w:hAnsi="Calibri" w:cs="Calibri"/>
          <w:color w:val="1F3A5F"/>
          <w:sz w:val="24"/>
          <w:szCs w:val="24"/>
        </w:rPr>
        <w:t xml:space="preserve">2. Quem pode tomar esse espaço</w:t>
      </w:r>
    </w:p>
    <w:p w14:paraId="289535ED" w14:textId="77777777" w:rsidR="00BA4F1C" w:rsidRDefault="00000000">
      <w:pPr>
        <w:spacing w:after="110" w:line="276" w:lineRule="auto"/>
        <w:jc w:val="both"/>
      </w:pPr>
      <w:r>
        <w:rPr>
          <w:rFonts w:ascii="Calibri" w:eastAsia="Calibri" w:hAnsi="Calibri" w:cs="Calibri"/>
        </w:rPr>
        <w:t xml:space="preserve">A ameaça mais séria vem de quem já está dentro do hospital. A Aster Health tem seu sistema instalado em 210 hospitais, contra 24 contas de saúde da Lumis, e oferece a IA como módulo adicional sobre um contrato que o hospital já paga. Para o gestor hospitalar, a pergunta deixa de ser qual IA é melhor e passa a ser se vale ativar um módulo do fornecedor que já usa ou contratar um fornecedor novo. Esse padrão já existe no Brasil: MV e Tasy, os sistemas de prontuário mais difundidos, estão em centenas de hospitais na América Latina (KLAS, 2025)², e a Rede D'Or está ampliando o uso do Tasy³.</w:t>
      </w:r>
    </w:p>
    <w:p w14:paraId="289535ED" w14:textId="77777777" w:rsidR="00BA4F1C" w:rsidRDefault="00000000">
      <w:pPr>
        <w:spacing w:after="110" w:line="276" w:lineRule="auto"/>
        <w:jc w:val="both"/>
      </w:pPr>
      <w:r>
        <w:rPr>
          <w:rFonts w:ascii="Calibri" w:eastAsia="Calibri" w:hAnsi="Calibri" w:cs="Calibri"/>
        </w:rPr>
        <w:t xml:space="preserve">A segunda ameaça é menos visível: os grandes clientes. Redes hospitalares, operadoras e bancos são os compradores mais valiosos e também os que mais conseguem montar a própria IA. O Einstein já usa perto de 120 algoritmos próprios⁶, e o Itaú opera mais de 1,3 mil modelos de IA⁷. Nesses casos, o concorrente que já tem distribuição é o próprio cliente. O mesmo vale fora da saúde: seguradoras e bancos, que somam mais de um terço da carteira, tendem a desenvolver IA internamente ou a comprar de birôs de dados. Estar em três segmentos protege a Lumis da Aster, mas não dessa internalização.</w:t>
      </w:r>
    </w:p>
    <w:p w14:paraId="289535ED" w14:textId="77777777" w:rsidR="00BA4F1C" w:rsidRDefault="00000000">
      <w:pPr>
        <w:spacing w:after="110" w:line="276" w:lineRule="auto"/>
        <w:jc w:val="both"/>
      </w:pPr>
      <w:r>
        <w:rPr>
          <w:rFonts w:ascii="Calibri" w:eastAsia="Calibri" w:hAnsi="Calibri" w:cs="Calibri"/>
        </w:rPr>
        <w:t xml:space="preserve">A terceira vem do próprio fornecedor de modelo, que anunciou um módulo para saúde. Ele segue um movimento do mercado, já que OpenAI e Anthropic lançaram produtos para saúde em janeiro de 2026⁴ ⁵, e com isso passa a disputar a camada de aplicação com a Lumis. Correm por fora a Núcleo Saúde Analytics, que já tem quase o dobro de contas da Lumis em BI hospitalar e só precisa acrescentar a camada preditiva, e as consultorias que vendem projetos sob medida aos clientes grandes, sobre a mesma infraestrutura e os mesmos modelos.</w:t>
      </w:r>
    </w:p>
    <w:p w14:paraId="289535ED" w14:textId="77777777" w:rsidR="00BA4F1C" w:rsidRDefault="00000000">
      <w:pPr>
        <w:spacing w:after="110" w:line="276" w:lineRule="auto"/>
        <w:jc w:val="both"/>
      </w:pPr>
      <w:r>
        <w:rPr>
          <w:rFonts w:ascii="Calibri" w:eastAsia="Calibri" w:hAnsi="Calibri" w:cs="Calibri"/>
        </w:rPr>
        <w:t xml:space="preserve">Distribuição, porém, não garante qualidade. O modelo de sepse da Epic, embutido no prontuário e adotado em larga escala, deixou de identificar dois terços dos casos numa validação externa⁸, caso que já usamos no Mapa da Situação. Há espaço, portanto, para competir por desempenho comprovado. A dificuldade é que a Lumis ainda não tem essa prova: os 94% de acurácia vêm de uma validação de 2023 em dois hospitais, e em campo o número cai para 87,6%, com o maior erro justamente entre idosos de regiões periféricas.</w:t>
      </w:r>
    </w:p>
    <w:p w14:paraId="289535ED" w14:textId="77777777" w:rsidR="00BA4F1C" w:rsidRDefault="00000000">
      <w:pPr>
        <w:spacing w:after="110" w:line="276" w:lineRule="auto"/>
        <w:jc w:val="both"/>
      </w:pPr>
      <w:r>
        <w:rPr>
          <w:rFonts w:ascii="Calibri" w:eastAsia="Calibri" w:hAnsi="Calibri" w:cs="Calibri"/>
        </w:rPr>
        <w:t xml:space="preserve">A Lumis não tem como vencer pela distribuição. Resta competir pelo que ela tem, e boa parte disso pode mudar sem que ela decida.</w:t>
      </w:r>
    </w:p>
    <w:p w14:paraId="4921440C" w14:textId="77777777" w:rsidR="00BA4F1C" w:rsidRDefault="00000000">
      <w:pPr>
        <w:pStyle w:val="Ttulo1"/>
        <w:keepNext/>
        <w:spacing w:before="220" w:after="100"/>
      </w:pPr>
      <w:r>
        <w:rPr>
          <w:b/>
          <w:rFonts w:ascii="Calibri" w:eastAsia="Calibri" w:hAnsi="Calibri" w:cs="Calibri"/>
          <w:color w:val="1F3A5F"/>
          <w:sz w:val="24"/>
          <w:szCs w:val="24"/>
        </w:rPr>
        <w:t xml:space="preserve">3. O que pode mudar sem a Lumis decidir</w:t>
      </w:r>
    </w:p>
    <w:p w14:paraId="289535ED" w14:textId="77777777" w:rsidR="00BA4F1C" w:rsidRDefault="00000000">
      <w:pPr>
        <w:spacing w:after="110" w:line="276" w:lineRule="auto"/>
        <w:jc w:val="both"/>
      </w:pPr>
      <w:r>
        <w:rPr>
          <w:rFonts w:ascii="Calibri" w:eastAsia="Calibri" w:hAnsi="Calibri" w:cs="Calibri"/>
        </w:rPr>
        <w:t xml:space="preserve">Mapeamos cinco dependências estruturais. Duas pedem a atenção do conselho agora.</w:t>
      </w:r>
    </w:p>
    <w:p w14:paraId="289535ED" w14:textId="77777777" w:rsidR="00BA4F1C" w:rsidRDefault="00000000">
      <w:pPr>
        <w:spacing w:after="110" w:line="276" w:lineRule="auto"/>
        <w:jc w:val="both"/>
      </w:pPr>
      <w:r>
        <w:rPr>
          <w:rFonts w:ascii="Calibri" w:eastAsia="Calibri" w:hAnsi="Calibri" w:cs="Calibri"/>
        </w:rPr>
        <w:t xml:space="preserve">A mais grave é a dos dados de clientes, porque é a única que sustenta o ativo próprio da empresa e não tem substituto. Os 38 contratos que dão acesso a esses dados estão pendentes de revisão, e dois deles, com autorização frágil, vencem em breve: o da Seguradora Prisma, que não trata do uso dos dados, em dezembro de 2026, e o do Hospital Vila Ipê, com cláusula genérica, em março de 2027. Se uma renegociação restringir esse uso, a Lumis pode ter de retirar mais de um terço dos dados de clientes e retreinar o modelo.</w:t>
      </w:r>
    </w:p>
    <w:p w14:paraId="289535ED" w14:textId="77777777" w:rsidR="00BA4F1C" w:rsidRDefault="00000000">
      <w:pPr>
        <w:spacing w:after="110" w:line="276" w:lineRule="auto"/>
        <w:jc w:val="both"/>
      </w:pPr>
      <w:r>
        <w:rPr>
          <w:rFonts w:ascii="Calibri" w:eastAsia="Calibri" w:hAnsi="Calibri" w:cs="Calibri"/>
        </w:rPr>
        <w:t xml:space="preserve">A mais rápida é a do fornecedor de modelo, que pode mudar preço, termos ou versões com 30 dias de aviso. Se o preço dobrar, a margem bruta cai de 58% para 39,5%, e o caixa, que hoje dura 11,6 meses, passa a durar 8,7. Há precedente: a Anthropic quadruplicou o preço de um de seus modelos em 2024⁹, e a própria Lumis já viu o desempenho cair depois de uma atualização do fornecedor, em setembro de 2025.</w:t>
      </w:r>
    </w:p>
    <w:p w14:paraId="289535ED" w14:textId="77777777" w:rsidR="00BA4F1C" w:rsidRDefault="00000000">
      <w:pPr>
        <w:spacing w:after="110" w:line="276" w:lineRule="auto"/>
        <w:jc w:val="both"/>
      </w:pPr>
      <w:r>
        <w:rPr>
          <w:rFonts w:ascii="Calibri" w:eastAsia="Calibri" w:hAnsi="Calibri" w:cs="Calibri"/>
        </w:rPr>
        <w:t xml:space="preserve">Câmbio, nuvem e bases clínicas completam o quadro. O câmbio agrava as duas primeiras: com o modelo mais caro e o dólar alto ao mesmo tempo, a margem chega a 29,6%. A nuvem renova em abril de 2027 sem alternativa pronta, e as bases clínicas têm reajuste sem teto.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1612"/>
        <w:gridCol w:w="2050"/>
        <w:gridCol w:w="2050"/>
        <w:gridCol w:w="2088"/>
      </w:tblGrid>
      <w:tr w:rsidR="00BA4F1C" w14:paraId="0A8816CA" w14:textId="77777777" w:rsidTr="006111E5">
        <w:trPr>
          <w:cantSplit/>
          <w:tblHeader/>
        </w:trPr>
        <w:tc>
          <w:tcPr>
            <w:tcW w:w="1838"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7DB21444" w14:textId="77777777" w:rsidR="00BA4F1C" w:rsidRDefault="00000000">
            <w:r>
              <w:rPr>
                <w:rFonts w:ascii="Calibri" w:eastAsia="Calibri" w:hAnsi="Calibri" w:cs="Calibri"/>
                <w:b/>
                <w:bCs/>
                <w:color w:val="FFFFFF"/>
                <w:sz w:val="16"/>
                <w:szCs w:val="16"/>
              </w:rPr>
              <w:t>Dependência</w:t>
            </w:r>
          </w:p>
        </w:tc>
        <w:tc>
          <w:tcPr>
            <w:tcW w:w="1612"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33C07608" w14:textId="77777777" w:rsidR="00BA4F1C" w:rsidRDefault="00000000">
            <w:r>
              <w:rPr>
                <w:rFonts w:ascii="Calibri" w:eastAsia="Calibri" w:hAnsi="Calibri" w:cs="Calibri"/>
                <w:b/>
                <w:bCs/>
                <w:color w:val="FFFFFF"/>
                <w:sz w:val="16"/>
                <w:szCs w:val="16"/>
              </w:rPr>
              <w:t>Se mudar PREÇO</w:t>
            </w:r>
          </w:p>
        </w:tc>
        <w:tc>
          <w:tcPr>
            <w:tcW w:w="205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797CD829" w14:textId="77777777" w:rsidR="00BA4F1C" w:rsidRDefault="00000000">
            <w:r>
              <w:rPr>
                <w:rFonts w:ascii="Calibri" w:eastAsia="Calibri" w:hAnsi="Calibri" w:cs="Calibri"/>
                <w:b/>
                <w:bCs/>
                <w:color w:val="FFFFFF"/>
                <w:sz w:val="16"/>
                <w:szCs w:val="16"/>
              </w:rPr>
              <w:t>Se mudar TERMOS</w:t>
            </w:r>
          </w:p>
        </w:tc>
        <w:tc>
          <w:tcPr>
            <w:tcW w:w="205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457D9322" w14:textId="77777777" w:rsidR="00BA4F1C" w:rsidRDefault="00000000">
            <w:r>
              <w:rPr>
                <w:rFonts w:ascii="Calibri" w:eastAsia="Calibri" w:hAnsi="Calibri" w:cs="Calibri"/>
                <w:b/>
                <w:bCs/>
                <w:color w:val="FFFFFF"/>
                <w:sz w:val="16"/>
                <w:szCs w:val="16"/>
              </w:rPr>
              <w:t>Se mudar ESCOPO</w:t>
            </w:r>
          </w:p>
        </w:tc>
        <w:tc>
          <w:tcPr>
            <w:tcW w:w="2088"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7D824B1A" w14:textId="77777777" w:rsidR="00BA4F1C" w:rsidRDefault="00000000">
            <w:r>
              <w:rPr>
                <w:rFonts w:ascii="Calibri" w:eastAsia="Calibri" w:hAnsi="Calibri" w:cs="Calibri"/>
                <w:b/>
                <w:bCs/>
                <w:color w:val="FFFFFF"/>
                <w:sz w:val="16"/>
                <w:szCs w:val="16"/>
              </w:rPr>
              <w:t>Resposta possível</w:t>
            </w:r>
          </w:p>
        </w:tc>
      </w:tr>
      <w:tr w:rsidR="00BA4F1C" w14:paraId="45639DFE" w14:textId="77777777" w:rsidTr="006111E5">
        <w:trPr>
          <w:cantSplit/>
        </w:trPr>
        <w:tc>
          <w:tcPr>
            <w:tcW w:w="18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21DEFE0E" w14:textId="77777777" w:rsidR="00BA4F1C" w:rsidRDefault="00000000">
            <w:r>
              <w:rPr>
                <w:rFonts w:ascii="Calibri" w:eastAsia="Calibri" w:hAnsi="Calibri" w:cs="Calibri"/>
                <w:b/>
                <w:bCs/>
                <w:sz w:val="16"/>
                <w:szCs w:val="16"/>
              </w:rPr>
              <w:t>1. Dados de clientes</w:t>
            </w:r>
            <w:r>
              <w:rPr>
                <w:rFonts w:ascii="Calibri" w:eastAsia="Calibri" w:hAnsi="Calibri" w:cs="Calibri"/>
                <w:sz w:val="16"/>
                <w:szCs w:val="16"/>
              </w:rPr>
              <w:t xml:space="preserve"> (38 contratos). Hospital Vila Ipê: cláusula genérica, vence em 03/2027. Seguradora Prisma: contrato silente, vence em 12/2026.</w:t>
            </w:r>
          </w:p>
        </w:tc>
        <w:tc>
          <w:tcPr>
            <w:tcW w:w="1612"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02C51B2F" w14:textId="77777777" w:rsidR="00BA4F1C" w:rsidRDefault="00000000">
            <w:r>
              <w:rPr>
                <w:rFonts w:ascii="Calibri" w:eastAsia="Calibri" w:hAnsi="Calibri" w:cs="Calibri"/>
                <w:sz w:val="16"/>
                <w:szCs w:val="16"/>
              </w:rPr>
              <w:t>Os clientes podem passar a cobrar pelo dado ou exigir contrapartida.</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5EB0811C" w14:textId="77777777" w:rsidR="00BA4F1C" w:rsidRDefault="00000000">
            <w:r>
              <w:rPr>
                <w:rFonts w:ascii="Calibri" w:eastAsia="Calibri" w:hAnsi="Calibri" w:cs="Calibri"/>
                <w:sz w:val="16"/>
                <w:szCs w:val="16"/>
              </w:rPr>
              <w:t>Uma renegociação pode restringir o treinamento ou exigir a retirada de 35,4% dos dados de clientes, o que forçaria retreinar o modelo.</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3456015E" w14:textId="77777777" w:rsidR="00BA4F1C" w:rsidRDefault="00000000">
            <w:r>
              <w:rPr>
                <w:rFonts w:ascii="Calibri" w:eastAsia="Calibri" w:hAnsi="Calibri" w:cs="Calibri"/>
                <w:sz w:val="16"/>
                <w:szCs w:val="16"/>
              </w:rPr>
              <w:t>Clientes grandes podem levar os próprios dados para a Aster ou para o fornecedor de modelo.</w:t>
            </w:r>
          </w:p>
        </w:tc>
        <w:tc>
          <w:tcPr>
            <w:tcW w:w="208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627F36BB" w14:textId="77777777" w:rsidR="00BA4F1C" w:rsidRDefault="00000000">
            <w:r>
              <w:rPr>
                <w:rFonts w:ascii="Calibri" w:eastAsia="Calibri" w:hAnsi="Calibri" w:cs="Calibri"/>
                <w:sz w:val="16"/>
                <w:szCs w:val="16"/>
              </w:rPr>
              <w:t>Assinar aditivos de direito de uso antes dos vencimentos e montar a linhagem de dados para isolar os registros frágeis. A auditoria completa fica para a Entrega 2.</w:t>
            </w:r>
          </w:p>
        </w:tc>
      </w:tr>
      <w:tr w:rsidR="00BA4F1C" w14:paraId="2573F300" w14:textId="77777777" w:rsidTr="006111E5">
        <w:trPr>
          <w:cantSplit/>
        </w:trPr>
        <w:tc>
          <w:tcPr>
            <w:tcW w:w="183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9B0EEFE" w14:textId="77777777" w:rsidR="00BA4F1C" w:rsidRDefault="00000000">
            <w:r>
              <w:rPr>
                <w:rFonts w:ascii="Calibri" w:eastAsia="Calibri" w:hAnsi="Calibri" w:cs="Calibri"/>
                <w:b/>
                <w:bCs/>
                <w:sz w:val="16"/>
                <w:szCs w:val="16"/>
              </w:rPr>
              <w:lastRenderedPageBreak/>
              <w:t>2. Modelo fundacional</w:t>
            </w:r>
            <w:r>
              <w:rPr>
                <w:rFonts w:ascii="Calibri" w:eastAsia="Calibri" w:hAnsi="Calibri" w:cs="Calibri"/>
                <w:sz w:val="16"/>
                <w:szCs w:val="16"/>
              </w:rPr>
              <w:t xml:space="preserve"> (fornecedor único, 44,3% do custo direto, 30 dias de aviso).</w:t>
            </w:r>
          </w:p>
        </w:tc>
        <w:tc>
          <w:tcPr>
            <w:tcW w:w="1612"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33CD5852" w14:textId="77777777" w:rsidR="00BA4F1C" w:rsidRDefault="00000000">
            <w:r>
              <w:rPr>
                <w:rFonts w:ascii="Calibri" w:eastAsia="Calibri" w:hAnsi="Calibri" w:cs="Calibri"/>
                <w:sz w:val="16"/>
                <w:szCs w:val="16"/>
              </w:rPr>
              <w:t>Com +20%, a margem bruta cai para 54,3%. Com +100%, cai para 39,5%, a queima vai a R$ 2,54 mi por mês e o runway encurta de 11,6 para 8,7 meses. Há precedente: em 2024, a Anthropic quadruplicou o preço do Haiku⁹.</w:t>
            </w:r>
          </w:p>
        </w:tc>
        <w:tc>
          <w:tcPr>
            <w:tcW w:w="205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67C217A8" w14:textId="77777777" w:rsidR="00BA4F1C" w:rsidRDefault="00000000">
            <w:r>
              <w:rPr>
                <w:rFonts w:ascii="Calibri" w:eastAsia="Calibri" w:hAnsi="Calibri" w:cs="Calibri"/>
                <w:sz w:val="16"/>
                <w:szCs w:val="16"/>
              </w:rPr>
              <w:t>Se um modelo for descontinuado, o sistema clínico precisa ser revalidado. O desempenho já caiu depois de uma atualização do fornecedor (09/2025, registro de incidentes).</w:t>
            </w:r>
          </w:p>
        </w:tc>
        <w:tc>
          <w:tcPr>
            <w:tcW w:w="205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C126804" w14:textId="77777777" w:rsidR="00BA4F1C" w:rsidRDefault="00000000">
            <w:r>
              <w:rPr>
                <w:rFonts w:ascii="Calibri" w:eastAsia="Calibri" w:hAnsi="Calibri" w:cs="Calibri"/>
                <w:sz w:val="16"/>
                <w:szCs w:val="16"/>
              </w:rPr>
              <w:t>Com o módulo próprio de saúde, o fornecedor passa a concorrer na camada de aplicação.</w:t>
            </w:r>
          </w:p>
        </w:tc>
        <w:tc>
          <w:tcPr>
            <w:tcW w:w="208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092D2F15" w14:textId="77777777" w:rsidR="00BA4F1C" w:rsidRDefault="00000000">
            <w:r>
              <w:rPr>
                <w:rFonts w:ascii="Calibri" w:eastAsia="Calibri" w:hAnsi="Calibri" w:cs="Calibri"/>
                <w:sz w:val="16"/>
                <w:szCs w:val="16"/>
              </w:rPr>
              <w:t>Homologar um segundo fornecedor, negociar preço e versão travados e avaliar se o núcleo preditivo pode rodar em modelo próprio [hipótese: viável se a predição for sobre dados tabulares].</w:t>
            </w:r>
          </w:p>
        </w:tc>
      </w:tr>
      <w:tr w:rsidR="00BA4F1C" w14:paraId="70C3654B" w14:textId="77777777" w:rsidTr="006111E5">
        <w:trPr>
          <w:cantSplit/>
        </w:trPr>
        <w:tc>
          <w:tcPr>
            <w:tcW w:w="18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6C3E0D95" w14:textId="77777777" w:rsidR="00BA4F1C" w:rsidRDefault="00000000">
            <w:r>
              <w:rPr>
                <w:rFonts w:ascii="Calibri" w:eastAsia="Calibri" w:hAnsi="Calibri" w:cs="Calibri"/>
                <w:b/>
                <w:bCs/>
                <w:sz w:val="16"/>
                <w:szCs w:val="16"/>
              </w:rPr>
              <w:t>3. Câmbio</w:t>
            </w:r>
            <w:r>
              <w:rPr>
                <w:rFonts w:ascii="Calibri" w:eastAsia="Calibri" w:hAnsi="Calibri" w:cs="Calibri"/>
                <w:sz w:val="16"/>
                <w:szCs w:val="16"/>
              </w:rPr>
              <w:t xml:space="preserve"> (72,2% do custo em US$, receita em R$).</w:t>
            </w:r>
          </w:p>
        </w:tc>
        <w:tc>
          <w:tcPr>
            <w:tcW w:w="1612"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239BEB04" w14:textId="77777777" w:rsidR="00BA4F1C" w:rsidRDefault="00000000">
            <w:r>
              <w:rPr>
                <w:rFonts w:ascii="Calibri" w:eastAsia="Calibri" w:hAnsi="Calibri" w:cs="Calibri"/>
                <w:sz w:val="16"/>
                <w:szCs w:val="16"/>
              </w:rPr>
              <w:t>Cada R$ 0,10 a mais no dólar custa R$ 19.240 por mês. Com o dólar a R$ 6,00, a margem bruta fica em 54,7%; a R$ 6,50, em 51,9%.</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2F93C2DC" w14:textId="77777777" w:rsidR="00BA4F1C" w:rsidRDefault="00000000">
            <w:r>
              <w:rPr>
                <w:rFonts w:ascii="Calibri" w:eastAsia="Calibri" w:hAnsi="Calibri" w:cs="Calibri"/>
                <w:sz w:val="16"/>
                <w:szCs w:val="16"/>
              </w:rPr>
              <w:t>—</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52A7338F" w14:textId="77777777" w:rsidR="00BA4F1C" w:rsidRDefault="00000000">
            <w:r>
              <w:rPr>
                <w:rFonts w:ascii="Calibri" w:eastAsia="Calibri" w:hAnsi="Calibri" w:cs="Calibri"/>
                <w:sz w:val="16"/>
                <w:szCs w:val="16"/>
              </w:rPr>
              <w:t>—</w:t>
            </w:r>
          </w:p>
        </w:tc>
        <w:tc>
          <w:tcPr>
            <w:tcW w:w="208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7371D348" w14:textId="77777777" w:rsidR="00BA4F1C" w:rsidRDefault="00000000">
            <w:r>
              <w:rPr>
                <w:rFonts w:ascii="Calibri" w:eastAsia="Calibri" w:hAnsi="Calibri" w:cs="Calibri"/>
                <w:sz w:val="16"/>
                <w:szCs w:val="16"/>
              </w:rPr>
              <w:t>Avaliar proteção cambial e cláusula de reajuste nos contratos com clientes. Não consta se a Lumis já tem hedge.</w:t>
            </w:r>
          </w:p>
        </w:tc>
      </w:tr>
      <w:tr w:rsidR="00BA4F1C" w14:paraId="5F305E8B" w14:textId="77777777" w:rsidTr="006111E5">
        <w:trPr>
          <w:cantSplit/>
        </w:trPr>
        <w:tc>
          <w:tcPr>
            <w:tcW w:w="183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311DD11" w14:textId="77777777" w:rsidR="00BA4F1C" w:rsidRDefault="00000000">
            <w:r>
              <w:rPr>
                <w:rFonts w:ascii="Calibri" w:eastAsia="Calibri" w:hAnsi="Calibri" w:cs="Calibri"/>
                <w:b/>
                <w:bCs/>
                <w:sz w:val="16"/>
                <w:szCs w:val="16"/>
              </w:rPr>
              <w:t>4. Nuvem</w:t>
            </w:r>
            <w:r>
              <w:rPr>
                <w:rFonts w:ascii="Calibri" w:eastAsia="Calibri" w:hAnsi="Calibri" w:cs="Calibri"/>
                <w:sz w:val="16"/>
                <w:szCs w:val="16"/>
              </w:rPr>
              <w:t xml:space="preserve"> (provedor global, 27,9% do custo, renovação em 04/2027).</w:t>
            </w:r>
          </w:p>
        </w:tc>
        <w:tc>
          <w:tcPr>
            <w:tcW w:w="1612"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2F5AA187" w14:textId="77777777" w:rsidR="00BA4F1C" w:rsidRDefault="00000000">
            <w:r>
              <w:rPr>
                <w:rFonts w:ascii="Calibri" w:eastAsia="Calibri" w:hAnsi="Calibri" w:cs="Calibri"/>
                <w:sz w:val="16"/>
                <w:szCs w:val="16"/>
              </w:rPr>
              <w:t>Cada 10% de reajuste custa R$ 40.176 por mês. Como a migração leva 7 meses, a Lumis aceita a renovação praticamente sem alternativa.</w:t>
            </w:r>
          </w:p>
        </w:tc>
        <w:tc>
          <w:tcPr>
            <w:tcW w:w="205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42F39567" w14:textId="77777777" w:rsidR="00BA4F1C" w:rsidRDefault="00000000">
            <w:r>
              <w:rPr>
                <w:rFonts w:ascii="Calibri" w:eastAsia="Calibri" w:hAnsi="Calibri" w:cs="Calibri"/>
                <w:sz w:val="16"/>
                <w:szCs w:val="16"/>
              </w:rPr>
              <w:t>Uma mudança de região ou de condições técnicas pode trazer exigências de transferência internacional de dados de saúde [hipótese].</w:t>
            </w:r>
          </w:p>
        </w:tc>
        <w:tc>
          <w:tcPr>
            <w:tcW w:w="205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5B776B3" w14:textId="77777777" w:rsidR="00BA4F1C" w:rsidRDefault="00000000">
            <w:r>
              <w:rPr>
                <w:rFonts w:ascii="Calibri" w:eastAsia="Calibri" w:hAnsi="Calibri" w:cs="Calibri"/>
                <w:sz w:val="16"/>
                <w:szCs w:val="16"/>
              </w:rPr>
              <w:t>Os provedores de nuvem também vendem IA para saúde [hipótese de sobreposição].</w:t>
            </w:r>
          </w:p>
        </w:tc>
        <w:tc>
          <w:tcPr>
            <w:tcW w:w="208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3A51622E" w14:textId="77777777" w:rsidR="00BA4F1C" w:rsidRDefault="00000000">
            <w:r>
              <w:rPr>
                <w:rFonts w:ascii="Calibri" w:eastAsia="Calibri" w:hAnsi="Calibri" w:cs="Calibri"/>
                <w:sz w:val="16"/>
                <w:szCs w:val="16"/>
              </w:rPr>
              <w:t>Começar já um plano de portabilidade e negociar a renovação com cláusulas de saída.</w:t>
            </w:r>
          </w:p>
        </w:tc>
      </w:tr>
      <w:tr w:rsidR="00BA4F1C" w14:paraId="133B4A86" w14:textId="77777777" w:rsidTr="006111E5">
        <w:trPr>
          <w:cantSplit/>
        </w:trPr>
        <w:tc>
          <w:tcPr>
            <w:tcW w:w="18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5DA7E08C" w14:textId="77777777" w:rsidR="00BA4F1C" w:rsidRDefault="00000000">
            <w:r>
              <w:rPr>
                <w:rFonts w:ascii="Calibri" w:eastAsia="Calibri" w:hAnsi="Calibri" w:cs="Calibri"/>
                <w:b/>
                <w:bCs/>
                <w:sz w:val="16"/>
                <w:szCs w:val="16"/>
              </w:rPr>
              <w:t>5. Bases clínicas</w:t>
            </w:r>
            <w:r>
              <w:rPr>
                <w:rFonts w:ascii="Calibri" w:eastAsia="Calibri" w:hAnsi="Calibri" w:cs="Calibri"/>
                <w:sz w:val="16"/>
                <w:szCs w:val="16"/>
              </w:rPr>
              <w:t xml:space="preserve"> (consórcio, 7,8% do custo).</w:t>
            </w:r>
          </w:p>
        </w:tc>
        <w:tc>
          <w:tcPr>
            <w:tcW w:w="1612"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0C5E43D6" w14:textId="77777777" w:rsidR="00BA4F1C" w:rsidRDefault="00000000">
            <w:r>
              <w:rPr>
                <w:rFonts w:ascii="Calibri" w:eastAsia="Calibri" w:hAnsi="Calibri" w:cs="Calibri"/>
                <w:sz w:val="16"/>
                <w:szCs w:val="16"/>
              </w:rPr>
              <w:t>O reajuste é indexado e não tem teto; cada 10% custa R$ 11.204 por mês.</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175D2E94" w14:textId="77777777" w:rsidR="00BA4F1C" w:rsidRDefault="00000000">
            <w:r>
              <w:rPr>
                <w:rFonts w:ascii="Calibri" w:eastAsia="Calibri" w:hAnsi="Calibri" w:cs="Calibri"/>
                <w:sz w:val="16"/>
                <w:szCs w:val="16"/>
              </w:rPr>
              <w:t>A renovação automática pode travar a saída.</w:t>
            </w:r>
          </w:p>
        </w:tc>
        <w:tc>
          <w:tcPr>
            <w:tcW w:w="205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6CD0A254" w14:textId="77777777" w:rsidR="00BA4F1C" w:rsidRDefault="00000000">
            <w:r>
              <w:rPr>
                <w:rFonts w:ascii="Calibri" w:eastAsia="Calibri" w:hAnsi="Calibri" w:cs="Calibri"/>
                <w:sz w:val="16"/>
                <w:szCs w:val="16"/>
              </w:rPr>
              <w:t>—</w:t>
            </w:r>
          </w:p>
        </w:tc>
        <w:tc>
          <w:tcPr>
            <w:tcW w:w="208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1AF0640F" w14:textId="77777777" w:rsidR="00BA4F1C" w:rsidRDefault="00000000">
            <w:r>
              <w:rPr>
                <w:rFonts w:ascii="Calibri" w:eastAsia="Calibri" w:hAnsi="Calibri" w:cs="Calibri"/>
                <w:sz w:val="16"/>
                <w:szCs w:val="16"/>
              </w:rPr>
              <w:t>Negociar teto de reajuste na renovação.</w:t>
            </w:r>
          </w:p>
        </w:tc>
      </w:tr>
    </w:tbl>
    <w:p w14:paraId="53714F82" w14:textId="77777777" w:rsidR="00BA4F1C" w:rsidRDefault="00BA4F1C">
      <w:pPr>
        <w:spacing w:after="80"/>
      </w:pPr>
    </w:p>
    <w:p w14:paraId="289535ED" w14:textId="77777777" w:rsidR="00BA4F1C" w:rsidRDefault="00000000">
      <w:pPr>
        <w:spacing w:after="110" w:line="276" w:lineRule="auto"/>
        <w:jc w:val="both"/>
      </w:pPr>
      <w:r>
        <w:rPr>
          <w:rFonts w:ascii="Calibri" w:eastAsia="Calibri" w:hAnsi="Calibri" w:cs="Calibri"/>
        </w:rPr>
        <w:t xml:space="preserve">Na negociação, a Lumis aceita o preço que os fornecedores definem e enfrenta, do outro lado, clientes grandes que conseguem internalizar. Ela tem mais força com os clientes médios, que não têm time próprio de IA. As respostas da tabela são recomendações nossas; a empresa ainda não as pratica.</w:t>
      </w:r>
    </w:p>
    <w:p w14:paraId="4921440C" w14:textId="77777777" w:rsidR="00BA4F1C" w:rsidRDefault="00000000">
      <w:pPr>
        <w:pStyle w:val="Ttulo1"/>
        <w:keepNext/>
        <w:spacing w:before="220" w:after="100"/>
      </w:pPr>
      <w:r>
        <w:rPr>
          <w:b/>
          <w:rFonts w:ascii="Calibri" w:eastAsia="Calibri" w:hAnsi="Calibri" w:cs="Calibri"/>
          <w:color w:val="1F3A5F"/>
          <w:sz w:val="24"/>
          <w:szCs w:val="24"/>
        </w:rPr>
        <w:t xml:space="preserve">4. O que é difícil de copiar</w:t>
      </w:r>
    </w:p>
    <w:p w14:paraId="289535ED" w14:textId="77777777" w:rsidR="00BA4F1C" w:rsidRDefault="00000000">
      <w:pPr>
        <w:spacing w:after="110" w:line="276" w:lineRule="auto"/>
        <w:jc w:val="both"/>
      </w:pPr>
      <w:r>
        <w:rPr>
          <w:rFonts w:ascii="Calibri" w:eastAsia="Calibri" w:hAnsi="Calibri" w:cs="Calibri"/>
        </w:rPr>
        <w:t xml:space="preserve">Concordamos com a leitura inicial da equipe de que o diferencial da Lumis está na combinação de produto especializado, integração com o cliente e conhecimento acumulado, já que a tecnologia sozinha é copiável. Testamos cada elemento dessa combinação contra os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5638"/>
      </w:tblGrid>
      <w:tr w:rsidR="00BA4F1C" w14:paraId="06F0655E" w14:textId="77777777">
        <w:trPr>
          <w:cantSplit/>
          <w:tblHeader/>
        </w:trPr>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7F428CF3" w14:textId="77777777" w:rsidR="00BA4F1C" w:rsidRDefault="00000000">
            <w:r>
              <w:rPr>
                <w:rFonts w:ascii="Calibri" w:eastAsia="Calibri" w:hAnsi="Calibri" w:cs="Calibri"/>
                <w:b/>
                <w:bCs/>
                <w:color w:val="FFFFFF"/>
                <w:sz w:val="16"/>
                <w:szCs w:val="16"/>
              </w:rPr>
              <w:t>Elemento</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37264DE6" w14:textId="77777777" w:rsidR="00BA4F1C" w:rsidRDefault="00000000">
            <w:r>
              <w:rPr>
                <w:rFonts w:ascii="Calibri" w:eastAsia="Calibri" w:hAnsi="Calibri" w:cs="Calibri"/>
                <w:b/>
                <w:bCs/>
                <w:color w:val="FFFFFF"/>
                <w:sz w:val="16"/>
                <w:szCs w:val="16"/>
              </w:rPr>
              <w:t>Veredito hoje</w:t>
            </w:r>
          </w:p>
        </w:tc>
        <w:tc>
          <w:tcPr>
            <w:tcW w:w="5638"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tcPr>
          <w:p w14:paraId="538741B3" w14:textId="77777777" w:rsidR="00BA4F1C" w:rsidRDefault="00000000">
            <w:r>
              <w:rPr>
                <w:rFonts w:ascii="Calibri" w:eastAsia="Calibri" w:hAnsi="Calibri" w:cs="Calibri"/>
                <w:b/>
                <w:bCs/>
                <w:color w:val="FFFFFF"/>
                <w:sz w:val="16"/>
                <w:szCs w:val="16"/>
              </w:rPr>
              <w:t>Por quê</w:t>
            </w:r>
          </w:p>
        </w:tc>
      </w:tr>
      <w:tr w:rsidR="00BA4F1C" w14:paraId="738DAF5C"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4F6D8BDB" w14:textId="77777777" w:rsidR="00BA4F1C" w:rsidRDefault="00000000">
            <w:r>
              <w:rPr>
                <w:rFonts w:ascii="Calibri" w:eastAsia="Calibri" w:hAnsi="Calibri" w:cs="Calibri"/>
                <w:sz w:val="16"/>
                <w:szCs w:val="16"/>
              </w:rPr>
              <w:t>Modelo e tecnologia de IA</w:t>
            </w:r>
          </w:p>
        </w:tc>
        <w:tc>
          <w:tcPr>
            <w:tcW w:w="17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389B400D" w14:textId="77777777" w:rsidR="00BA4F1C" w:rsidRDefault="00000000">
            <w:r>
              <w:rPr>
                <w:rFonts w:ascii="Calibri" w:eastAsia="Calibri" w:hAnsi="Calibri" w:cs="Calibri"/>
                <w:sz w:val="16"/>
                <w:szCs w:val="16"/>
              </w:rPr>
              <w:t>Copiável</w:t>
            </w:r>
          </w:p>
        </w:tc>
        <w:tc>
          <w:tcPr>
            <w:tcW w:w="56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36F5175A" w14:textId="77777777" w:rsidR="00BA4F1C" w:rsidRDefault="00000000">
            <w:r>
              <w:rPr>
                <w:rFonts w:ascii="Calibri" w:eastAsia="Calibri" w:hAnsi="Calibri" w:cs="Calibri"/>
                <w:sz w:val="16"/>
                <w:szCs w:val="16"/>
              </w:rPr>
              <w:t>É de terceiro, e qualquer empresa pode comprá-lo por consumo, a um preço que vem caindo.</w:t>
            </w:r>
          </w:p>
        </w:tc>
      </w:tr>
      <w:tr w:rsidR="00BA4F1C" w14:paraId="751E62BB"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D8D4A32" w14:textId="77777777" w:rsidR="00BA4F1C" w:rsidRDefault="00000000">
            <w:r>
              <w:rPr>
                <w:rFonts w:ascii="Calibri" w:eastAsia="Calibri" w:hAnsi="Calibri" w:cs="Calibri"/>
                <w:sz w:val="16"/>
                <w:szCs w:val="16"/>
              </w:rPr>
              <w:t>Produto especializado (priorização e risco em 3 segmentos)</w:t>
            </w:r>
          </w:p>
        </w:tc>
        <w:tc>
          <w:tcPr>
            <w:tcW w:w="17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506417AF" w14:textId="77777777" w:rsidR="00BA4F1C" w:rsidRDefault="00000000">
            <w:r>
              <w:rPr>
                <w:rFonts w:ascii="Calibri" w:eastAsia="Calibri" w:hAnsi="Calibri" w:cs="Calibri"/>
                <w:sz w:val="16"/>
                <w:szCs w:val="16"/>
              </w:rPr>
              <w:t>Parcialmente difícil</w:t>
            </w:r>
          </w:p>
        </w:tc>
        <w:tc>
          <w:tcPr>
            <w:tcW w:w="563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2AED8545" w14:textId="77777777" w:rsidR="00BA4F1C" w:rsidRDefault="00000000">
            <w:r>
              <w:rPr>
                <w:rFonts w:ascii="Calibri" w:eastAsia="Calibri" w:hAnsi="Calibri" w:cs="Calibri"/>
                <w:sz w:val="16"/>
                <w:szCs w:val="16"/>
              </w:rPr>
              <w:t>O foco é real, mas a Aster entrega priorização embutida no hospital, e em bancos e seguradoras os grandes compradores internalizam.</w:t>
            </w:r>
          </w:p>
        </w:tc>
      </w:tr>
      <w:tr w:rsidR="00BA4F1C" w14:paraId="0CAF8F63"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29BEA8C1" w14:textId="77777777" w:rsidR="00BA4F1C" w:rsidRDefault="00000000">
            <w:r>
              <w:rPr>
                <w:rFonts w:ascii="Calibri" w:eastAsia="Calibri" w:hAnsi="Calibri" w:cs="Calibri"/>
                <w:sz w:val="16"/>
                <w:szCs w:val="16"/>
              </w:rPr>
              <w:t>Integração e relacionamento com 38 contas</w:t>
            </w:r>
          </w:p>
        </w:tc>
        <w:tc>
          <w:tcPr>
            <w:tcW w:w="17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125CC1AB" w14:textId="77777777" w:rsidR="00BA4F1C" w:rsidRDefault="00000000">
            <w:r>
              <w:rPr>
                <w:rFonts w:ascii="Calibri" w:eastAsia="Calibri" w:hAnsi="Calibri" w:cs="Calibri"/>
                <w:sz w:val="16"/>
                <w:szCs w:val="16"/>
              </w:rPr>
              <w:t>Parcialmente difícil</w:t>
            </w:r>
          </w:p>
        </w:tc>
        <w:tc>
          <w:tcPr>
            <w:tcW w:w="56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0B7E7087" w14:textId="77777777" w:rsidR="00BA4F1C" w:rsidRDefault="00000000">
            <w:r>
              <w:rPr>
                <w:rFonts w:ascii="Calibri" w:eastAsia="Calibri" w:hAnsi="Calibri" w:cs="Calibri"/>
                <w:sz w:val="16"/>
                <w:szCs w:val="16"/>
              </w:rPr>
              <w:t>O churn é de 11% ao ano, cerca de 4 contas e R$ 4,5 mi de ARR, e a retenção ainda não foi testada contra um concorrente embutido no prontuário.</w:t>
            </w:r>
          </w:p>
        </w:tc>
      </w:tr>
      <w:tr w:rsidR="00BA4F1C" w14:paraId="74B24BBD"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461C801D" w14:textId="77777777" w:rsidR="00BA4F1C" w:rsidRDefault="00000000">
            <w:r>
              <w:rPr>
                <w:rFonts w:ascii="Calibri" w:eastAsia="Calibri" w:hAnsi="Calibri" w:cs="Calibri"/>
                <w:sz w:val="16"/>
                <w:szCs w:val="16"/>
              </w:rPr>
              <w:t>Conhecimento acumulado e equipe</w:t>
            </w:r>
          </w:p>
        </w:tc>
        <w:tc>
          <w:tcPr>
            <w:tcW w:w="17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4E6BA663" w14:textId="77777777" w:rsidR="00BA4F1C" w:rsidRDefault="00000000">
            <w:r>
              <w:rPr>
                <w:rFonts w:ascii="Calibri" w:eastAsia="Calibri" w:hAnsi="Calibri" w:cs="Calibri"/>
                <w:sz w:val="16"/>
                <w:szCs w:val="16"/>
              </w:rPr>
              <w:t>Moderadamente difícil</w:t>
            </w:r>
          </w:p>
        </w:tc>
        <w:tc>
          <w:tcPr>
            <w:tcW w:w="563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2DAF33E" w14:textId="77777777" w:rsidR="00BA4F1C" w:rsidRDefault="00000000">
            <w:r>
              <w:rPr>
                <w:rFonts w:ascii="Calibri" w:eastAsia="Calibri" w:hAnsi="Calibri" w:cs="Calibri"/>
                <w:sz w:val="16"/>
                <w:szCs w:val="16"/>
              </w:rPr>
              <w:t>São 48 técnicos e 4 anos de domínio, mas o conhecimento sai da empresa junto com as pessoas.</w:t>
            </w:r>
          </w:p>
        </w:tc>
      </w:tr>
      <w:tr w:rsidR="00BA4F1C" w14:paraId="14303AC8"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77109708" w14:textId="77777777" w:rsidR="00BA4F1C" w:rsidRDefault="00000000">
            <w:r>
              <w:rPr>
                <w:rFonts w:ascii="Calibri" w:eastAsia="Calibri" w:hAnsi="Calibri" w:cs="Calibri"/>
                <w:sz w:val="16"/>
                <w:szCs w:val="16"/>
              </w:rPr>
              <w:t>Base histórica de dados</w:t>
            </w:r>
          </w:p>
        </w:tc>
        <w:tc>
          <w:tcPr>
            <w:tcW w:w="1700"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527EF408" w14:textId="77777777" w:rsidR="00BA4F1C" w:rsidRDefault="00000000">
            <w:r>
              <w:rPr>
                <w:rFonts w:ascii="Calibri" w:eastAsia="Calibri" w:hAnsi="Calibri" w:cs="Calibri"/>
                <w:b/>
                <w:bCs/>
                <w:sz w:val="16"/>
                <w:szCs w:val="16"/>
              </w:rPr>
              <w:t>Hoje é passivo</w:t>
            </w:r>
          </w:p>
        </w:tc>
        <w:tc>
          <w:tcPr>
            <w:tcW w:w="5638" w:type="dxa"/>
            <w:tcBorders>
              <w:top w:val="single" w:sz="4" w:space="0" w:color="B8C4D2"/>
              <w:left w:val="single" w:sz="4" w:space="0" w:color="B8C4D2"/>
              <w:bottom w:val="single" w:sz="4" w:space="0" w:color="B8C4D2"/>
              <w:right w:val="single" w:sz="4" w:space="0" w:color="B8C4D2"/>
            </w:tcBorders>
            <w:shd w:val="clear" w:color="auto" w:fill="FFFFFF"/>
            <w:tcMar>
              <w:top w:w="50" w:type="dxa"/>
              <w:left w:w="90" w:type="dxa"/>
              <w:bottom w:w="50" w:type="dxa"/>
              <w:right w:w="90" w:type="dxa"/>
            </w:tcMar>
          </w:tcPr>
          <w:p w14:paraId="6B64C6EC" w14:textId="77777777" w:rsidR="00BA4F1C" w:rsidRDefault="00000000">
            <w:r>
              <w:rPr>
                <w:rFonts w:ascii="Calibri" w:eastAsia="Calibri" w:hAnsi="Calibri" w:cs="Calibri"/>
                <w:sz w:val="16"/>
                <w:szCs w:val="16"/>
              </w:rPr>
              <w:t>63,6% é dado público, 35,4% dos dados de clientes não têm autorização clara para treinamento e nenhum contrato foi revisado. Só 2 clientes da saúde fornecem dados clínicos (Quadro 7).</w:t>
            </w:r>
          </w:p>
        </w:tc>
      </w:tr>
      <w:tr w:rsidR="00BA4F1C" w14:paraId="1907D68B" w14:textId="77777777">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194BC5A1" w14:textId="77777777" w:rsidR="00BA4F1C" w:rsidRDefault="00000000">
            <w:r>
              <w:rPr>
                <w:rFonts w:ascii="Calibri" w:eastAsia="Calibri" w:hAnsi="Calibri" w:cs="Calibri"/>
                <w:sz w:val="16"/>
                <w:szCs w:val="16"/>
              </w:rPr>
              <w:t>Validação clínica</w:t>
            </w:r>
          </w:p>
        </w:tc>
        <w:tc>
          <w:tcPr>
            <w:tcW w:w="1700"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0AE96318" w14:textId="77777777" w:rsidR="00BA4F1C" w:rsidRDefault="00000000">
            <w:r>
              <w:rPr>
                <w:rFonts w:ascii="Calibri" w:eastAsia="Calibri" w:hAnsi="Calibri" w:cs="Calibri"/>
                <w:b/>
                <w:bCs/>
                <w:sz w:val="16"/>
                <w:szCs w:val="16"/>
              </w:rPr>
              <w:t>Hoje é passivo</w:t>
            </w:r>
          </w:p>
        </w:tc>
        <w:tc>
          <w:tcPr>
            <w:tcW w:w="5638" w:type="dxa"/>
            <w:tcBorders>
              <w:top w:val="single" w:sz="4" w:space="0" w:color="B8C4D2"/>
              <w:left w:val="single" w:sz="4" w:space="0" w:color="B8C4D2"/>
              <w:bottom w:val="single" w:sz="4" w:space="0" w:color="B8C4D2"/>
              <w:right w:val="single" w:sz="4" w:space="0" w:color="B8C4D2"/>
            </w:tcBorders>
            <w:shd w:val="clear" w:color="auto" w:fill="F3F5F8"/>
            <w:tcMar>
              <w:top w:w="50" w:type="dxa"/>
              <w:left w:w="90" w:type="dxa"/>
              <w:bottom w:w="50" w:type="dxa"/>
              <w:right w:w="90" w:type="dxa"/>
            </w:tcMar>
          </w:tcPr>
          <w:p w14:paraId="368B4CA3" w14:textId="77777777" w:rsidR="00BA4F1C" w:rsidRDefault="00000000">
            <w:r>
              <w:rPr>
                <w:rFonts w:ascii="Calibri" w:eastAsia="Calibri" w:hAnsi="Calibri" w:cs="Calibri"/>
                <w:sz w:val="16"/>
                <w:szCs w:val="16"/>
              </w:rPr>
              <w:t>O "94%" não se reproduz em campo, e a diferença entre validação e campo é maior justamente no grupo que originou a reclamação do hospital.</w:t>
            </w:r>
          </w:p>
        </w:tc>
      </w:tr>
    </w:tbl>
    <w:p w14:paraId="53714F82" w14:textId="77777777" w:rsidR="00BA4F1C" w:rsidRDefault="00BA4F1C">
      <w:pPr>
        <w:spacing w:after="80"/>
      </w:pPr>
    </w:p>
    <w:p w14:paraId="289535ED" w14:textId="77777777" w:rsidR="00BA4F1C" w:rsidRDefault="00000000">
      <w:pPr>
        <w:spacing w:after="110" w:line="276" w:lineRule="auto"/>
        <w:jc w:val="both"/>
      </w:pPr>
      <w:r>
        <w:rPr>
          <w:rFonts w:ascii="Calibri" w:eastAsia="Calibri" w:hAnsi="Calibri" w:cs="Calibri"/>
        </w:rPr>
        <w:t xml:space="preserve">O resultado é que, hoje, pouco na Lumis é difícil de copiar. A combinação existe, mas se apoia numa base de dados com direito de uso incerto e numa acurácia que não se repete fora do ambiente de validação. Um concorrente com mais capital replica a tecnologia em meses, e o dono do prontuário replica a distribuição de imediato.</w:t>
      </w:r>
    </w:p>
    <w:p w14:paraId="289535ED" w14:textId="77777777" w:rsidR="00BA4F1C" w:rsidRDefault="00000000">
      <w:pPr>
        <w:spacing w:after="110" w:line="276" w:lineRule="auto"/>
        <w:jc w:val="both"/>
      </w:pPr>
      <w:r>
        <w:rPr>
          <w:rFonts w:ascii="Calibri" w:eastAsia="Calibri" w:hAnsi="Calibri" w:cs="Calibri"/>
        </w:rPr>
        <w:t xml:space="preserve">O que pode vir a ser difícil de copiar é o dado de desfecho da priorização clínica no fluxo hospitalar brasileiro, com direito de uso limpo, acompanhado de prova auditável de desempenho por subgrupo de pacientes. Hoje, nem o dono do prontuário nem o fornecedor de modelo têm isso. Para chegar lá, a Lumis precisa de três movimentos:</w:t>
      </w:r>
    </w:p>
    <w:p w14:paraId="21F2D082" w14:textId="77777777" w:rsidR="00BA4F1C" w:rsidRDefault="00000000">
      <w:pPr>
        <w:pStyle w:val="PargrafodaLista"/>
        <w:numPr>
          <w:ilvl w:val="0"/>
          <w:numId w:val="2"/>
        </w:numPr>
        <w:spacing w:after="70" w:line="264" w:lineRule="auto"/>
        <w:jc w:val="both"/>
      </w:pPr>
      <w:r>
        <w:rPr>
          <w:b/>
          <w:rFonts w:ascii="Calibri" w:eastAsia="Calibri" w:hAnsi="Calibri" w:cs="Calibri"/>
        </w:rPr>
        <w:t xml:space="preserve">Regularizar os contratos de dados</w:t>
      </w:r>
      <w:r>
        <w:rPr>
          <w:rFonts w:ascii="Calibri" w:eastAsia="Calibri" w:hAnsi="Calibri" w:cs="Calibri"/>
        </w:rPr>
        <w:t xml:space="preserve"> antes dos vencimentos de dezembro de 2026 e março de 2027 e estender o direito de uso aos clientes que hoje não contribuem com dados.</w:t>
      </w:r>
    </w:p>
    <w:p w14:paraId="21F2D082" w14:textId="77777777" w:rsidR="00BA4F1C" w:rsidRDefault="00000000">
      <w:pPr>
        <w:pStyle w:val="PargrafodaLista"/>
        <w:numPr>
          <w:ilvl w:val="0"/>
          <w:numId w:val="2"/>
        </w:numPr>
        <w:spacing w:after="70" w:line="264" w:lineRule="auto"/>
        <w:jc w:val="both"/>
      </w:pPr>
      <w:r>
        <w:rPr>
          <w:b/>
          <w:rFonts w:ascii="Calibri" w:eastAsia="Calibri" w:hAnsi="Calibri" w:cs="Calibri"/>
        </w:rPr>
        <w:t xml:space="preserve">Trocar os 94% por uma validação em campo</w:t>
      </w:r>
      <w:r>
        <w:rPr>
          <w:rFonts w:ascii="Calibri" w:eastAsia="Calibri" w:hAnsi="Calibri" w:cs="Calibri"/>
        </w:rPr>
        <w:t xml:space="preserve">, separada por subgrupo e publicada. Isso também cumpre nosso compromisso de Não Amplificação de Danos, assumido na Declaração de Intenção da Fase 1.</w:t>
      </w:r>
    </w:p>
    <w:p w14:paraId="21F2D082" w14:textId="77777777" w:rsidR="00BA4F1C" w:rsidRDefault="00000000">
      <w:pPr>
        <w:pStyle w:val="PargrafodaLista"/>
        <w:numPr>
          <w:ilvl w:val="0"/>
          <w:numId w:val="2"/>
        </w:numPr>
        <w:spacing w:after="70" w:line="264" w:lineRule="auto"/>
        <w:jc w:val="both"/>
      </w:pPr>
      <w:r>
        <w:rPr>
          <w:b/>
          <w:rFonts w:ascii="Calibri" w:eastAsia="Calibri" w:hAnsi="Calibri" w:cs="Calibri"/>
        </w:rPr>
        <w:t xml:space="preserve">Concentrar a operação nos hospitais e seguradoras médios</w:t>
      </w:r>
      <w:r>
        <w:rPr>
          <w:rFonts w:ascii="Calibri" w:eastAsia="Calibri" w:hAnsi="Calibri" w:cs="Calibri"/>
        </w:rPr>
        <w:t xml:space="preserve">, onde a integração vale mais e o cliente não tem time próprio para fazer a IA.</w:t>
      </w:r>
    </w:p>
    <w:p w14:paraId="289535ED" w14:textId="77777777" w:rsidR="00BA4F1C" w:rsidRDefault="00000000">
      <w:pPr>
        <w:spacing w:after="110" w:line="276" w:lineRule="auto"/>
        <w:jc w:val="both"/>
      </w:pPr>
      <w:r>
        <w:rPr>
          <w:rFonts w:ascii="Calibri" w:eastAsia="Calibri" w:hAnsi="Calibri" w:cs="Calibri"/>
        </w:rPr>
        <w:t xml:space="preserve">É daqui que propomos partir a tese de crescimento. Para merecer o múltiplo de 10,3 vezes o ARR, a Lumis precisa mostrar ao Vetor Capital o que vai construir, porque o que ela tem hoje não sustenta esse valor sozinho. As próximas entregas detalham os contratos e as métricas (Entrega 2) e quem responde por cada decisão sobre fornecedores (Entrega 3).</w:t>
      </w:r>
    </w:p>
    <w:p w14:paraId="3B200E2F" w14:textId="77777777" w:rsidR="00BA4F1C" w:rsidRDefault="00000000">
      <w:pPr>
        <w:pStyle w:val="Ttulo2"/>
        <w:keepNext/>
        <w:spacing w:before="180" w:after="80"/>
      </w:pPr>
      <w:r>
        <w:rPr>
          <w:rFonts w:ascii="Calibri" w:eastAsia="Calibri" w:hAnsi="Calibri" w:cs="Calibri"/>
          <w:b/>
          <w:bCs/>
          <w:color w:val="1F3A5F"/>
          <w:sz w:val="21"/>
          <w:szCs w:val="21"/>
        </w:rPr>
        <w:t>Referências (contexto externo, análogos reais)</w:t>
      </w:r>
    </w:p>
    <w:p w14:paraId="57CCF751" w14:textId="77777777" w:rsidR="00BA4F1C" w:rsidRDefault="00000000">
      <w:pPr>
        <w:spacing w:after="40"/>
        <w:ind w:left="280" w:hanging="280"/>
      </w:pPr>
      <w:r w:rsidRPr="006111E5">
        <w:rPr>
          <w:rFonts w:ascii="Calibri" w:eastAsia="Calibri" w:hAnsi="Calibri" w:cs="Calibri"/>
          <w:b/>
          <w:bCs/>
          <w:sz w:val="16"/>
          <w:szCs w:val="16"/>
          <w:lang w:val="en-US"/>
        </w:rPr>
        <w:t xml:space="preserve">1. </w:t>
      </w:r>
      <w:r w:rsidRPr="006111E5">
        <w:rPr>
          <w:rFonts w:ascii="Calibri" w:eastAsia="Calibri" w:hAnsi="Calibri" w:cs="Calibri"/>
          <w:sz w:val="16"/>
          <w:szCs w:val="16"/>
          <w:lang w:val="en-US"/>
        </w:rPr>
        <w:t xml:space="preserve">SYNERGY RESEARCH GROUP. Q2 Cloud Market Passes $143 Billion. </w:t>
      </w:r>
      <w:r>
        <w:rPr>
          <w:rFonts w:ascii="Calibri" w:eastAsia="Calibri" w:hAnsi="Calibri" w:cs="Calibri"/>
          <w:sz w:val="16"/>
          <w:szCs w:val="16"/>
        </w:rPr>
        <w:t>30 jul. 2026. Disponível em: https://www.srgresearch.com/articles/q2-cloud-market-passes-143-billion-highest-growth-rate-in-eight-years.</w:t>
      </w:r>
    </w:p>
    <w:p w14:paraId="6D38BAE3" w14:textId="77777777" w:rsidR="00BA4F1C" w:rsidRDefault="00000000">
      <w:pPr>
        <w:spacing w:after="40"/>
        <w:ind w:left="280" w:hanging="280"/>
      </w:pPr>
      <w:r>
        <w:rPr>
          <w:rFonts w:ascii="Calibri" w:eastAsia="Calibri" w:hAnsi="Calibri" w:cs="Calibri"/>
          <w:b/>
          <w:bCs/>
          <w:sz w:val="16"/>
          <w:szCs w:val="16"/>
        </w:rPr>
        <w:t xml:space="preserve">2. </w:t>
      </w:r>
      <w:r>
        <w:rPr>
          <w:rFonts w:ascii="Calibri" w:eastAsia="Calibri" w:hAnsi="Calibri" w:cs="Calibri"/>
          <w:sz w:val="16"/>
          <w:szCs w:val="16"/>
        </w:rPr>
        <w:t>MV. MV se torna a 5ª maior fornecedora global de prontuário eletrônico hospitalar (dados KLAS 2025). 4 ago. 2025. Disponível em: https://mv.com.br/imprensa/mv-se-torna-a-5a-maior-fornecedora-global-de-prontuario-eletronico-hospitalar.</w:t>
      </w:r>
    </w:p>
    <w:p w14:paraId="346675D9" w14:textId="77777777" w:rsidR="00BA4F1C" w:rsidRDefault="00000000">
      <w:pPr>
        <w:spacing w:after="40"/>
        <w:ind w:left="280" w:hanging="280"/>
      </w:pPr>
      <w:r>
        <w:rPr>
          <w:rFonts w:ascii="Calibri" w:eastAsia="Calibri" w:hAnsi="Calibri" w:cs="Calibri"/>
          <w:b/>
          <w:bCs/>
          <w:sz w:val="16"/>
          <w:szCs w:val="16"/>
        </w:rPr>
        <w:t xml:space="preserve">3. </w:t>
      </w:r>
      <w:r>
        <w:rPr>
          <w:rFonts w:ascii="Calibri" w:eastAsia="Calibri" w:hAnsi="Calibri" w:cs="Calibri"/>
          <w:sz w:val="16"/>
          <w:szCs w:val="16"/>
        </w:rPr>
        <w:t>PHILIPS. Philips expande acesso ao Tasy EMR na Rede D'Or. 19 ago. 2025. Disponível em: https://www.philips.com.br/a-w/about/news/archive/standard/news/press/2025/20250819-philips-expands-access-to-tasy-emr-in-rede-d-or-improving-patient-care.html.</w:t>
      </w:r>
    </w:p>
    <w:p w14:paraId="59C3E883" w14:textId="77777777" w:rsidR="00BA4F1C" w:rsidRDefault="00000000">
      <w:pPr>
        <w:spacing w:after="40"/>
        <w:ind w:left="280" w:hanging="280"/>
      </w:pPr>
      <w:r w:rsidRPr="006111E5">
        <w:rPr>
          <w:rFonts w:ascii="Calibri" w:eastAsia="Calibri" w:hAnsi="Calibri" w:cs="Calibri"/>
          <w:b/>
          <w:bCs/>
          <w:sz w:val="16"/>
          <w:szCs w:val="16"/>
          <w:lang w:val="en-US"/>
        </w:rPr>
        <w:t xml:space="preserve">4. </w:t>
      </w:r>
      <w:r w:rsidRPr="006111E5">
        <w:rPr>
          <w:rFonts w:ascii="Calibri" w:eastAsia="Calibri" w:hAnsi="Calibri" w:cs="Calibri"/>
          <w:sz w:val="16"/>
          <w:szCs w:val="16"/>
          <w:lang w:val="en-US"/>
        </w:rPr>
        <w:t xml:space="preserve">TESTINGCATALOG. OpenAI launches ChatGPT for Healthcare with US hospitals. </w:t>
      </w:r>
      <w:r>
        <w:rPr>
          <w:rFonts w:ascii="Calibri" w:eastAsia="Calibri" w:hAnsi="Calibri" w:cs="Calibri"/>
          <w:sz w:val="16"/>
          <w:szCs w:val="16"/>
        </w:rPr>
        <w:t>8 jan. 2026. Disponível em: https://www.testingcatalog.com/openai-launches-chatgpt-for-healthcare-with-us-hospitals/.</w:t>
      </w:r>
    </w:p>
    <w:p w14:paraId="4BBBCBE5" w14:textId="77777777" w:rsidR="00BA4F1C" w:rsidRDefault="00000000">
      <w:pPr>
        <w:spacing w:after="40"/>
        <w:ind w:left="280" w:hanging="280"/>
      </w:pPr>
      <w:r w:rsidRPr="006111E5">
        <w:rPr>
          <w:rFonts w:ascii="Calibri" w:eastAsia="Calibri" w:hAnsi="Calibri" w:cs="Calibri"/>
          <w:b/>
          <w:bCs/>
          <w:sz w:val="16"/>
          <w:szCs w:val="16"/>
          <w:lang w:val="en-US"/>
        </w:rPr>
        <w:t xml:space="preserve">5. </w:t>
      </w:r>
      <w:r w:rsidRPr="006111E5">
        <w:rPr>
          <w:rFonts w:ascii="Calibri" w:eastAsia="Calibri" w:hAnsi="Calibri" w:cs="Calibri"/>
          <w:sz w:val="16"/>
          <w:szCs w:val="16"/>
          <w:lang w:val="en-US"/>
        </w:rPr>
        <w:t xml:space="preserve">ANTHROPIC. Advancing Claude in healthcare and the life sciences. </w:t>
      </w:r>
      <w:r>
        <w:rPr>
          <w:rFonts w:ascii="Calibri" w:eastAsia="Calibri" w:hAnsi="Calibri" w:cs="Calibri"/>
          <w:sz w:val="16"/>
          <w:szCs w:val="16"/>
        </w:rPr>
        <w:t>11 jan. 2026. Disponível em: https://www.anthropic.com/news/healthcare-life-sciences.</w:t>
      </w:r>
    </w:p>
    <w:p w14:paraId="7E89F604" w14:textId="77777777" w:rsidR="00BA4F1C" w:rsidRDefault="00000000">
      <w:pPr>
        <w:spacing w:after="40"/>
        <w:ind w:left="280" w:hanging="280"/>
      </w:pPr>
      <w:r>
        <w:rPr>
          <w:rFonts w:ascii="Calibri" w:eastAsia="Calibri" w:hAnsi="Calibri" w:cs="Calibri"/>
          <w:b/>
          <w:bCs/>
          <w:sz w:val="16"/>
          <w:szCs w:val="16"/>
        </w:rPr>
        <w:t xml:space="preserve">6. </w:t>
      </w:r>
      <w:r>
        <w:rPr>
          <w:rFonts w:ascii="Calibri" w:eastAsia="Calibri" w:hAnsi="Calibri" w:cs="Calibri"/>
          <w:sz w:val="16"/>
          <w:szCs w:val="16"/>
        </w:rPr>
        <w:t>CONVERGÊNCIA DIGITAL. Hospital Israelita Albert Einstein: algoritmos, IA e inovação salvam vidas. 8 jan. 2025. Disponível em: https://convergenciadigital.com.br/mercado/hospital-israelita-albert-einstein-algoritmos-ia-e-inovacao-salvam-vidas/.</w:t>
      </w:r>
    </w:p>
    <w:p w14:paraId="0DAFF1E4" w14:textId="77777777" w:rsidR="00BA4F1C" w:rsidRDefault="00000000">
      <w:pPr>
        <w:spacing w:after="40"/>
        <w:ind w:left="280" w:hanging="280"/>
      </w:pPr>
      <w:r>
        <w:rPr>
          <w:rFonts w:ascii="Calibri" w:eastAsia="Calibri" w:hAnsi="Calibri" w:cs="Calibri"/>
          <w:b/>
          <w:bCs/>
          <w:sz w:val="16"/>
          <w:szCs w:val="16"/>
        </w:rPr>
        <w:t xml:space="preserve">7. </w:t>
      </w:r>
      <w:r>
        <w:rPr>
          <w:rFonts w:ascii="Calibri" w:eastAsia="Calibri" w:hAnsi="Calibri" w:cs="Calibri"/>
          <w:sz w:val="16"/>
          <w:szCs w:val="16"/>
        </w:rPr>
        <w:t>LET'S MONEY. Itaú usa mais de 1,3 mil modelos de IA. 2026. Disponível em: https://www.letsmoney.com.br/noticias/itau-usa-mais-de-mil-modelos-ia/.</w:t>
      </w:r>
    </w:p>
    <w:p w14:paraId="31DF63D0" w14:textId="77777777" w:rsidR="00BA4F1C" w:rsidRPr="006111E5" w:rsidRDefault="00000000">
      <w:pPr>
        <w:spacing w:after="40"/>
        <w:ind w:left="280" w:hanging="280"/>
        <w:rPr>
          <w:lang w:val="en-US"/>
        </w:rPr>
      </w:pPr>
      <w:r w:rsidRPr="006111E5">
        <w:rPr>
          <w:rFonts w:ascii="Calibri" w:eastAsia="Calibri" w:hAnsi="Calibri" w:cs="Calibri"/>
          <w:b/>
          <w:bCs/>
          <w:sz w:val="16"/>
          <w:szCs w:val="16"/>
          <w:lang w:val="en-US"/>
        </w:rPr>
        <w:t xml:space="preserve">8. </w:t>
      </w:r>
      <w:r w:rsidRPr="006111E5">
        <w:rPr>
          <w:rFonts w:ascii="Calibri" w:eastAsia="Calibri" w:hAnsi="Calibri" w:cs="Calibri"/>
          <w:sz w:val="16"/>
          <w:szCs w:val="16"/>
          <w:lang w:val="en-US"/>
        </w:rPr>
        <w:t>WONG, A. et al. External Validation of a Widely Implemented Proprietary Sepsis Prediction Model in Hospitalized Patients. JAMA Internal Medicine, v. 181, n. 8, p. 1065-1070, 2021.</w:t>
      </w:r>
    </w:p>
    <w:p w14:paraId="6204EDF0" w14:textId="77777777" w:rsidR="00BA4F1C" w:rsidRDefault="00000000">
      <w:pPr>
        <w:spacing w:after="40"/>
        <w:ind w:left="280" w:hanging="280"/>
      </w:pPr>
      <w:r w:rsidRPr="006111E5">
        <w:rPr>
          <w:rFonts w:ascii="Calibri" w:eastAsia="Calibri" w:hAnsi="Calibri" w:cs="Calibri"/>
          <w:b/>
          <w:bCs/>
          <w:sz w:val="16"/>
          <w:szCs w:val="16"/>
          <w:lang w:val="en-US"/>
        </w:rPr>
        <w:t xml:space="preserve">9. </w:t>
      </w:r>
      <w:r w:rsidRPr="006111E5">
        <w:rPr>
          <w:rFonts w:ascii="Calibri" w:eastAsia="Calibri" w:hAnsi="Calibri" w:cs="Calibri"/>
          <w:sz w:val="16"/>
          <w:szCs w:val="16"/>
          <w:lang w:val="en-US"/>
        </w:rPr>
        <w:t xml:space="preserve">TECHCRUNCH. Anthropic hikes the price of its Haiku model. </w:t>
      </w:r>
      <w:r>
        <w:rPr>
          <w:rFonts w:ascii="Calibri" w:eastAsia="Calibri" w:hAnsi="Calibri" w:cs="Calibri"/>
          <w:sz w:val="16"/>
          <w:szCs w:val="16"/>
        </w:rPr>
        <w:t>4 nov. 2024. Disponível em: https://techcrunch.com/2024/11/04/anthropic-hikes-the-price-of-its-haiku-model.</w:t>
      </w:r>
    </w:p>
    <w:p w14:paraId="7229060C" w14:textId="77777777" w:rsidR="00BA4F1C" w:rsidRDefault="00000000">
      <w:pPr>
        <w:spacing w:after="40"/>
        <w:ind w:left="280" w:hanging="280"/>
      </w:pPr>
      <w:r w:rsidRPr="006111E5">
        <w:rPr>
          <w:rFonts w:ascii="Calibri" w:eastAsia="Calibri" w:hAnsi="Calibri" w:cs="Calibri"/>
          <w:b/>
          <w:bCs/>
          <w:sz w:val="16"/>
          <w:szCs w:val="16"/>
          <w:lang w:val="en-US"/>
        </w:rPr>
        <w:t xml:space="preserve">10. </w:t>
      </w:r>
      <w:r w:rsidRPr="006111E5">
        <w:rPr>
          <w:rFonts w:ascii="Calibri" w:eastAsia="Calibri" w:hAnsi="Calibri" w:cs="Calibri"/>
          <w:sz w:val="16"/>
          <w:szCs w:val="16"/>
          <w:lang w:val="en-US"/>
        </w:rPr>
        <w:t xml:space="preserve">SHAPIRO, C.; VARIAN, H. R. Information Rules: A Strategic Guide to the Network Economy. </w:t>
      </w:r>
      <w:r>
        <w:rPr>
          <w:rFonts w:ascii="Calibri" w:eastAsia="Calibri" w:hAnsi="Calibri" w:cs="Calibri"/>
          <w:sz w:val="16"/>
          <w:szCs w:val="16"/>
        </w:rPr>
        <w:t>Boston: Harvard Business School Press, 1999.</w:t>
      </w:r>
    </w:p>
    <w:p w14:paraId="2AD9EFD9" w14:textId="77777777" w:rsidR="00BA4F1C" w:rsidRDefault="00000000">
      <w:pPr>
        <w:spacing w:before="80" w:after="80"/>
      </w:pPr>
      <w:r>
        <w:rPr>
          <w:rFonts w:ascii="Calibri" w:eastAsia="Calibri" w:hAnsi="Calibri" w:cs="Calibri"/>
          <w:i/>
          <w:iCs/>
          <w:color w:val="6B7A8C"/>
          <w:sz w:val="16"/>
          <w:szCs w:val="16"/>
        </w:rPr>
        <w:t>Dados da Lumis: Anexo A do Cap. 2 (Quadros 3 a 6; para dados e desempenho, Quadros 7, 9, 10 e 14). Os números calculados (margens, cenários, crescimento) partem do Quadro 4, e o detalhamento está no material de apoio da equipe. As empresas reais citadas são análogos e não fazem parte do caso Lumis.</w:t>
      </w:r>
    </w:p>
    <w:p w14:paraId="05D32A7B" w14:textId="77777777" w:rsidR="00BA4F1C" w:rsidRDefault="00BA4F1C">
      <w:pPr>
        <w:pageBreakBefore/>
      </w:pPr>
    </w:p>
    <w:p w14:paraId="11117193" w14:textId="77777777" w:rsidR="00BA4F1C" w:rsidRDefault="00000000">
      <w:pPr>
        <w:pStyle w:val="Ttulo1"/>
        <w:keepNext/>
        <w:spacing w:before="220" w:after="100"/>
      </w:pPr>
      <w:r>
        <w:rPr>
          <w:rFonts w:ascii="Calibri" w:eastAsia="Calibri" w:hAnsi="Calibri" w:cs="Calibri"/>
          <w:b/>
          <w:bCs/>
          <w:color w:val="1F3A5F"/>
          <w:sz w:val="24"/>
          <w:szCs w:val="24"/>
        </w:rPr>
        <w:t>APÊNDICE A: Uso de IA generativa como instrumento de pesquisa</w:t>
      </w:r>
    </w:p>
    <w:p w14:paraId="653ED36A" w14:textId="77777777" w:rsidR="00BA4F1C" w:rsidRDefault="00000000">
      <w:pPr>
        <w:spacing w:after="110" w:line="276" w:lineRule="auto"/>
        <w:jc w:val="both"/>
      </w:pPr>
      <w:r>
        <w:rPr>
          <w:rFonts w:ascii="Calibri" w:eastAsia="Calibri" w:hAnsi="Calibri" w:cs="Calibri"/>
          <w:b/>
          <w:bCs/>
        </w:rPr>
        <w:t>Ferramenta e data:</w:t>
      </w:r>
      <w:r>
        <w:rPr>
          <w:rFonts w:ascii="Calibri" w:eastAsia="Calibri" w:hAnsi="Calibri" w:cs="Calibri"/>
        </w:rPr>
        <w:t xml:space="preserve"> Claude Code (Anthropic), em 05/10/2026, com subagentes autorizados a buscar e abrir páginas na web.</w:t>
      </w:r>
    </w:p>
    <w:p w14:paraId="3641807F" w14:textId="77777777" w:rsidR="00BA4F1C" w:rsidRDefault="00000000">
      <w:pPr>
        <w:spacing w:after="110" w:line="276" w:lineRule="auto"/>
        <w:jc w:val="both"/>
      </w:pPr>
      <w:r>
        <w:rPr>
          <w:rFonts w:ascii="Calibri" w:eastAsia="Calibri" w:hAnsi="Calibri" w:cs="Calibri"/>
          <w:b/>
        </w:rPr>
        <w:t>Método.</w:t>
      </w:r>
      <w:r>
        <w:rPr>
          <w:rFonts w:ascii="Calibri" w:eastAsia="Calibri" w:hAnsi="Calibri" w:cs="Calibri"/>
        </w:rPr>
        <w:t xml:space="preserve"> A IA foi usada para pesquisar, não para redigir. Cinco frentes de pesquisa rodaram em paralelo (camadas, concorrência, dependências, defensabilidade e cálculos), e todas receberam o mesmo bloco de contexto, com os Quadros 3 a 6 transcritos e regras explícitas:</w:t>
      </w:r>
    </w:p>
    <w:p w14:paraId="09EB4CB3" w14:textId="77777777" w:rsidR="00BA4F1C" w:rsidRDefault="00000000">
      <w:pPr>
        <w:pStyle w:val="PargrafodaLista"/>
        <w:numPr>
          <w:ilvl w:val="0"/>
          <w:numId w:val="2"/>
        </w:numPr>
        <w:spacing w:after="70" w:line="264" w:lineRule="auto"/>
        <w:jc w:val="both"/>
      </w:pPr>
      <w:r>
        <w:rPr>
          <w:rFonts w:ascii="Calibri" w:eastAsia="Calibri" w:hAnsi="Calibri" w:cs="Calibri"/>
        </w:rPr>
        <w:t>não inventar números sobre a Lumis;</w:t>
      </w:r>
    </w:p>
    <w:p w14:paraId="22EA2A39" w14:textId="77777777" w:rsidR="00BA4F1C" w:rsidRDefault="00000000">
      <w:pPr>
        <w:pStyle w:val="PargrafodaLista"/>
        <w:numPr>
          <w:ilvl w:val="0"/>
          <w:numId w:val="2"/>
        </w:numPr>
        <w:spacing w:after="70" w:line="264" w:lineRule="auto"/>
        <w:jc w:val="both"/>
      </w:pPr>
      <w:r>
        <w:rPr>
          <w:rFonts w:ascii="Calibri" w:eastAsia="Calibri" w:hAnsi="Calibri" w:cs="Calibri"/>
        </w:rPr>
        <w:t>não pesquisar as empresas fictícias e buscar, no lugar delas, análogos reais rotulados como tal;</w:t>
      </w:r>
    </w:p>
    <w:p w14:paraId="0C629338" w14:textId="77777777" w:rsidR="00BA4F1C" w:rsidRDefault="00000000">
      <w:pPr>
        <w:pStyle w:val="PargrafodaLista"/>
        <w:numPr>
          <w:ilvl w:val="0"/>
          <w:numId w:val="2"/>
        </w:numPr>
        <w:spacing w:after="70" w:line="264" w:lineRule="auto"/>
        <w:jc w:val="both"/>
      </w:pPr>
      <w:r>
        <w:rPr>
          <w:rFonts w:ascii="Calibri" w:eastAsia="Calibri" w:hAnsi="Calibri" w:cs="Calibri"/>
        </w:rPr>
        <w:t>citar fonte aberta para todo fato externo;</w:t>
      </w:r>
    </w:p>
    <w:p w14:paraId="3CB67BE6" w14:textId="77777777" w:rsidR="00BA4F1C" w:rsidRDefault="00000000">
      <w:pPr>
        <w:pStyle w:val="PargrafodaLista"/>
        <w:numPr>
          <w:ilvl w:val="0"/>
          <w:numId w:val="2"/>
        </w:numPr>
        <w:spacing w:after="70" w:line="264" w:lineRule="auto"/>
        <w:jc w:val="both"/>
      </w:pPr>
      <w:r>
        <w:rPr>
          <w:rFonts w:ascii="Calibri" w:eastAsia="Calibri" w:hAnsi="Calibri" w:cs="Calibri"/>
        </w:rPr>
        <w:t>separar fato, dado do caso, cálculo e hipótese.</w:t>
      </w:r>
    </w:p>
    <w:p w14:paraId="3FBBF501" w14:textId="77777777" w:rsidR="00BA4F1C" w:rsidRDefault="00000000">
      <w:pPr>
        <w:spacing w:after="110" w:line="276" w:lineRule="auto"/>
        <w:jc w:val="both"/>
      </w:pPr>
      <w:r>
        <w:rPr>
          <w:rFonts w:ascii="Calibri" w:eastAsia="Calibri" w:hAnsi="Calibri" w:cs="Calibri"/>
        </w:rPr>
        <w:t>Cada frente passou por um segundo agente verificador, instruído a tentar refutar cada achado reabrindo a fonte e refazendo as contas. Dos 85 achados, 52 foram confirmados, 32 corrigidos ("parcial") e 1 descartado. Os não confirmados ficaram fora do texto. Seguem os dois prompts de pesquisa mais usados e o prompt de verificação; os demais estão no registro completo da equipe.</w:t>
      </w:r>
    </w:p>
    <w:p w14:paraId="28B30806" w14:textId="77777777" w:rsidR="00BA4F1C" w:rsidRDefault="00000000">
      <w:pPr>
        <w:spacing w:after="110" w:line="276" w:lineRule="auto"/>
        <w:jc w:val="both"/>
      </w:pPr>
      <w:r>
        <w:rPr>
          <w:rFonts w:ascii="Calibri" w:eastAsia="Calibri" w:hAnsi="Calibri" w:cs="Calibri"/>
          <w:b/>
          <w:bCs/>
        </w:rPr>
        <w:t>Bloco de contexto comum (resumido):</w:t>
      </w:r>
      <w:r>
        <w:rPr>
          <w:rFonts w:ascii="Calibri" w:eastAsia="Calibri" w:hAnsi="Calibri" w:cs="Calibri"/>
        </w:rPr>
        <w:t xml:space="preserve"> papel de analista sênior de estratégia de IA em saúde, com experiência em due diligence de venture capital no Brasil; contexto da Lumis e do Vetor Capital; Quadros 3 a 6 na íntegra; as seis regras acima.</w:t>
      </w:r>
    </w:p>
    <w:p w14:paraId="77478DCA" w14:textId="77777777" w:rsidR="00BA4F1C" w:rsidRDefault="00000000">
      <w:pPr>
        <w:pStyle w:val="Ttulo2"/>
        <w:keepNext/>
        <w:spacing w:before="180" w:after="80"/>
      </w:pPr>
      <w:r>
        <w:rPr>
          <w:rFonts w:ascii="Calibri" w:eastAsia="Calibri" w:hAnsi="Calibri" w:cs="Calibri"/>
          <w:b/>
          <w:bCs/>
          <w:color w:val="1F3A5F"/>
          <w:sz w:val="21"/>
          <w:szCs w:val="21"/>
        </w:rPr>
        <w:t>Prompt 1: Concorrentes diretos, indiretos e potenciais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4F1C" w14:paraId="4A53C8CC" w14:textId="77777777">
        <w:tc>
          <w:tcPr>
            <w:tcW w:w="9638" w:type="dxa"/>
            <w:tcBorders>
              <w:top w:val="single" w:sz="4" w:space="0" w:color="B8C4D2"/>
              <w:left w:val="single" w:sz="4" w:space="0" w:color="B8C4D2"/>
              <w:bottom w:val="single" w:sz="4" w:space="0" w:color="B8C4D2"/>
              <w:right w:val="single" w:sz="4" w:space="0" w:color="B8C4D2"/>
            </w:tcBorders>
            <w:shd w:val="clear" w:color="auto" w:fill="F3F5F8"/>
            <w:tcMar>
              <w:top w:w="80" w:type="dxa"/>
              <w:left w:w="140" w:type="dxa"/>
              <w:bottom w:w="80" w:type="dxa"/>
              <w:right w:w="140" w:type="dxa"/>
            </w:tcMar>
          </w:tcPr>
          <w:p w14:paraId="0F1786C1" w14:textId="77777777" w:rsidR="00BA4F1C" w:rsidRDefault="00000000">
            <w:pPr>
              <w:spacing w:after="20"/>
            </w:pPr>
            <w:r>
              <w:rPr>
                <w:rFonts w:ascii="Consolas" w:eastAsia="Consolas" w:hAnsi="Consolas" w:cs="Consolas"/>
                <w:sz w:val="15"/>
                <w:szCs w:val="15"/>
              </w:rPr>
              <w:t>## Tarefa: concorrentes diretos, indiretos e potenciais (incluindo quem tem distribuição)</w:t>
            </w:r>
          </w:p>
          <w:p w14:paraId="14996412" w14:textId="77777777" w:rsidR="00BA4F1C" w:rsidRDefault="00000000">
            <w:pPr>
              <w:spacing w:after="20"/>
            </w:pPr>
            <w:r>
              <w:rPr>
                <w:rFonts w:ascii="Consolas" w:eastAsia="Consolas" w:hAnsi="Consolas" w:cs="Consolas"/>
                <w:sz w:val="15"/>
                <w:szCs w:val="15"/>
              </w:rPr>
              <w:t>Levante análogos REAIS no Brasil (e globais com presença no Brasil) para cada tipo de participante do Quadro 6, e acrescente tipos que o quadro não lista:</w:t>
            </w:r>
          </w:p>
          <w:p w14:paraId="5BA0C4BA" w14:textId="77777777" w:rsidR="00BA4F1C" w:rsidRDefault="00000000">
            <w:pPr>
              <w:spacing w:after="20"/>
            </w:pPr>
            <w:r>
              <w:rPr>
                <w:rFonts w:ascii="Consolas" w:eastAsia="Consolas" w:hAnsi="Consolas" w:cs="Consolas"/>
                <w:sz w:val="15"/>
                <w:szCs w:val="15"/>
              </w:rP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14:paraId="41A80AA2" w14:textId="77777777" w:rsidR="00BA4F1C" w:rsidRDefault="00000000">
            <w:pPr>
              <w:spacing w:after="20"/>
            </w:pPr>
            <w:r>
              <w:rPr>
                <w:rFonts w:ascii="Consolas" w:eastAsia="Consolas" w:hAnsi="Consolas" w:cs="Consolas"/>
                <w:sz w:val="15"/>
                <w:szCs w:val="15"/>
              </w:rPr>
              <w:t>- healthtechs brasileiras de IA clínica, triagem ou risco (confirme a existência e o produto de cada uma; não liste nomes sem fonte);</w:t>
            </w:r>
          </w:p>
          <w:p w14:paraId="66ACB461" w14:textId="77777777" w:rsidR="00BA4F1C" w:rsidRDefault="00000000">
            <w:pPr>
              <w:spacing w:after="20"/>
            </w:pPr>
            <w:r>
              <w:rPr>
                <w:rFonts w:ascii="Consolas" w:eastAsia="Consolas" w:hAnsi="Consolas" w:cs="Consolas"/>
                <w:sz w:val="15"/>
                <w:szCs w:val="15"/>
              </w:rPr>
              <w:t>- BI e analytics hospitalar; consultorias e integradores que fazem IA sob medida em saúde;</w:t>
            </w:r>
          </w:p>
          <w:p w14:paraId="0A90CAAD" w14:textId="77777777" w:rsidR="00BA4F1C" w:rsidRDefault="00000000">
            <w:pPr>
              <w:spacing w:after="20"/>
            </w:pPr>
            <w:r>
              <w:rPr>
                <w:rFonts w:ascii="Consolas" w:eastAsia="Consolas" w:hAnsi="Consolas" w:cs="Consolas"/>
                <w:sz w:val="15"/>
                <w:szCs w:val="15"/>
              </w:rPr>
              <w:t>- big techs e provedores de modelo com produtos de saúde (ex.: verificar ofertas de Microsoft, Google, Amazon, OpenAI, Anthropic voltadas à saúde, com data de lançamento);</w:t>
            </w:r>
          </w:p>
          <w:p w14:paraId="6FBC15BA" w14:textId="77777777" w:rsidR="00BA4F1C" w:rsidRDefault="00000000">
            <w:pPr>
              <w:spacing w:after="20"/>
            </w:pPr>
            <w:r>
              <w:rPr>
                <w:rFonts w:ascii="Consolas" w:eastAsia="Consolas" w:hAnsi="Consolas" w:cs="Consolas"/>
                <w:sz w:val="15"/>
                <w:szCs w:val="15"/>
              </w:rPr>
              <w:t>- concorrentes nos outros dois segmentos da Lumis (seguradoras: classificação de sinistros; bancos: risco de crédito), pois 14 das 38 contas estão fora da saúde (Quadro 3).</w:t>
            </w:r>
          </w:p>
          <w:p w14:paraId="1D9A7A55" w14:textId="77777777" w:rsidR="00BA4F1C" w:rsidRDefault="00000000">
            <w:pPr>
              <w:spacing w:after="20"/>
            </w:pPr>
            <w:r>
              <w:rPr>
                <w:rFonts w:ascii="Consolas" w:eastAsia="Consolas" w:hAnsi="Consolas" w:cs="Consolas"/>
                <w:sz w:val="15"/>
                <w:szCs w:val="15"/>
              </w:rP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14:paraId="0B4B239D" w14:textId="77777777" w:rsidR="00BA4F1C" w:rsidRDefault="00BA4F1C">
      <w:pPr>
        <w:spacing w:after="60"/>
      </w:pPr>
    </w:p>
    <w:p w14:paraId="5CA1E7EB" w14:textId="77777777" w:rsidR="00BA4F1C" w:rsidRDefault="00000000">
      <w:pPr>
        <w:spacing w:after="110" w:line="276" w:lineRule="auto"/>
        <w:jc w:val="both"/>
      </w:pPr>
      <w:r>
        <w:rPr>
          <w:rFonts w:ascii="Calibri" w:eastAsia="Calibri" w:hAnsi="Calibri" w:cs="Calibri"/>
          <w:b/>
        </w:rPr>
        <w:t>Resultado obtido:</w:t>
      </w:r>
      <w:r>
        <w:rPr>
          <w:rFonts w:ascii="Calibri" w:eastAsia="Calibri" w:hAnsi="Calibri" w:cs="Calibri"/>
        </w:rP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14:paraId="4A4B10D1" w14:textId="77777777" w:rsidR="00BA4F1C" w:rsidRDefault="00000000">
      <w:pPr>
        <w:spacing w:after="110" w:line="276" w:lineRule="auto"/>
        <w:jc w:val="both"/>
      </w:pPr>
      <w:r>
        <w:rPr>
          <w:rFonts w:ascii="Calibri" w:eastAsia="Calibri" w:hAnsi="Calibri" w:cs="Calibri"/>
          <w:b/>
        </w:rPr>
        <w:t>Verificação:</w:t>
      </w:r>
      <w:r>
        <w:rPr>
          <w:rFonts w:ascii="Calibri" w:eastAsia="Calibri" w:hAnsi="Calibri" w:cs="Calibri"/>
        </w:rP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2 a 7 das referências foram reabertas em 05/10/2026, e os números citados foram confirmados.</w:t>
      </w:r>
    </w:p>
    <w:p w14:paraId="3CD0F1BA" w14:textId="77777777" w:rsidR="00BA4F1C" w:rsidRDefault="00000000">
      <w:pPr>
        <w:pStyle w:val="Ttulo2"/>
        <w:keepNext/>
        <w:spacing w:before="180" w:after="80"/>
      </w:pPr>
      <w:r>
        <w:rPr>
          <w:rFonts w:ascii="Calibri" w:eastAsia="Calibri" w:hAnsi="Calibri" w:cs="Calibri"/>
          <w:b/>
          <w:bCs/>
          <w:color w:val="1F3A5F"/>
          <w:sz w:val="21"/>
          <w:szCs w:val="21"/>
        </w:rPr>
        <w:t>Prompt 2: Dependências críticas de fornecedores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4F1C" w14:paraId="790A5B6A" w14:textId="77777777">
        <w:tc>
          <w:tcPr>
            <w:tcW w:w="9638" w:type="dxa"/>
            <w:tcBorders>
              <w:top w:val="single" w:sz="4" w:space="0" w:color="B8C4D2"/>
              <w:left w:val="single" w:sz="4" w:space="0" w:color="B8C4D2"/>
              <w:bottom w:val="single" w:sz="4" w:space="0" w:color="B8C4D2"/>
              <w:right w:val="single" w:sz="4" w:space="0" w:color="B8C4D2"/>
            </w:tcBorders>
            <w:shd w:val="clear" w:color="auto" w:fill="F3F5F8"/>
            <w:tcMar>
              <w:top w:w="80" w:type="dxa"/>
              <w:left w:w="140" w:type="dxa"/>
              <w:bottom w:w="80" w:type="dxa"/>
              <w:right w:w="140" w:type="dxa"/>
            </w:tcMar>
          </w:tcPr>
          <w:p w14:paraId="36D63135" w14:textId="77777777" w:rsidR="00BA4F1C" w:rsidRDefault="00000000">
            <w:pPr>
              <w:spacing w:after="20"/>
            </w:pPr>
            <w:r>
              <w:rPr>
                <w:rFonts w:ascii="Consolas" w:eastAsia="Consolas" w:hAnsi="Consolas" w:cs="Consolas"/>
                <w:sz w:val="15"/>
                <w:szCs w:val="15"/>
              </w:rPr>
              <w:t>## Tarefa: dependências críticas e o que acontece se cada fornecedor mudar preço, termos ou escopo</w:t>
            </w:r>
          </w:p>
          <w:p w14:paraId="522A806A" w14:textId="77777777" w:rsidR="00BA4F1C" w:rsidRDefault="00000000">
            <w:pPr>
              <w:spacing w:after="20"/>
            </w:pPr>
            <w:r>
              <w:rPr>
                <w:rFonts w:ascii="Consolas" w:eastAsia="Consolas" w:hAnsi="Consolas" w:cs="Consolas"/>
                <w:sz w:val="15"/>
                <w:szCs w:val="15"/>
              </w:rPr>
              <w:t>Os quatro fornecedores estruturais estão no Quadro 5 (modelo fundacional único, nuvem global, consórcio de bases clínicas, 38 contratos de dados de clientes). Para cada um, levante PRECEDENTES REAIS que mostram que o risco é concreto:</w:t>
            </w:r>
          </w:p>
          <w:p w14:paraId="438D4B42" w14:textId="77777777" w:rsidR="00BA4F1C" w:rsidRDefault="00000000">
            <w:pPr>
              <w:spacing w:after="20"/>
            </w:pPr>
            <w:r>
              <w:rPr>
                <w:rFonts w:ascii="Consolas" w:eastAsia="Consolas" w:hAnsi="Consolas" w:cs="Consolas"/>
                <w:sz w:val="15"/>
                <w:szCs w:val="15"/>
              </w:rPr>
              <w:t>- modelos fundacionais: casos documentados de mudança de preço, descontinuação/depreciação de modelos com prazo curto, mudanças de termos de uso ou de política de dados, e provedores lançando produto próprio para saúde (data e fonte);</w:t>
            </w:r>
          </w:p>
          <w:p w14:paraId="1E8CFA45" w14:textId="77777777" w:rsidR="00BA4F1C" w:rsidRDefault="00000000">
            <w:pPr>
              <w:spacing w:after="20"/>
            </w:pPr>
            <w:r>
              <w:rPr>
                <w:rFonts w:ascii="Consolas" w:eastAsia="Consolas" w:hAnsi="Consolas" w:cs="Consolas"/>
                <w:sz w:val="15"/>
                <w:szCs w:val="15"/>
              </w:rPr>
              <w:lastRenderedPageBreak/>
              <w:t>- nuvem: custos e prazos típicos de migração, taxas de saída de dados (egress) e mudanças regulatórias recentes sobre elas (ex.: EU Data Act), lock-in, regiões de dados no Brasil;</w:t>
            </w:r>
          </w:p>
          <w:p w14:paraId="2169F3FF" w14:textId="77777777" w:rsidR="00BA4F1C" w:rsidRDefault="00000000">
            <w:pPr>
              <w:spacing w:after="20"/>
            </w:pPr>
            <w:r>
              <w:rPr>
                <w:rFonts w:ascii="Consolas" w:eastAsia="Consolas" w:hAnsi="Consolas" w:cs="Consolas"/>
                <w:sz w:val="15"/>
                <w:szCs w:val="15"/>
              </w:rPr>
              <w:t>- bases clínicas de referência licenciadas: como funcionam o licenciamento e os reajustes no setor (se não achar fonte, diga);</w:t>
            </w:r>
          </w:p>
          <w:p w14:paraId="78C249B0" w14:textId="77777777" w:rsidR="00BA4F1C" w:rsidRDefault="00000000">
            <w:pPr>
              <w:spacing w:after="20"/>
            </w:pPr>
            <w:r>
              <w:rPr>
                <w:rFonts w:ascii="Consolas" w:eastAsia="Consolas" w:hAnsi="Consolas" w:cs="Consolas"/>
                <w:sz w:val="15"/>
                <w:szCs w:val="15"/>
              </w:rPr>
              <w:t>- dados de clientes: o que a LGPD (dado de saúde é sensível, art. 11) e a ANPD dizem sobre reutilizar dados de clientes para treinar modelos; precedentes de disputa contratual ou regulatória sobre uso de dados de saúde para IA;</w:t>
            </w:r>
          </w:p>
          <w:p w14:paraId="5091CCCA" w14:textId="77777777" w:rsidR="00BA4F1C" w:rsidRDefault="00000000">
            <w:pPr>
              <w:spacing w:after="20"/>
            </w:pPr>
            <w:r>
              <w:rPr>
                <w:rFonts w:ascii="Consolas" w:eastAsia="Consolas" w:hAnsi="Consolas" w:cs="Consolas"/>
                <w:sz w:val="15"/>
                <w:szCs w:val="15"/>
              </w:rPr>
              <w:t>- câmbio: volatilidade do real frente ao dólar nos últimos 3–5 anos (máximas e mínimas, com fonte, ex.: Banco Central), já que 72,2% do custo é em dólar.</w:t>
            </w:r>
          </w:p>
          <w:p w14:paraId="046A31EF" w14:textId="77777777" w:rsidR="00BA4F1C" w:rsidRDefault="00000000">
            <w:pPr>
              <w:spacing w:after="20"/>
            </w:pPr>
            <w:r>
              <w:rPr>
                <w:rFonts w:ascii="Consolas" w:eastAsia="Consolas" w:hAnsi="Consolas" w:cs="Consolas"/>
                <w:sz w:val="15"/>
                <w:szCs w:val="15"/>
              </w:rP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14:paraId="1D61D730" w14:textId="77777777" w:rsidR="00BA4F1C" w:rsidRDefault="00BA4F1C">
      <w:pPr>
        <w:spacing w:after="60"/>
      </w:pPr>
    </w:p>
    <w:p w14:paraId="4D8912A5" w14:textId="77777777" w:rsidR="00BA4F1C" w:rsidRDefault="00000000">
      <w:pPr>
        <w:spacing w:after="110" w:line="276" w:lineRule="auto"/>
        <w:jc w:val="both"/>
      </w:pPr>
      <w:r>
        <w:rPr>
          <w:rFonts w:ascii="Calibri" w:eastAsia="Calibri" w:hAnsi="Calibri" w:cs="Calibri"/>
          <w:b/>
        </w:rPr>
        <w:t>Resultado obtido:</w:t>
      </w:r>
      <w:r>
        <w:rPr>
          <w:rFonts w:ascii="Calibri" w:eastAsia="Calibri" w:hAnsi="Calibri" w:cs="Calibri"/>
        </w:rP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14:paraId="1E9D255A" w14:textId="77777777" w:rsidR="00BA4F1C" w:rsidRDefault="00000000">
      <w:pPr>
        <w:spacing w:after="110" w:line="276" w:lineRule="auto"/>
        <w:jc w:val="both"/>
      </w:pPr>
      <w:r>
        <w:rPr>
          <w:rFonts w:ascii="Calibri" w:eastAsia="Calibri" w:hAnsi="Calibri" w:cs="Calibri"/>
          <w:b/>
        </w:rPr>
        <w:t>Verificação:</w:t>
      </w:r>
      <w:r>
        <w:rPr>
          <w:rFonts w:ascii="Calibri" w:eastAsia="Calibri" w:hAnsi="Calibri" w:cs="Calibri"/>
        </w:rP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14:paraId="0DAEA645" w14:textId="77777777" w:rsidR="00BA4F1C" w:rsidRDefault="00000000">
      <w:pPr>
        <w:pStyle w:val="Ttulo2"/>
        <w:keepNext/>
        <w:spacing w:before="180" w:after="80"/>
      </w:pPr>
      <w:r>
        <w:rPr>
          <w:rFonts w:ascii="Calibri" w:eastAsia="Calibri" w:hAnsi="Calibri" w:cs="Calibri"/>
          <w:b/>
          <w:bCs/>
          <w:color w:val="1F3A5F"/>
          <w:sz w:val="21"/>
          <w:szCs w:val="21"/>
        </w:rPr>
        <w:t>Prompt 3: Verificação adversarial (usado em todas as frentes)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4F1C" w14:paraId="1B93EBF6" w14:textId="77777777">
        <w:tc>
          <w:tcPr>
            <w:tcW w:w="9638" w:type="dxa"/>
            <w:tcBorders>
              <w:top w:val="single" w:sz="4" w:space="0" w:color="B8C4D2"/>
              <w:left w:val="single" w:sz="4" w:space="0" w:color="B8C4D2"/>
              <w:bottom w:val="single" w:sz="4" w:space="0" w:color="B8C4D2"/>
              <w:right w:val="single" w:sz="4" w:space="0" w:color="B8C4D2"/>
            </w:tcBorders>
            <w:shd w:val="clear" w:color="auto" w:fill="F3F5F8"/>
            <w:tcMar>
              <w:top w:w="80" w:type="dxa"/>
              <w:left w:w="140" w:type="dxa"/>
              <w:bottom w:w="80" w:type="dxa"/>
              <w:right w:w="140" w:type="dxa"/>
            </w:tcMar>
          </w:tcPr>
          <w:p w14:paraId="002D5DDE" w14:textId="77777777" w:rsidR="00BA4F1C" w:rsidRDefault="00000000">
            <w:pPr>
              <w:spacing w:after="20"/>
            </w:pPr>
            <w:r>
              <w:rPr>
                <w:rFonts w:ascii="Consolas" w:eastAsia="Consolas" w:hAnsi="Consolas" w:cs="Consolas"/>
                <w:sz w:val="15"/>
                <w:szCs w:val="15"/>
              </w:rPr>
              <w:t>Você é verificador independente e cético de uma due diligence. Sua função é REFUTAR, não confirmar. Na dúvida, marque "nao_confirmado".</w:t>
            </w:r>
          </w:p>
          <w:p w14:paraId="6776B4FC" w14:textId="77777777" w:rsidR="00BA4F1C" w:rsidRDefault="00000000">
            <w:pPr>
              <w:spacing w:after="20"/>
            </w:pPr>
            <w:r>
              <w:rPr>
                <w:rFonts w:ascii="Consolas" w:eastAsia="Consolas" w:hAnsi="Consolas" w:cs="Consolas"/>
                <w:sz w:val="15"/>
                <w:szCs w:val="15"/>
              </w:rPr>
              <w:t>[bloco de contexto comum]</w:t>
            </w:r>
          </w:p>
          <w:p w14:paraId="500A0F40" w14:textId="77777777" w:rsidR="00BA4F1C" w:rsidRDefault="00000000">
            <w:pPr>
              <w:spacing w:after="20"/>
            </w:pPr>
            <w:r>
              <w:rPr>
                <w:rFonts w:ascii="Consolas" w:eastAsia="Consolas" w:hAnsi="Consolas" w:cs="Consolas"/>
                <w:sz w:val="15"/>
                <w:szCs w:val="15"/>
              </w:rPr>
              <w:t>## Achados a verificar: &lt;lista de achados da frente&gt;</w:t>
            </w:r>
          </w:p>
          <w:p w14:paraId="2CF7DB19" w14:textId="77777777" w:rsidR="00BA4F1C" w:rsidRDefault="00000000">
            <w:pPr>
              <w:spacing w:after="20"/>
            </w:pPr>
            <w:r>
              <w:rPr>
                <w:rFonts w:ascii="Consolas" w:eastAsia="Consolas" w:hAnsi="Consolas" w:cs="Consolas"/>
                <w:sz w:val="15"/>
                <w:szCs w:val="15"/>
              </w:rPr>
              <w:t>## Como verificar</w:t>
            </w:r>
          </w:p>
          <w:p w14:paraId="3B9D278C" w14:textId="77777777" w:rsidR="00BA4F1C" w:rsidRDefault="00000000">
            <w:pPr>
              <w:spacing w:after="20"/>
            </w:pPr>
            <w:r>
              <w:rPr>
                <w:rFonts w:ascii="Consolas" w:eastAsia="Consolas" w:hAnsi="Consolas" w:cs="Consolas"/>
                <w:sz w:val="15"/>
                <w:szCs w:val="15"/>
              </w:rPr>
              <w:t>- fato_externo: abra a URL e confirme se a fonte diz exatamente o que a afirmação diz (número, data, autoria). Se a URL falhar, procure a mesma informação em outra fonte primária. Afirmação mais forte que a fonte = "parcial", com correção.</w:t>
            </w:r>
          </w:p>
          <w:p w14:paraId="1702FB0E" w14:textId="77777777" w:rsidR="00BA4F1C" w:rsidRDefault="00000000">
            <w:pPr>
              <w:spacing w:after="20"/>
            </w:pPr>
            <w:r>
              <w:rPr>
                <w:rFonts w:ascii="Consolas" w:eastAsia="Consolas" w:hAnsi="Consolas" w:cs="Consolas"/>
                <w:sz w:val="15"/>
                <w:szCs w:val="15"/>
              </w:rPr>
              <w:t>- dado_anexo: confira contra os quadros, palavra por palavra.</w:t>
            </w:r>
          </w:p>
          <w:p w14:paraId="68660FB7" w14:textId="77777777" w:rsidR="00BA4F1C" w:rsidRDefault="00000000">
            <w:pPr>
              <w:spacing w:after="20"/>
            </w:pPr>
            <w:r>
              <w:rPr>
                <w:rFonts w:ascii="Consolas" w:eastAsia="Consolas" w:hAnsi="Consolas" w:cs="Consolas"/>
                <w:sz w:val="15"/>
                <w:szCs w:val="15"/>
              </w:rPr>
              <w:t>- calculo: refaça a conta. Qualquer divergência = "refutado", com o valor correto.</w:t>
            </w:r>
          </w:p>
          <w:p w14:paraId="2E75D232" w14:textId="77777777" w:rsidR="00BA4F1C" w:rsidRDefault="00000000">
            <w:pPr>
              <w:spacing w:after="20"/>
            </w:pPr>
            <w:r>
              <w:rPr>
                <w:rFonts w:ascii="Consolas" w:eastAsia="Consolas" w:hAnsi="Consolas" w:cs="Consolas"/>
                <w:sz w:val="15"/>
                <w:szCs w:val="15"/>
              </w:rPr>
              <w:t>- hipotese: avalie se está marcada como hipótese e se é razoável.</w:t>
            </w:r>
          </w:p>
          <w:p w14:paraId="790DA586" w14:textId="77777777" w:rsidR="00BA4F1C" w:rsidRDefault="00000000">
            <w:pPr>
              <w:spacing w:after="20"/>
            </w:pPr>
            <w:r>
              <w:rPr>
                <w:rFonts w:ascii="Consolas" w:eastAsia="Consolas" w:hAnsi="Consolas" w:cs="Consolas"/>
                <w:sz w:val="15"/>
                <w:szCs w:val="15"/>
              </w:rPr>
              <w:t>Verifique TODOS os IDs.</w:t>
            </w:r>
          </w:p>
        </w:tc>
      </w:tr>
    </w:tbl>
    <w:p w14:paraId="14CFED99" w14:textId="77777777" w:rsidR="00BA4F1C" w:rsidRDefault="00BA4F1C">
      <w:pPr>
        <w:spacing w:after="60"/>
      </w:pPr>
    </w:p>
    <w:p w14:paraId="07DAC706" w14:textId="77777777" w:rsidR="00BA4F1C" w:rsidRDefault="00000000">
      <w:pPr>
        <w:spacing w:after="110" w:line="276" w:lineRule="auto"/>
        <w:jc w:val="both"/>
      </w:pPr>
      <w:r>
        <w:rPr>
          <w:rFonts w:ascii="Calibri" w:eastAsia="Calibri" w:hAnsi="Calibri" w:cs="Calibri"/>
          <w:b/>
        </w:rPr>
        <w:t>O que a verificação mudou:</w:t>
      </w:r>
      <w:r>
        <w:rPr>
          <w:rFonts w:ascii="Calibri" w:eastAsia="Calibri" w:hAnsi="Calibri" w:cs="Calibri"/>
        </w:rPr>
        <w:t xml:space="preserve"> corrigiu, entre outros, uma data de lançamento antecipada indevidamente (um produto previsto para 2027), uma comparação de "quase 10 vezes" que na verdade era de 8,3 vezes, um percentual de mercado aplicado ao total quando valia só para IA generativa e uma data de fim de caixa calculada errado. Sem a verificação, quatro erros factuais teriam entrado no texto.</w:t>
      </w:r>
    </w:p>
    <w:sectPr w:rsidR="00BA4F1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56F7" w14:textId="77777777" w:rsidR="007916AB" w:rsidRDefault="007916AB">
      <w:r>
        <w:separator/>
      </w:r>
    </w:p>
  </w:endnote>
  <w:endnote w:type="continuationSeparator" w:id="0">
    <w:p w14:paraId="2C13393C" w14:textId="77777777" w:rsidR="007916AB" w:rsidRDefault="00791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49DF" w14:textId="77777777" w:rsidR="00BA4F1C" w:rsidRDefault="00000000">
    <w:pPr>
      <w:jc w:val="center"/>
    </w:pPr>
    <w:r>
      <w:rPr>
        <w:rFonts w:ascii="Calibri" w:eastAsia="Calibri" w:hAnsi="Calibri" w:cs="Calibri"/>
        <w:color w:val="6B7A8C"/>
        <w:sz w:val="16"/>
        <w:szCs w:val="16"/>
      </w:rPr>
      <w:fldChar w:fldCharType="begin"/>
    </w:r>
    <w:r>
      <w:rPr>
        <w:rFonts w:ascii="Calibri" w:eastAsia="Calibri" w:hAnsi="Calibri" w:cs="Calibri"/>
        <w:color w:val="6B7A8C"/>
        <w:sz w:val="16"/>
        <w:szCs w:val="16"/>
      </w:rPr>
      <w:instrText>PAGE</w:instrText>
    </w:r>
    <w:r>
      <w:rPr>
        <w:rFonts w:ascii="Calibri" w:eastAsia="Calibri" w:hAnsi="Calibri" w:cs="Calibri"/>
        <w:color w:val="6B7A8C"/>
        <w:sz w:val="16"/>
        <w:szCs w:val="16"/>
      </w:rPr>
      <w:fldChar w:fldCharType="separate"/>
    </w:r>
    <w:r w:rsidR="006111E5">
      <w:rPr>
        <w:rFonts w:ascii="Calibri" w:eastAsia="Calibri" w:hAnsi="Calibri" w:cs="Calibri"/>
        <w:noProof/>
        <w:color w:val="6B7A8C"/>
        <w:sz w:val="16"/>
        <w:szCs w:val="16"/>
      </w:rPr>
      <w:t>1</w:t>
    </w:r>
    <w:r>
      <w:rPr>
        <w:rFonts w:ascii="Calibri" w:eastAsia="Calibri" w:hAnsi="Calibri" w:cs="Calibri"/>
        <w:color w:val="6B7A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52FC" w14:textId="77777777" w:rsidR="007916AB" w:rsidRDefault="007916AB">
      <w:r>
        <w:separator/>
      </w:r>
    </w:p>
  </w:footnote>
  <w:footnote w:type="continuationSeparator" w:id="0">
    <w:p w14:paraId="1A145506" w14:textId="77777777" w:rsidR="007916AB" w:rsidRDefault="00791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C1F0" w14:textId="77777777" w:rsidR="00BA4F1C" w:rsidRDefault="00000000">
    <w:pPr>
      <w:jc w:val="right"/>
    </w:pPr>
    <w:r>
      <w:rPr>
        <w:rFonts w:ascii="Calibri" w:eastAsia="Calibri" w:hAnsi="Calibri" w:cs="Calibri"/>
        <w:color w:val="6B7A8C"/>
        <w:sz w:val="16"/>
        <w:szCs w:val="16"/>
      </w:rPr>
      <w:t>Lumis Intelligence · Fase 2 | Entrega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D52"/>
    <w:multiLevelType w:val="hybridMultilevel"/>
    <w:tmpl w:val="D2F477DC"/>
    <w:lvl w:ilvl="0" w:tplc="BC9891DE" w:tentative="1">
      <w:start w:val="1"/>
      <w:numFmt w:val="bullet"/>
      <w:lvlText w:val="●"/>
      <w:lvlJc w:val="left"/>
      <w:pPr>
        <w:ind w:left="720" w:hanging="360"/>
      </w:pPr>
    </w:lvl>
    <w:lvl w:ilvl="1" w:tplc="61F8F07A" w:tentative="1">
      <w:start w:val="1"/>
      <w:numFmt w:val="bullet"/>
      <w:lvlText w:val="○"/>
      <w:lvlJc w:val="left"/>
      <w:pPr>
        <w:ind w:left="1440" w:hanging="360"/>
      </w:pPr>
    </w:lvl>
    <w:lvl w:ilvl="2" w:tplc="0484A710" w:tentative="1">
      <w:start w:val="1"/>
      <w:numFmt w:val="bullet"/>
      <w:lvlText w:val="■"/>
      <w:lvlJc w:val="left"/>
      <w:pPr>
        <w:ind w:left="2160" w:hanging="360"/>
      </w:pPr>
    </w:lvl>
    <w:lvl w:ilvl="3" w:tplc="A3243E58" w:tentative="1">
      <w:start w:val="1"/>
      <w:numFmt w:val="bullet"/>
      <w:lvlText w:val="●"/>
      <w:lvlJc w:val="left"/>
      <w:pPr>
        <w:ind w:left="2880" w:hanging="360"/>
      </w:pPr>
    </w:lvl>
    <w:lvl w:ilvl="4" w:tplc="00C4D7D2" w:tentative="1">
      <w:start w:val="1"/>
      <w:numFmt w:val="bullet"/>
      <w:lvlText w:val="○"/>
      <w:lvlJc w:val="left"/>
      <w:pPr>
        <w:ind w:left="3600" w:hanging="360"/>
      </w:pPr>
    </w:lvl>
    <w:lvl w:ilvl="5" w:tplc="25D481EC" w:tentative="1">
      <w:start w:val="1"/>
      <w:numFmt w:val="bullet"/>
      <w:lvlText w:val="■"/>
      <w:lvlJc w:val="left"/>
      <w:pPr>
        <w:ind w:left="4320" w:hanging="360"/>
      </w:pPr>
    </w:lvl>
    <w:lvl w:ilvl="6" w:tplc="CD0E5126" w:tentative="1">
      <w:start w:val="1"/>
      <w:numFmt w:val="bullet"/>
      <w:lvlText w:val="●"/>
      <w:lvlJc w:val="left"/>
      <w:pPr>
        <w:ind w:left="5040" w:hanging="360"/>
      </w:pPr>
    </w:lvl>
    <w:lvl w:ilvl="7" w:tplc="A23E9044" w:tentative="1">
      <w:start w:val="1"/>
      <w:numFmt w:val="bullet"/>
      <w:lvlText w:val="●"/>
      <w:lvlJc w:val="left"/>
      <w:pPr>
        <w:ind w:left="5760" w:hanging="360"/>
      </w:pPr>
    </w:lvl>
    <w:lvl w:ilvl="8" w:tplc="E8EEB2C0" w:tentative="1">
      <w:start w:val="1"/>
      <w:numFmt w:val="bullet"/>
      <w:lvlText w:val="●"/>
      <w:lvlJc w:val="left"/>
      <w:pPr>
        <w:ind w:left="6480" w:hanging="360"/>
      </w:pPr>
    </w:lvl>
  </w:abstractNum>
  <w:abstractNum w:abstractNumId="1" w15:restartNumberingAfterBreak="0">
    <w:nsid w:val="676276A7"/>
    <w:multiLevelType w:val="hybridMultilevel"/>
    <w:tmpl w:val="74903E46"/>
    <w:lvl w:ilvl="0" w:tplc="5BA8BC9E">
      <w:start w:val="1"/>
      <w:numFmt w:val="bullet"/>
      <w:lvlText w:val="•"/>
      <w:lvlJc w:val="left"/>
      <w:pPr>
        <w:ind w:left="360" w:hanging="240"/>
      </w:pPr>
    </w:lvl>
    <w:lvl w:ilvl="1" w:tplc="AF34E86E">
      <w:numFmt w:val="decimal"/>
      <w:lvlText w:val=""/>
      <w:lvlJc w:val="left"/>
    </w:lvl>
    <w:lvl w:ilvl="2" w:tplc="5792E7FC">
      <w:numFmt w:val="decimal"/>
      <w:lvlText w:val=""/>
      <w:lvlJc w:val="left"/>
    </w:lvl>
    <w:lvl w:ilvl="3" w:tplc="4B56B7B4">
      <w:numFmt w:val="decimal"/>
      <w:lvlText w:val=""/>
      <w:lvlJc w:val="left"/>
    </w:lvl>
    <w:lvl w:ilvl="4" w:tplc="FFB42E54">
      <w:numFmt w:val="decimal"/>
      <w:lvlText w:val=""/>
      <w:lvlJc w:val="left"/>
    </w:lvl>
    <w:lvl w:ilvl="5" w:tplc="BB762168">
      <w:numFmt w:val="decimal"/>
      <w:lvlText w:val=""/>
      <w:lvlJc w:val="left"/>
    </w:lvl>
    <w:lvl w:ilvl="6" w:tplc="04A443AA">
      <w:numFmt w:val="decimal"/>
      <w:lvlText w:val=""/>
      <w:lvlJc w:val="left"/>
    </w:lvl>
    <w:lvl w:ilvl="7" w:tplc="20F24356">
      <w:numFmt w:val="decimal"/>
      <w:lvlText w:val=""/>
      <w:lvlJc w:val="left"/>
    </w:lvl>
    <w:lvl w:ilvl="8" w:tplc="90EE8438">
      <w:numFmt w:val="decimal"/>
      <w:lvlText w:val=""/>
      <w:lvlJc w:val="left"/>
    </w:lvl>
  </w:abstractNum>
  <w:num w:numId="1" w16cid:durableId="2137286346">
    <w:abstractNumId w:val="0"/>
    <w:lvlOverride w:ilvl="0">
      <w:startOverride w:val="1"/>
    </w:lvlOverride>
  </w:num>
  <w:num w:numId="2" w16cid:durableId="1323050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F1C"/>
    <w:rsid w:val="00010C2A"/>
    <w:rsid w:val="001D7500"/>
    <w:rsid w:val="0044005F"/>
    <w:rsid w:val="006111E5"/>
    <w:rsid w:val="007916AB"/>
    <w:rsid w:val="00BA4F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88AE"/>
  <w15:docId w15:val="{90F0A02E-EE4E-4159-A778-2C1E17D0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3583</Words>
  <Characters>19350</Characters>
  <Application>Microsoft Office Word</Application>
  <DocSecurity>0</DocSecurity>
  <Lines>161</Lines>
  <Paragraphs>45</Paragraphs>
  <ScaleCrop>false</ScaleCrop>
  <Company/>
  <LinksUpToDate>false</LinksUpToDate>
  <CharactersWithSpaces>22888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Entrega 1 – Mapa do Território (v2)</dc:title>
  <dc:creator>Equipe Lumis</dc:creator>
  <cp:lastModifiedBy>Gustavo Halfen Simon</cp:lastModifiedBy>
  <cp:revision>3</cp:revision>
  <dcterms:created xsi:type="dcterms:W3CDTF">2026-10-05T16:22:00Z</dcterms:created>
  <dcterms:modified xsi:type="dcterms:W3CDTF">2026-10-05T16:42:00Z</dcterms:modified>
</cp:coreProperties>
</file>