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BBB8" w14:textId="77777777" w:rsidR="000B48B4" w:rsidRPr="000B48B4" w:rsidRDefault="000B48B4" w:rsidP="000B48B4">
      <w:pPr>
        <w:pStyle w:val="Ttulo"/>
        <w:rPr>
          <w:lang w:val="pt-BR"/>
        </w:rPr>
      </w:pPr>
      <w:r w:rsidRPr="000B48B4">
        <w:rPr>
          <w:lang w:val="pt-BR"/>
        </w:rPr>
        <w:t>Mapa do Território</w:t>
      </w:r>
    </w:p>
    <w:p w14:paraId="4F934547" w14:textId="77777777" w:rsidR="00BF58EC" w:rsidRPr="000B48B4" w:rsidRDefault="000B48B4" w:rsidP="000B48B4">
      <w:pPr>
        <w:pStyle w:val="Subttulo"/>
        <w:rPr>
          <w:lang w:val="pt-BR"/>
        </w:rPr>
      </w:pPr>
      <w:r w:rsidRPr="000B48B4">
        <w:rPr>
          <w:lang w:val="pt-BR"/>
        </w:rPr>
        <w:t>Relatório ao Conselho: o que a Lumis controla, quem pode tomar seu espaço e o que é difícil de copia</w:t>
      </w:r>
      <w:r>
        <w:rPr>
          <w:lang w:val="pt-BR"/>
        </w:rPr>
        <w:t>r</w:t>
      </w:r>
    </w:p>
    <w:p w14:paraId="5FD5A0EA" w14:textId="77777777" w:rsidR="00086059" w:rsidRPr="00962BC3" w:rsidRDefault="00000000">
      <w:pPr>
        <w:pStyle w:val="LumisDestaque"/>
        <w:rPr>
          <w:lang w:val="pt-BR"/>
        </w:rPr>
      </w:pPr>
      <w:r w:rsidRPr="00962BC3">
        <w:rPr>
          <w:lang w:val="pt-BR"/>
        </w:rPr>
        <w:t>O que faz o Lumis Insight funcionar é alugado, e o único ativo que poderia ser da Lumis, a base de dados, ainda não é dela. Por isso, a tese de crescimento precisa partir do que ainda vai ser construído.</w:t>
      </w:r>
    </w:p>
    <w:p w14:paraId="218B0EF8" w14:textId="77777777" w:rsidR="00086059" w:rsidRPr="00962BC3" w:rsidRDefault="00000000">
      <w:pPr>
        <w:pStyle w:val="Commarcadores"/>
        <w:rPr>
          <w:lang w:val="pt-BR"/>
        </w:rPr>
      </w:pPr>
      <w:r w:rsidRPr="00962BC3">
        <w:rPr>
          <w:b/>
          <w:lang w:val="pt-BR"/>
        </w:rPr>
        <w:t>Custo:</w:t>
      </w:r>
      <w:r w:rsidRPr="00962BC3">
        <w:rPr>
          <w:lang w:val="pt-BR"/>
        </w:rPr>
        <w:t xml:space="preserve"> nuvem e modelo fundacional somam 72,2% do custo direto, em dólar, e a Lumis não tem alternativa pronta a nenhum dos dois.</w:t>
      </w:r>
    </w:p>
    <w:p w14:paraId="6ECA1163" w14:textId="77777777" w:rsidR="00086059" w:rsidRPr="00962BC3" w:rsidRDefault="00000000">
      <w:pPr>
        <w:pStyle w:val="Commarcadores"/>
        <w:rPr>
          <w:lang w:val="pt-BR"/>
        </w:rPr>
      </w:pPr>
      <w:r w:rsidRPr="00962BC3">
        <w:rPr>
          <w:b/>
          <w:lang w:val="pt-BR"/>
        </w:rPr>
        <w:t>Controle:</w:t>
      </w:r>
      <w:r w:rsidRPr="00962BC3">
        <w:rPr>
          <w:lang w:val="pt-BR"/>
        </w:rPr>
        <w:t xml:space="preserve"> a única camada da Lumis é a aplicação, e ela roda dentro do sistema do hospital.</w:t>
      </w:r>
    </w:p>
    <w:p w14:paraId="590A063D" w14:textId="77777777" w:rsidR="00086059" w:rsidRPr="00962BC3" w:rsidRDefault="00000000">
      <w:pPr>
        <w:pStyle w:val="Commarcadores"/>
        <w:rPr>
          <w:lang w:val="pt-BR"/>
        </w:rPr>
      </w:pPr>
      <w:r w:rsidRPr="00962BC3">
        <w:rPr>
          <w:b/>
          <w:lang w:val="pt-BR"/>
        </w:rPr>
        <w:t>Ativo:</w:t>
      </w:r>
      <w:r w:rsidRPr="00962BC3">
        <w:rPr>
          <w:lang w:val="pt-BR"/>
        </w:rPr>
        <w:t xml:space="preserve"> a base de dados depende de contratos pendentes de revisão jurídica.</w:t>
      </w:r>
    </w:p>
    <w:p w14:paraId="709E34FD" w14:textId="77777777" w:rsidR="00086059" w:rsidRPr="00962BC3" w:rsidRDefault="00000000">
      <w:pPr>
        <w:pStyle w:val="Ttulo1"/>
        <w:rPr>
          <w:lang w:val="pt-BR"/>
        </w:rPr>
      </w:pPr>
      <w:r w:rsidRPr="00962BC3">
        <w:rPr>
          <w:lang w:val="pt-BR"/>
        </w:rPr>
        <w:t>1. Onde a Lumis está</w:t>
      </w:r>
    </w:p>
    <w:p w14:paraId="0063BE28" w14:textId="77777777" w:rsidR="00086059" w:rsidRPr="00962BC3" w:rsidRDefault="00000000">
      <w:pPr>
        <w:rPr>
          <w:lang w:val="pt-BR"/>
        </w:rPr>
      </w:pPr>
      <w:r w:rsidRPr="00962BC3">
        <w:rPr>
          <w:lang w:val="pt-BR"/>
        </w:rPr>
        <w:t>A Lumis só controla a camada de cima. Nas outras três, aluga ou depende da autorização de terceiros.</w:t>
      </w:r>
    </w:p>
    <w:p w14:paraId="0D82BBE8" w14:textId="77777777" w:rsidR="00086059" w:rsidRDefault="00000000">
      <w:pPr>
        <w:keepNext/>
        <w:jc w:val="center"/>
      </w:pPr>
      <w:r>
        <w:rPr>
          <w:noProof/>
        </w:rPr>
        <w:drawing>
          <wp:inline distT="0" distB="0" distL="0" distR="0" wp14:anchorId="76D40211" wp14:editId="3E604D46">
            <wp:extent cx="5760000" cy="3019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3019843"/>
                    </a:xfrm>
                    <a:prstGeom prst="rect">
                      <a:avLst/>
                    </a:prstGeom>
                  </pic:spPr>
                </pic:pic>
              </a:graphicData>
            </a:graphic>
          </wp:inline>
        </w:drawing>
      </w:r>
    </w:p>
    <w:p w14:paraId="6B6F6FAC" w14:textId="77777777" w:rsidR="00086059" w:rsidRDefault="00000000">
      <w:pPr>
        <w:pStyle w:val="Legenda"/>
      </w:pPr>
      <w:r w:rsidRPr="00962BC3">
        <w:rPr>
          <w:lang w:val="pt-BR"/>
        </w:rPr>
        <w:t xml:space="preserve">Figura 1. O que a Lumis controla em cada camada. </w:t>
      </w:r>
      <w:r>
        <w:t>Fonte: Cap. 2, Anexo A.</w:t>
      </w:r>
    </w:p>
    <w:p w14:paraId="2D1C1121" w14:textId="77777777" w:rsidR="00086059" w:rsidRPr="00962BC3" w:rsidRDefault="00000000">
      <w:pPr>
        <w:pStyle w:val="Commarcadores"/>
        <w:rPr>
          <w:lang w:val="pt-BR"/>
        </w:rPr>
      </w:pPr>
      <w:r w:rsidRPr="00962BC3">
        <w:rPr>
          <w:b/>
          <w:lang w:val="pt-BR"/>
        </w:rPr>
        <w:t>Nuvem:</w:t>
      </w:r>
      <w:r w:rsidRPr="00962BC3">
        <w:rPr>
          <w:lang w:val="pt-BR"/>
        </w:rPr>
        <w:t xml:space="preserve"> renova em 04/2027 e a migração leva 7 meses, então a Lumis chega à renovação sem alternativa.</w:t>
      </w:r>
    </w:p>
    <w:p w14:paraId="28C9DD68" w14:textId="77777777" w:rsidR="00086059" w:rsidRPr="00962BC3" w:rsidRDefault="00000000">
      <w:pPr>
        <w:pStyle w:val="Commarcadores"/>
        <w:rPr>
          <w:lang w:val="pt-BR"/>
        </w:rPr>
      </w:pPr>
      <w:r w:rsidRPr="00962BC3">
        <w:rPr>
          <w:b/>
          <w:lang w:val="pt-BR"/>
        </w:rPr>
        <w:t>Modelo:</w:t>
      </w:r>
      <w:r w:rsidRPr="00962BC3">
        <w:rPr>
          <w:lang w:val="pt-BR"/>
        </w:rPr>
        <w:t xml:space="preserve"> fornecedor único, sem preço garantido. O preço em queda alivia o custo, mas também barateia a entrada de concorrentes.</w:t>
      </w:r>
    </w:p>
    <w:p w14:paraId="633F9E05" w14:textId="77777777" w:rsidR="00086059" w:rsidRPr="00962BC3" w:rsidRDefault="00000000">
      <w:pPr>
        <w:pStyle w:val="Commarcadores"/>
        <w:rPr>
          <w:lang w:val="pt-BR"/>
        </w:rPr>
      </w:pPr>
      <w:r w:rsidRPr="00962BC3">
        <w:rPr>
          <w:b/>
          <w:lang w:val="pt-BR"/>
        </w:rPr>
        <w:t>Dados:</w:t>
      </w:r>
      <w:r w:rsidRPr="00962BC3">
        <w:rPr>
          <w:lang w:val="pt-BR"/>
        </w:rPr>
        <w:t xml:space="preserve"> mais de um terço dos dados de clientes não tem autorização clara para treinamento.</w:t>
      </w:r>
    </w:p>
    <w:p w14:paraId="1A9E0B59" w14:textId="77777777" w:rsidR="00086059" w:rsidRPr="00962BC3" w:rsidRDefault="00000000">
      <w:pPr>
        <w:pStyle w:val="Commarcadores"/>
        <w:rPr>
          <w:lang w:val="pt-BR"/>
        </w:rPr>
      </w:pPr>
      <w:r w:rsidRPr="00962BC3">
        <w:rPr>
          <w:b/>
          <w:lang w:val="pt-BR"/>
        </w:rPr>
        <w:t>Aplicação:</w:t>
      </w:r>
      <w:r w:rsidRPr="00962BC3">
        <w:rPr>
          <w:lang w:val="pt-BR"/>
        </w:rPr>
        <w:t xml:space="preserve"> é da Lumis, mas quem decide o que entra no fluxo do hospital é o dono do prontuário.</w:t>
      </w:r>
    </w:p>
    <w:p w14:paraId="3C260D87" w14:textId="77777777" w:rsidR="00086059" w:rsidRPr="00962BC3" w:rsidRDefault="00000000">
      <w:pPr>
        <w:pStyle w:val="Commarcadores"/>
        <w:rPr>
          <w:lang w:val="pt-BR"/>
        </w:rPr>
      </w:pPr>
      <w:r w:rsidRPr="00962BC3">
        <w:rPr>
          <w:b/>
          <w:lang w:val="pt-BR"/>
        </w:rPr>
        <w:lastRenderedPageBreak/>
        <w:t>Integração e operação:</w:t>
      </w:r>
      <w:r w:rsidRPr="00962BC3">
        <w:rPr>
          <w:lang w:val="pt-BR"/>
        </w:rPr>
        <w:t xml:space="preserve"> atravessam todas as camadas. A implementação e o treinamento junto ao cliente sustentam o valor percebido do produto.</w:t>
      </w:r>
    </w:p>
    <w:p w14:paraId="1AE1D6BA" w14:textId="77777777" w:rsidR="00086059" w:rsidRPr="00962BC3" w:rsidRDefault="00000000">
      <w:pPr>
        <w:rPr>
          <w:lang w:val="pt-BR"/>
        </w:rPr>
      </w:pPr>
      <w:r w:rsidRPr="00962BC3">
        <w:rPr>
          <w:lang w:val="pt-BR"/>
        </w:rPr>
        <w:t>Para Shapiro e Varian (1999), o valor fica com quem controla o gargalo. Aqui os gargalos são a distribuição dentro do hospital e o direito de usar o dado de desfecho, e nenhum dos dois está com a Lumis.</w:t>
      </w:r>
    </w:p>
    <w:p w14:paraId="64F75983" w14:textId="77777777" w:rsidR="00086059" w:rsidRPr="00962BC3" w:rsidRDefault="00000000">
      <w:pPr>
        <w:pStyle w:val="Ttulo1"/>
        <w:rPr>
          <w:lang w:val="pt-BR"/>
        </w:rPr>
      </w:pPr>
      <w:r w:rsidRPr="00962BC3">
        <w:rPr>
          <w:lang w:val="pt-BR"/>
        </w:rPr>
        <w:t>2. Quem pode tomar esse espaço</w:t>
      </w:r>
    </w:p>
    <w:p w14:paraId="0031DC6C" w14:textId="77777777" w:rsidR="00086059" w:rsidRPr="00962BC3" w:rsidRDefault="00000000">
      <w:pPr>
        <w:rPr>
          <w:lang w:val="pt-BR"/>
        </w:rPr>
      </w:pPr>
      <w:r w:rsidRPr="00962BC3">
        <w:rPr>
          <w:lang w:val="pt-BR"/>
        </w:rPr>
        <w:t>A ameaça vem de quatro direções, com pesos diferentes.</w:t>
      </w:r>
    </w:p>
    <w:p w14:paraId="13E1C8F2" w14:textId="77777777" w:rsidR="00086059" w:rsidRDefault="00000000">
      <w:pPr>
        <w:keepNext/>
        <w:jc w:val="center"/>
      </w:pPr>
      <w:r>
        <w:rPr>
          <w:noProof/>
        </w:rPr>
        <w:drawing>
          <wp:inline distT="0" distB="0" distL="0" distR="0" wp14:anchorId="0F813D17" wp14:editId="6C1159D8">
            <wp:extent cx="5760000" cy="3863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meacas.png"/>
                    <pic:cNvPicPr/>
                  </pic:nvPicPr>
                  <pic:blipFill>
                    <a:blip r:embed="rId9"/>
                    <a:stretch>
                      <a:fillRect/>
                    </a:stretch>
                  </pic:blipFill>
                  <pic:spPr>
                    <a:xfrm>
                      <a:off x="0" y="0"/>
                      <a:ext cx="5760000" cy="3863558"/>
                    </a:xfrm>
                    <a:prstGeom prst="rect">
                      <a:avLst/>
                    </a:prstGeom>
                  </pic:spPr>
                </pic:pic>
              </a:graphicData>
            </a:graphic>
          </wp:inline>
        </w:drawing>
      </w:r>
    </w:p>
    <w:p w14:paraId="57E697BF" w14:textId="77777777" w:rsidR="00086059" w:rsidRPr="00962BC3" w:rsidRDefault="00000000">
      <w:pPr>
        <w:pStyle w:val="Legenda"/>
        <w:rPr>
          <w:lang w:val="pt-BR"/>
        </w:rPr>
      </w:pPr>
      <w:r w:rsidRPr="00962BC3">
        <w:rPr>
          <w:lang w:val="pt-BR"/>
        </w:rPr>
        <w:t>Figura 2. De onde vem a ameaça. Fonte: Cap. 2, Anexo A; peso de cada ameaça: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4309"/>
        <w:gridCol w:w="2835"/>
      </w:tblGrid>
      <w:tr w:rsidR="00086059" w:rsidRPr="00962BC3" w14:paraId="7C22890D" w14:textId="77777777">
        <w:trPr>
          <w:cantSplit/>
          <w:tblHeader/>
          <w:jc w:val="center"/>
        </w:trPr>
        <w:tc>
          <w:tcPr>
            <w:tcW w:w="1928" w:type="dxa"/>
            <w:shd w:val="clear" w:color="auto" w:fill="0F2D3A"/>
          </w:tcPr>
          <w:p w14:paraId="44586C8F" w14:textId="77777777" w:rsidR="00086059" w:rsidRDefault="00000000">
            <w:pPr>
              <w:pStyle w:val="LumisTabela"/>
              <w:keepNext/>
            </w:pPr>
            <w:proofErr w:type="spellStart"/>
            <w:r>
              <w:rPr>
                <w:b/>
                <w:color w:val="FFFFFF"/>
              </w:rPr>
              <w:t>Ameaça</w:t>
            </w:r>
            <w:proofErr w:type="spellEnd"/>
          </w:p>
        </w:tc>
        <w:tc>
          <w:tcPr>
            <w:tcW w:w="4309" w:type="dxa"/>
            <w:shd w:val="clear" w:color="auto" w:fill="0F2D3A"/>
          </w:tcPr>
          <w:p w14:paraId="0F4984C4" w14:textId="77777777" w:rsidR="00086059" w:rsidRDefault="00000000">
            <w:pPr>
              <w:pStyle w:val="LumisTabela"/>
              <w:keepNext/>
            </w:pPr>
            <w:r>
              <w:rPr>
                <w:b/>
                <w:color w:val="FFFFFF"/>
              </w:rPr>
              <w:t>Por que preocupa</w:t>
            </w:r>
          </w:p>
        </w:tc>
        <w:tc>
          <w:tcPr>
            <w:tcW w:w="2835" w:type="dxa"/>
            <w:shd w:val="clear" w:color="auto" w:fill="0F2D3A"/>
          </w:tcPr>
          <w:p w14:paraId="12770C60" w14:textId="77777777" w:rsidR="00086059" w:rsidRPr="00962BC3" w:rsidRDefault="00000000">
            <w:pPr>
              <w:pStyle w:val="LumisTabela"/>
              <w:keepNext/>
              <w:rPr>
                <w:lang w:val="pt-BR"/>
              </w:rPr>
            </w:pPr>
            <w:r w:rsidRPr="00962BC3">
              <w:rPr>
                <w:b/>
                <w:color w:val="FFFFFF"/>
                <w:lang w:val="pt-BR"/>
              </w:rPr>
              <w:t>O que joga a favor da Lumis</w:t>
            </w:r>
          </w:p>
        </w:tc>
      </w:tr>
      <w:tr w:rsidR="00086059" w:rsidRPr="00962BC3" w14:paraId="035B32E0" w14:textId="77777777">
        <w:trPr>
          <w:cantSplit/>
          <w:jc w:val="center"/>
        </w:trPr>
        <w:tc>
          <w:tcPr>
            <w:tcW w:w="1928" w:type="dxa"/>
          </w:tcPr>
          <w:p w14:paraId="53F0B12E" w14:textId="77777777" w:rsidR="00086059" w:rsidRDefault="00000000">
            <w:pPr>
              <w:pStyle w:val="LumisTabela"/>
            </w:pPr>
            <w:r>
              <w:rPr>
                <w:b/>
              </w:rPr>
              <w:t>1. Aster Health</w:t>
            </w:r>
          </w:p>
        </w:tc>
        <w:tc>
          <w:tcPr>
            <w:tcW w:w="4309" w:type="dxa"/>
          </w:tcPr>
          <w:p w14:paraId="53CA1C7C" w14:textId="77777777" w:rsidR="00086059" w:rsidRPr="00962BC3" w:rsidRDefault="00000000">
            <w:pPr>
              <w:pStyle w:val="LumisTabela"/>
              <w:rPr>
                <w:lang w:val="pt-BR"/>
              </w:rPr>
            </w:pPr>
            <w:r w:rsidRPr="00962BC3">
              <w:rPr>
                <w:lang w:val="pt-BR"/>
              </w:rPr>
              <w:t>Vende a IA como módulo sobre o contrato que o hospital já tem. Para o nosso stakeholder, a pergunta passa a ser ativar o módulo do fornecedor atual ou contratar um novo. O padrão já existe no Brasil com os prontuários MV e Tasy¹.</w:t>
            </w:r>
          </w:p>
        </w:tc>
        <w:tc>
          <w:tcPr>
            <w:tcW w:w="2835" w:type="dxa"/>
          </w:tcPr>
          <w:p w14:paraId="0BB394AC" w14:textId="77777777" w:rsidR="00086059" w:rsidRPr="00962BC3" w:rsidRDefault="00000000">
            <w:pPr>
              <w:pStyle w:val="LumisTabela"/>
              <w:rPr>
                <w:lang w:val="pt-BR"/>
              </w:rPr>
            </w:pPr>
            <w:r w:rsidRPr="00962BC3">
              <w:rPr>
                <w:lang w:val="pt-BR"/>
              </w:rPr>
              <w:t>A Aster não chega a seguradoras e bancos, que são 14 das 38 contas.</w:t>
            </w:r>
          </w:p>
        </w:tc>
      </w:tr>
      <w:tr w:rsidR="00086059" w:rsidRPr="00962BC3" w14:paraId="08835BED" w14:textId="77777777">
        <w:trPr>
          <w:cantSplit/>
          <w:jc w:val="center"/>
        </w:trPr>
        <w:tc>
          <w:tcPr>
            <w:tcW w:w="1928" w:type="dxa"/>
            <w:shd w:val="clear" w:color="auto" w:fill="F1F6F4"/>
          </w:tcPr>
          <w:p w14:paraId="5CBB6B2E" w14:textId="77777777" w:rsidR="00086059" w:rsidRDefault="00000000">
            <w:pPr>
              <w:pStyle w:val="LumisTabela"/>
            </w:pPr>
            <w:r>
              <w:rPr>
                <w:b/>
              </w:rPr>
              <w:t>2. Grandes clientes</w:t>
            </w:r>
          </w:p>
        </w:tc>
        <w:tc>
          <w:tcPr>
            <w:tcW w:w="4309" w:type="dxa"/>
            <w:shd w:val="clear" w:color="auto" w:fill="F1F6F4"/>
          </w:tcPr>
          <w:p w14:paraId="1D0B9935" w14:textId="77777777" w:rsidR="00086059" w:rsidRPr="00962BC3" w:rsidRDefault="00000000">
            <w:pPr>
              <w:pStyle w:val="LumisTabela"/>
              <w:rPr>
                <w:lang w:val="pt-BR"/>
              </w:rPr>
            </w:pPr>
            <w:r w:rsidRPr="00962BC3">
              <w:rPr>
                <w:lang w:val="pt-BR"/>
              </w:rPr>
              <w:t>São os que mais conseguem fazer a própria IA. O Einstein, por exemplo, já usa perto de 120 algoritmos próprios².</w:t>
            </w:r>
          </w:p>
        </w:tc>
        <w:tc>
          <w:tcPr>
            <w:tcW w:w="2835" w:type="dxa"/>
            <w:shd w:val="clear" w:color="auto" w:fill="F1F6F4"/>
          </w:tcPr>
          <w:p w14:paraId="61014365" w14:textId="77777777" w:rsidR="00086059" w:rsidRPr="00962BC3" w:rsidRDefault="00000000">
            <w:pPr>
              <w:pStyle w:val="LumisTabela"/>
              <w:rPr>
                <w:lang w:val="pt-BR"/>
              </w:rPr>
            </w:pPr>
            <w:r w:rsidRPr="00962BC3">
              <w:rPr>
                <w:lang w:val="pt-BR"/>
              </w:rPr>
              <w:t>Clientes médios, sem time próprio de IA, dependem mais de um fornecedor.</w:t>
            </w:r>
          </w:p>
        </w:tc>
      </w:tr>
      <w:tr w:rsidR="00086059" w:rsidRPr="00962BC3" w14:paraId="4585720E" w14:textId="77777777">
        <w:trPr>
          <w:cantSplit/>
          <w:jc w:val="center"/>
        </w:trPr>
        <w:tc>
          <w:tcPr>
            <w:tcW w:w="1928" w:type="dxa"/>
          </w:tcPr>
          <w:p w14:paraId="326A4B98" w14:textId="77777777" w:rsidR="00086059" w:rsidRDefault="00000000">
            <w:pPr>
              <w:pStyle w:val="LumisTabela"/>
            </w:pPr>
            <w:r>
              <w:rPr>
                <w:b/>
              </w:rPr>
              <w:t>3. Os próprios fornecedores</w:t>
            </w:r>
          </w:p>
        </w:tc>
        <w:tc>
          <w:tcPr>
            <w:tcW w:w="4309" w:type="dxa"/>
          </w:tcPr>
          <w:p w14:paraId="32E2DE69" w14:textId="77777777" w:rsidR="00086059" w:rsidRPr="00962BC3" w:rsidRDefault="00000000">
            <w:pPr>
              <w:pStyle w:val="LumisTabela"/>
              <w:rPr>
                <w:lang w:val="pt-BR"/>
              </w:rPr>
            </w:pPr>
            <w:r w:rsidRPr="00962BC3">
              <w:rPr>
                <w:lang w:val="pt-BR"/>
              </w:rPr>
              <w:t xml:space="preserve">O fornecedor de modelo anunciou um módulo próprio para saúde e passa a concorrer na aplicação. Nuvem e bases clínicas podem seguir o mesmo caminho </w:t>
            </w:r>
            <w:r w:rsidRPr="00962BC3">
              <w:rPr>
                <w:rStyle w:val="TagHiptese"/>
                <w:lang w:val="pt-BR"/>
              </w:rPr>
              <w:t>[hipótese]</w:t>
            </w:r>
            <w:r w:rsidRPr="00962BC3">
              <w:rPr>
                <w:lang w:val="pt-BR"/>
              </w:rPr>
              <w:t>.</w:t>
            </w:r>
          </w:p>
        </w:tc>
        <w:tc>
          <w:tcPr>
            <w:tcW w:w="2835" w:type="dxa"/>
          </w:tcPr>
          <w:p w14:paraId="447B33F7" w14:textId="77777777" w:rsidR="00086059" w:rsidRPr="00962BC3" w:rsidRDefault="00000000">
            <w:pPr>
              <w:pStyle w:val="LumisTabela"/>
              <w:rPr>
                <w:lang w:val="pt-BR"/>
              </w:rPr>
            </w:pPr>
            <w:r w:rsidRPr="00962BC3">
              <w:rPr>
                <w:lang w:val="pt-BR"/>
              </w:rPr>
              <w:t xml:space="preserve">Nenhum deles tem hoje o fluxo clínico dentro do hospital </w:t>
            </w:r>
            <w:r w:rsidRPr="00962BC3">
              <w:rPr>
                <w:rStyle w:val="TagHiptese"/>
                <w:lang w:val="pt-BR"/>
              </w:rPr>
              <w:t>[hipótese]</w:t>
            </w:r>
            <w:r w:rsidRPr="00962BC3">
              <w:rPr>
                <w:lang w:val="pt-BR"/>
              </w:rPr>
              <w:t>.</w:t>
            </w:r>
          </w:p>
        </w:tc>
      </w:tr>
      <w:tr w:rsidR="00086059" w:rsidRPr="00962BC3" w14:paraId="42099650" w14:textId="77777777">
        <w:trPr>
          <w:cantSplit/>
          <w:jc w:val="center"/>
        </w:trPr>
        <w:tc>
          <w:tcPr>
            <w:tcW w:w="1928" w:type="dxa"/>
            <w:shd w:val="clear" w:color="auto" w:fill="F1F6F4"/>
          </w:tcPr>
          <w:p w14:paraId="2B756F6F" w14:textId="77777777" w:rsidR="00086059" w:rsidRDefault="00000000">
            <w:pPr>
              <w:pStyle w:val="LumisTabela"/>
            </w:pPr>
            <w:r>
              <w:rPr>
                <w:b/>
              </w:rPr>
              <w:t>4. Núcleo Saúde Analytics</w:t>
            </w:r>
          </w:p>
        </w:tc>
        <w:tc>
          <w:tcPr>
            <w:tcW w:w="4309" w:type="dxa"/>
            <w:shd w:val="clear" w:color="auto" w:fill="F1F6F4"/>
          </w:tcPr>
          <w:p w14:paraId="5340C1D3" w14:textId="77777777" w:rsidR="00086059" w:rsidRPr="00962BC3" w:rsidRDefault="00000000">
            <w:pPr>
              <w:pStyle w:val="LumisTabela"/>
              <w:rPr>
                <w:lang w:val="pt-BR"/>
              </w:rPr>
            </w:pPr>
            <w:r w:rsidRPr="00962BC3">
              <w:rPr>
                <w:lang w:val="pt-BR"/>
              </w:rPr>
              <w:t>Já tem 74 contas de BI hospitalar, quase o dobro da Lumis, e só falta a camada preditiva.</w:t>
            </w:r>
          </w:p>
        </w:tc>
        <w:tc>
          <w:tcPr>
            <w:tcW w:w="2835" w:type="dxa"/>
            <w:shd w:val="clear" w:color="auto" w:fill="F1F6F4"/>
          </w:tcPr>
          <w:p w14:paraId="7658A6F2" w14:textId="77777777" w:rsidR="00086059" w:rsidRPr="00962BC3" w:rsidRDefault="00000000">
            <w:pPr>
              <w:pStyle w:val="LumisTabela"/>
              <w:rPr>
                <w:lang w:val="pt-BR"/>
              </w:rPr>
            </w:pPr>
            <w:r w:rsidRPr="00962BC3">
              <w:rPr>
                <w:lang w:val="pt-BR"/>
              </w:rPr>
              <w:t>A Lumis já entrega a camada preditiva que falta à Núcleo.</w:t>
            </w:r>
          </w:p>
        </w:tc>
      </w:tr>
      <w:tr w:rsidR="00086059" w:rsidRPr="00962BC3" w14:paraId="7D2A1821" w14:textId="77777777">
        <w:trPr>
          <w:cantSplit/>
          <w:jc w:val="center"/>
        </w:trPr>
        <w:tc>
          <w:tcPr>
            <w:tcW w:w="1928" w:type="dxa"/>
          </w:tcPr>
          <w:p w14:paraId="04D85368" w14:textId="77777777" w:rsidR="00086059" w:rsidRDefault="00000000">
            <w:pPr>
              <w:pStyle w:val="LumisTabela"/>
            </w:pPr>
            <w:r>
              <w:rPr>
                <w:b/>
              </w:rPr>
              <w:lastRenderedPageBreak/>
              <w:t>5. Consultorias e integradores</w:t>
            </w:r>
          </w:p>
        </w:tc>
        <w:tc>
          <w:tcPr>
            <w:tcW w:w="4309" w:type="dxa"/>
          </w:tcPr>
          <w:p w14:paraId="7A04762C" w14:textId="77777777" w:rsidR="00086059" w:rsidRPr="00962BC3" w:rsidRDefault="00000000">
            <w:pPr>
              <w:pStyle w:val="LumisTabela"/>
              <w:rPr>
                <w:lang w:val="pt-BR"/>
              </w:rPr>
            </w:pPr>
            <w:r w:rsidRPr="00962BC3">
              <w:rPr>
                <w:lang w:val="pt-BR"/>
              </w:rPr>
              <w:t>Vendem projetos sob medida aos clientes grandes, sobre a mesma infraestrutura e os mesmos modelos.</w:t>
            </w:r>
          </w:p>
        </w:tc>
        <w:tc>
          <w:tcPr>
            <w:tcW w:w="2835" w:type="dxa"/>
          </w:tcPr>
          <w:p w14:paraId="18367B6F" w14:textId="77777777" w:rsidR="00086059" w:rsidRPr="00962BC3" w:rsidRDefault="00000000">
            <w:pPr>
              <w:pStyle w:val="LumisTabela"/>
              <w:rPr>
                <w:lang w:val="pt-BR"/>
              </w:rPr>
            </w:pPr>
            <w:r w:rsidRPr="00962BC3">
              <w:rPr>
                <w:lang w:val="pt-BR"/>
              </w:rPr>
              <w:t>Produto pronto, com ticket médio de R$ 1,084 mi, abaixo dos R$ 1,5 a 4,0 mi de um projeto.</w:t>
            </w:r>
          </w:p>
        </w:tc>
      </w:tr>
    </w:tbl>
    <w:p w14:paraId="5C332EAB" w14:textId="596036D6" w:rsidR="00086059" w:rsidRPr="00962BC3" w:rsidRDefault="00000000">
      <w:pPr>
        <w:pStyle w:val="Legenda"/>
        <w:rPr>
          <w:lang w:val="pt-BR"/>
        </w:rPr>
      </w:pPr>
      <w:r w:rsidRPr="00962BC3">
        <w:rPr>
          <w:lang w:val="pt-BR"/>
        </w:rPr>
        <w:t xml:space="preserve">Tabela 1. As ameaças, </w:t>
      </w:r>
      <w:proofErr w:type="spellStart"/>
      <w:r w:rsidRPr="00962BC3">
        <w:rPr>
          <w:lang w:val="pt-BR"/>
        </w:rPr>
        <w:t>da</w:t>
      </w:r>
      <w:proofErr w:type="spellEnd"/>
      <w:r w:rsidRPr="00962BC3">
        <w:rPr>
          <w:lang w:val="pt-BR"/>
        </w:rPr>
        <w:t xml:space="preserve"> mais forte para a mais fraca</w:t>
      </w:r>
      <w:r w:rsidR="00962BC3">
        <w:rPr>
          <w:lang w:val="pt-BR"/>
        </w:rPr>
        <w:t xml:space="preserve">. </w:t>
      </w:r>
      <w:r w:rsidRPr="00962BC3">
        <w:rPr>
          <w:lang w:val="pt-BR"/>
        </w:rPr>
        <w:t>Fonte: Cap. 2, Anexo A; leitura da equipe.</w:t>
      </w:r>
    </w:p>
    <w:p w14:paraId="32923A4D" w14:textId="77777777" w:rsidR="00086059" w:rsidRPr="00962BC3" w:rsidRDefault="00000000">
      <w:pPr>
        <w:rPr>
          <w:lang w:val="pt-BR"/>
        </w:rPr>
      </w:pPr>
      <w:r w:rsidRPr="00962BC3">
        <w:rPr>
          <w:lang w:val="pt-BR"/>
        </w:rPr>
        <w:t>Distribuição não garante qualidade: o modelo de sepse da Epic, embutido no prontuário, deixou de identificar dois terços dos casos³. A Lumis, porém, ainda não pode competir por qualidade, porque os 94% de acurácia caem para 87,6% em campo, com o maior erro entre idosos de CEP D/E.</w:t>
      </w:r>
    </w:p>
    <w:p w14:paraId="2ED37032" w14:textId="77777777" w:rsidR="00086059" w:rsidRPr="00962BC3" w:rsidRDefault="00000000">
      <w:pPr>
        <w:pStyle w:val="Ttulo1"/>
        <w:rPr>
          <w:lang w:val="pt-BR"/>
        </w:rPr>
      </w:pPr>
      <w:r w:rsidRPr="00962BC3">
        <w:rPr>
          <w:lang w:val="pt-BR"/>
        </w:rPr>
        <w:t>3. O que pode mudar sem a Lumis decidir</w:t>
      </w:r>
    </w:p>
    <w:p w14:paraId="0083E7F0" w14:textId="77777777" w:rsidR="00086059" w:rsidRPr="00962BC3" w:rsidRDefault="00000000">
      <w:pPr>
        <w:rPr>
          <w:lang w:val="pt-BR"/>
        </w:rPr>
      </w:pPr>
      <w:r w:rsidRPr="00962BC3">
        <w:rPr>
          <w:lang w:val="pt-BR"/>
        </w:rPr>
        <w:t>Duas das cinco dependências pedem atenção agora, e as duas têm prazo.</w:t>
      </w:r>
    </w:p>
    <w:p w14:paraId="5F659763" w14:textId="77777777" w:rsidR="00086059" w:rsidRDefault="00000000">
      <w:pPr>
        <w:pStyle w:val="Commarcadores"/>
      </w:pPr>
      <w:r w:rsidRPr="00962BC3">
        <w:rPr>
          <w:b/>
          <w:lang w:val="pt-BR"/>
        </w:rPr>
        <w:t>Dados de clientes, a mais grave:</w:t>
      </w:r>
      <w:r w:rsidRPr="00962BC3">
        <w:rPr>
          <w:lang w:val="pt-BR"/>
        </w:rPr>
        <w:t xml:space="preserve"> é a única dependência sem substituto. Dois clientes, o Hospital Vila Ipê e a Seguradora Prisma, respondem por 35,4% dos dados de clientes, e a autorização deles para treinamento é fraca: uma cláusula genérica e um contrato que não trata do tema. </w:t>
      </w:r>
      <w:proofErr w:type="spellStart"/>
      <w:r>
        <w:t>Os</w:t>
      </w:r>
      <w:proofErr w:type="spellEnd"/>
      <w:r>
        <w:t xml:space="preserve"> </w:t>
      </w:r>
      <w:proofErr w:type="spellStart"/>
      <w:r>
        <w:t>contratos</w:t>
      </w:r>
      <w:proofErr w:type="spellEnd"/>
      <w:r>
        <w:t xml:space="preserve"> </w:t>
      </w:r>
      <w:proofErr w:type="spellStart"/>
      <w:r>
        <w:t>vencem</w:t>
      </w:r>
      <w:proofErr w:type="spellEnd"/>
      <w:r>
        <w:t xml:space="preserve"> </w:t>
      </w:r>
      <w:proofErr w:type="spellStart"/>
      <w:r>
        <w:t>em</w:t>
      </w:r>
      <w:proofErr w:type="spellEnd"/>
      <w:r>
        <w:t xml:space="preserve"> 03/2027 e 12/2026.</w:t>
      </w:r>
    </w:p>
    <w:p w14:paraId="576D8975" w14:textId="77777777" w:rsidR="00086059" w:rsidRDefault="00000000">
      <w:pPr>
        <w:pStyle w:val="Commarcadores"/>
      </w:pPr>
      <w:r w:rsidRPr="00962BC3">
        <w:rPr>
          <w:b/>
          <w:lang w:val="pt-BR"/>
        </w:rPr>
        <w:t>O risco nos dados já existe hoje:</w:t>
      </w:r>
      <w:r w:rsidRPr="00962BC3">
        <w:rPr>
          <w:lang w:val="pt-BR"/>
        </w:rPr>
        <w:t xml:space="preserve"> o modelo atual foi treinado com esses dados. Se um cliente ou o regulador questionar o uso, a Lumis pode ter de retirá-los e retreinar antes mesmo dos vencimentos. Além disso, nenhum dos seis instrumentos de dados passou por revisão jurídica, as autorizações da </w:t>
      </w:r>
      <w:proofErr w:type="spellStart"/>
      <w:r w:rsidRPr="00962BC3">
        <w:rPr>
          <w:lang w:val="pt-BR"/>
        </w:rPr>
        <w:t>Sanare</w:t>
      </w:r>
      <w:proofErr w:type="spellEnd"/>
      <w:r w:rsidRPr="00962BC3">
        <w:rPr>
          <w:lang w:val="pt-BR"/>
        </w:rPr>
        <w:t xml:space="preserve"> e do Meridiano dependem de condições (uso anonimizado e auditoria anual) e dado de saúde é sensível na LGPD, o que deixa incerta a base legal para treinar um produto vendido a terceiros </w:t>
      </w:r>
      <w:r w:rsidRPr="00962BC3">
        <w:rPr>
          <w:rStyle w:val="TagHiptese"/>
          <w:lang w:val="pt-BR"/>
        </w:rPr>
        <w:t>[hipótese]</w:t>
      </w:r>
      <w:r w:rsidRPr="00962BC3">
        <w:rPr>
          <w:lang w:val="pt-BR"/>
        </w:rPr>
        <w:t xml:space="preserve">. </w:t>
      </w:r>
      <w:r>
        <w:t xml:space="preserve">A auditoria completa </w:t>
      </w:r>
      <w:proofErr w:type="spellStart"/>
      <w:r>
        <w:t>fica</w:t>
      </w:r>
      <w:proofErr w:type="spellEnd"/>
      <w:r>
        <w:t xml:space="preserve"> para a Entrega 2.</w:t>
      </w:r>
    </w:p>
    <w:p w14:paraId="203F204D" w14:textId="77777777" w:rsidR="00086059" w:rsidRPr="00962BC3" w:rsidRDefault="00000000">
      <w:pPr>
        <w:pStyle w:val="Commarcadores"/>
        <w:rPr>
          <w:lang w:val="pt-BR"/>
        </w:rPr>
      </w:pPr>
      <w:r w:rsidRPr="00962BC3">
        <w:rPr>
          <w:b/>
          <w:lang w:val="pt-BR"/>
        </w:rPr>
        <w:t>Fornecedor de modelo, a mais rápida:</w:t>
      </w:r>
      <w:r w:rsidRPr="00962BC3">
        <w:rPr>
          <w:lang w:val="pt-BR"/>
        </w:rPr>
        <w:t xml:space="preserve"> muda preço e termos com 30 dias de aviso. Se o preço dobrar, a margem bruta cai de 58% para 39,5%. Já houve queda de desempenho após uma atualização do fornecedor, em 09/2025, e há precedente de aumento: a </w:t>
      </w:r>
      <w:proofErr w:type="spellStart"/>
      <w:r w:rsidRPr="00962BC3">
        <w:rPr>
          <w:lang w:val="pt-BR"/>
        </w:rPr>
        <w:t>Anthropic</w:t>
      </w:r>
      <w:proofErr w:type="spellEnd"/>
      <w:r w:rsidRPr="00962BC3">
        <w:rPr>
          <w:lang w:val="pt-BR"/>
        </w:rPr>
        <w:t xml:space="preserve"> quadruplicou o preço de um modelo em 2024⁴.</w:t>
      </w:r>
    </w:p>
    <w:p w14:paraId="30C6F8CC" w14:textId="77777777" w:rsidR="00086059" w:rsidRDefault="00000000">
      <w:pPr>
        <w:keepNext/>
        <w:jc w:val="center"/>
      </w:pPr>
      <w:r>
        <w:rPr>
          <w:noProof/>
        </w:rPr>
        <w:drawing>
          <wp:inline distT="0" distB="0" distL="0" distR="0" wp14:anchorId="70B0A00A" wp14:editId="42F8811D">
            <wp:extent cx="5760000" cy="17742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1774236"/>
                    </a:xfrm>
                    <a:prstGeom prst="rect">
                      <a:avLst/>
                    </a:prstGeom>
                  </pic:spPr>
                </pic:pic>
              </a:graphicData>
            </a:graphic>
          </wp:inline>
        </w:drawing>
      </w:r>
    </w:p>
    <w:p w14:paraId="5C43873E" w14:textId="77777777" w:rsidR="00086059" w:rsidRPr="00962BC3" w:rsidRDefault="00000000">
      <w:pPr>
        <w:pStyle w:val="Legenda"/>
        <w:rPr>
          <w:lang w:val="pt-BR"/>
        </w:rPr>
      </w:pPr>
      <w:r w:rsidRPr="00962BC3">
        <w:rPr>
          <w:lang w:val="pt-BR"/>
        </w:rPr>
        <w:t>Figura 3. Margem bruta em cada cenário de choque. Fonte: cálculos da equipe a partir do Cap. 2, Anexo 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701"/>
        <w:gridCol w:w="1587"/>
        <w:gridCol w:w="3005"/>
        <w:gridCol w:w="2778"/>
      </w:tblGrid>
      <w:tr w:rsidR="00086059" w14:paraId="308110DB" w14:textId="77777777">
        <w:trPr>
          <w:cantSplit/>
          <w:tblHeader/>
          <w:jc w:val="center"/>
        </w:trPr>
        <w:tc>
          <w:tcPr>
            <w:tcW w:w="1701" w:type="dxa"/>
            <w:shd w:val="clear" w:color="auto" w:fill="0F2D3A"/>
          </w:tcPr>
          <w:p w14:paraId="25A84D43" w14:textId="77777777" w:rsidR="00086059" w:rsidRDefault="00000000">
            <w:pPr>
              <w:pStyle w:val="LumisTabela"/>
              <w:keepNext/>
            </w:pPr>
            <w:proofErr w:type="spellStart"/>
            <w:r>
              <w:rPr>
                <w:b/>
                <w:color w:val="FFFFFF"/>
              </w:rPr>
              <w:t>Dependência</w:t>
            </w:r>
            <w:proofErr w:type="spellEnd"/>
          </w:p>
        </w:tc>
        <w:tc>
          <w:tcPr>
            <w:tcW w:w="1587" w:type="dxa"/>
            <w:shd w:val="clear" w:color="auto" w:fill="0F2D3A"/>
          </w:tcPr>
          <w:p w14:paraId="44A8C0DB" w14:textId="77777777" w:rsidR="00086059" w:rsidRDefault="00000000">
            <w:pPr>
              <w:pStyle w:val="LumisTabela"/>
              <w:keepNext/>
            </w:pPr>
            <w:r>
              <w:rPr>
                <w:b/>
                <w:color w:val="FFFFFF"/>
              </w:rPr>
              <w:t>Prazo</w:t>
            </w:r>
          </w:p>
        </w:tc>
        <w:tc>
          <w:tcPr>
            <w:tcW w:w="3005" w:type="dxa"/>
            <w:shd w:val="clear" w:color="auto" w:fill="0F2D3A"/>
          </w:tcPr>
          <w:p w14:paraId="18FB7045" w14:textId="77777777" w:rsidR="00086059" w:rsidRDefault="00000000">
            <w:pPr>
              <w:pStyle w:val="LumisTabela"/>
              <w:keepNext/>
            </w:pPr>
            <w:r>
              <w:rPr>
                <w:b/>
                <w:color w:val="FFFFFF"/>
              </w:rPr>
              <w:t>O que pode acontecer</w:t>
            </w:r>
          </w:p>
        </w:tc>
        <w:tc>
          <w:tcPr>
            <w:tcW w:w="2778" w:type="dxa"/>
            <w:shd w:val="clear" w:color="auto" w:fill="0F2D3A"/>
          </w:tcPr>
          <w:p w14:paraId="010ED153" w14:textId="77777777" w:rsidR="00086059" w:rsidRDefault="00000000">
            <w:pPr>
              <w:pStyle w:val="LumisTabela"/>
              <w:keepNext/>
            </w:pPr>
            <w:r>
              <w:rPr>
                <w:b/>
                <w:color w:val="FFFFFF"/>
              </w:rPr>
              <w:t>Resposta recomendada</w:t>
            </w:r>
          </w:p>
        </w:tc>
      </w:tr>
      <w:tr w:rsidR="00086059" w:rsidRPr="00962BC3" w14:paraId="17CE40F5" w14:textId="77777777">
        <w:trPr>
          <w:cantSplit/>
          <w:jc w:val="center"/>
        </w:trPr>
        <w:tc>
          <w:tcPr>
            <w:tcW w:w="1701" w:type="dxa"/>
          </w:tcPr>
          <w:p w14:paraId="627061C6" w14:textId="77777777" w:rsidR="00086059" w:rsidRDefault="00000000">
            <w:pPr>
              <w:pStyle w:val="LumisTabela"/>
            </w:pPr>
            <w:r>
              <w:rPr>
                <w:b/>
              </w:rPr>
              <w:t>Dados de clientes</w:t>
            </w:r>
          </w:p>
        </w:tc>
        <w:tc>
          <w:tcPr>
            <w:tcW w:w="1587" w:type="dxa"/>
          </w:tcPr>
          <w:p w14:paraId="0C63C176" w14:textId="77777777" w:rsidR="00086059" w:rsidRPr="00962BC3" w:rsidRDefault="00000000">
            <w:pPr>
              <w:pStyle w:val="LumisTabela"/>
              <w:rPr>
                <w:lang w:val="pt-BR"/>
              </w:rPr>
            </w:pPr>
            <w:r w:rsidRPr="00962BC3">
              <w:rPr>
                <w:lang w:val="pt-BR"/>
              </w:rPr>
              <w:t>Já hoje; contratos vencem em 12/2026 (Prisma) e 03/2027 (Vila Ipê)</w:t>
            </w:r>
          </w:p>
        </w:tc>
        <w:tc>
          <w:tcPr>
            <w:tcW w:w="3005" w:type="dxa"/>
          </w:tcPr>
          <w:p w14:paraId="6A018376" w14:textId="77777777" w:rsidR="00086059" w:rsidRPr="00962BC3" w:rsidRDefault="00000000">
            <w:pPr>
              <w:pStyle w:val="LumisTabela"/>
              <w:rPr>
                <w:lang w:val="pt-BR"/>
              </w:rPr>
            </w:pPr>
            <w:r w:rsidRPr="00962BC3">
              <w:rPr>
                <w:lang w:val="pt-BR"/>
              </w:rPr>
              <w:t>Questionamento do uso atual obriga a retirar 35,4% dos dados de clientes e retreinar; renegociação restringe o uso; multa da LGPD de até 2% do faturamento, limitada a R$ 50 mi por infração; clientes grandes levam os dados para a Aster.</w:t>
            </w:r>
          </w:p>
        </w:tc>
        <w:tc>
          <w:tcPr>
            <w:tcW w:w="2778" w:type="dxa"/>
          </w:tcPr>
          <w:p w14:paraId="571D3D87" w14:textId="77777777" w:rsidR="00086059" w:rsidRPr="00962BC3" w:rsidRDefault="00000000">
            <w:pPr>
              <w:pStyle w:val="LumisTabela"/>
              <w:rPr>
                <w:lang w:val="pt-BR"/>
              </w:rPr>
            </w:pPr>
            <w:r w:rsidRPr="00962BC3">
              <w:rPr>
                <w:lang w:val="pt-BR"/>
              </w:rPr>
              <w:t>Revisão jurídica dos seis instrumentos; aditivos de direito de uso antes dos vencimentos; linhagem de dados para isolar os registros frágeis.</w:t>
            </w:r>
          </w:p>
        </w:tc>
      </w:tr>
      <w:tr w:rsidR="00086059" w:rsidRPr="00962BC3" w14:paraId="66B9EE65" w14:textId="77777777">
        <w:trPr>
          <w:cantSplit/>
          <w:jc w:val="center"/>
        </w:trPr>
        <w:tc>
          <w:tcPr>
            <w:tcW w:w="1701" w:type="dxa"/>
            <w:shd w:val="clear" w:color="auto" w:fill="F1F6F4"/>
          </w:tcPr>
          <w:p w14:paraId="5E9EB378" w14:textId="77777777" w:rsidR="00086059" w:rsidRDefault="00000000">
            <w:pPr>
              <w:pStyle w:val="LumisTabela"/>
            </w:pPr>
            <w:r>
              <w:rPr>
                <w:b/>
              </w:rPr>
              <w:lastRenderedPageBreak/>
              <w:t xml:space="preserve">Modelo </w:t>
            </w:r>
            <w:proofErr w:type="spellStart"/>
            <w:r>
              <w:rPr>
                <w:b/>
              </w:rPr>
              <w:t>fundacional</w:t>
            </w:r>
            <w:proofErr w:type="spellEnd"/>
            <w:r>
              <w:t xml:space="preserve"> (44,3% do custo)</w:t>
            </w:r>
          </w:p>
        </w:tc>
        <w:tc>
          <w:tcPr>
            <w:tcW w:w="1587" w:type="dxa"/>
            <w:shd w:val="clear" w:color="auto" w:fill="F1F6F4"/>
          </w:tcPr>
          <w:p w14:paraId="0957F2D7" w14:textId="77777777" w:rsidR="00086059" w:rsidRPr="00962BC3" w:rsidRDefault="00000000">
            <w:pPr>
              <w:pStyle w:val="LumisTabela"/>
              <w:rPr>
                <w:lang w:val="pt-BR"/>
              </w:rPr>
            </w:pPr>
            <w:r w:rsidRPr="00962BC3">
              <w:rPr>
                <w:lang w:val="pt-BR"/>
              </w:rPr>
              <w:t>30 dias de aviso, a qualquer momento</w:t>
            </w:r>
          </w:p>
        </w:tc>
        <w:tc>
          <w:tcPr>
            <w:tcW w:w="3005" w:type="dxa"/>
            <w:shd w:val="clear" w:color="auto" w:fill="F1F6F4"/>
          </w:tcPr>
          <w:p w14:paraId="0E0BD955" w14:textId="77777777" w:rsidR="00086059" w:rsidRPr="00962BC3" w:rsidRDefault="00000000">
            <w:pPr>
              <w:pStyle w:val="LumisTabela"/>
              <w:rPr>
                <w:lang w:val="pt-BR"/>
              </w:rPr>
            </w:pPr>
            <w:r w:rsidRPr="00962BC3">
              <w:rPr>
                <w:lang w:val="pt-BR"/>
              </w:rPr>
              <w:t>Margem de 54,3% com preço +20% e de 39,5% com +100%; descontinuação obriga a revalidar o sistema; fornecedor vira concorrente.</w:t>
            </w:r>
          </w:p>
        </w:tc>
        <w:tc>
          <w:tcPr>
            <w:tcW w:w="2778" w:type="dxa"/>
            <w:shd w:val="clear" w:color="auto" w:fill="F1F6F4"/>
          </w:tcPr>
          <w:p w14:paraId="779D4055" w14:textId="5B24980B" w:rsidR="00086059" w:rsidRPr="00962BC3" w:rsidRDefault="00000000">
            <w:pPr>
              <w:pStyle w:val="LumisTabela"/>
              <w:rPr>
                <w:lang w:val="pt-BR"/>
              </w:rPr>
            </w:pPr>
            <w:r w:rsidRPr="00962BC3">
              <w:rPr>
                <w:lang w:val="pt-BR"/>
              </w:rPr>
              <w:t>Homologar um segundo fornecedor; travar preço e versão; avaliar modelo próprio no núcleo preditivo.</w:t>
            </w:r>
          </w:p>
        </w:tc>
      </w:tr>
      <w:tr w:rsidR="00086059" w14:paraId="7F024B26" w14:textId="77777777">
        <w:trPr>
          <w:cantSplit/>
          <w:jc w:val="center"/>
        </w:trPr>
        <w:tc>
          <w:tcPr>
            <w:tcW w:w="1701" w:type="dxa"/>
          </w:tcPr>
          <w:p w14:paraId="05FB79BA" w14:textId="77777777" w:rsidR="00086059" w:rsidRPr="00962BC3" w:rsidRDefault="00000000">
            <w:pPr>
              <w:pStyle w:val="LumisTabela"/>
              <w:rPr>
                <w:lang w:val="pt-BR"/>
              </w:rPr>
            </w:pPr>
            <w:r w:rsidRPr="00962BC3">
              <w:rPr>
                <w:b/>
                <w:lang w:val="pt-BR"/>
              </w:rPr>
              <w:t>Câmbio</w:t>
            </w:r>
            <w:r w:rsidRPr="00962BC3">
              <w:rPr>
                <w:lang w:val="pt-BR"/>
              </w:rPr>
              <w:t xml:space="preserve"> (72,2% do custo em dólar)</w:t>
            </w:r>
          </w:p>
        </w:tc>
        <w:tc>
          <w:tcPr>
            <w:tcW w:w="1587" w:type="dxa"/>
          </w:tcPr>
          <w:p w14:paraId="1B7990AA" w14:textId="77777777" w:rsidR="00086059" w:rsidRDefault="00000000">
            <w:pPr>
              <w:pStyle w:val="LumisTabela"/>
            </w:pPr>
            <w:r>
              <w:t>Contínuo</w:t>
            </w:r>
          </w:p>
        </w:tc>
        <w:tc>
          <w:tcPr>
            <w:tcW w:w="3005" w:type="dxa"/>
          </w:tcPr>
          <w:p w14:paraId="21AF9729" w14:textId="77777777" w:rsidR="00086059" w:rsidRPr="00962BC3" w:rsidRDefault="00000000">
            <w:pPr>
              <w:pStyle w:val="LumisTabela"/>
              <w:rPr>
                <w:lang w:val="pt-BR"/>
              </w:rPr>
            </w:pPr>
            <w:r w:rsidRPr="00962BC3">
              <w:rPr>
                <w:lang w:val="pt-BR"/>
              </w:rPr>
              <w:t>Cada R$ 0,10 a mais no dólar custa R$ 19.240 por mês; a R$ 6,50, a margem vai a 51,9%.</w:t>
            </w:r>
          </w:p>
        </w:tc>
        <w:tc>
          <w:tcPr>
            <w:tcW w:w="2778" w:type="dxa"/>
          </w:tcPr>
          <w:p w14:paraId="6846CBB8" w14:textId="77777777" w:rsidR="00086059" w:rsidRDefault="00000000">
            <w:pPr>
              <w:pStyle w:val="LumisTabela"/>
            </w:pPr>
            <w:r w:rsidRPr="00962BC3">
              <w:rPr>
                <w:lang w:val="pt-BR"/>
              </w:rPr>
              <w:t xml:space="preserve">Proteção cambial e cláusula de reajuste nos contratos com clientes. </w:t>
            </w:r>
            <w:proofErr w:type="spellStart"/>
            <w:r>
              <w:t>Não</w:t>
            </w:r>
            <w:proofErr w:type="spellEnd"/>
            <w:r>
              <w:t xml:space="preserve"> </w:t>
            </w:r>
            <w:proofErr w:type="spellStart"/>
            <w:r>
              <w:t>consta</w:t>
            </w:r>
            <w:proofErr w:type="spellEnd"/>
            <w:r>
              <w:t xml:space="preserve"> se </w:t>
            </w:r>
            <w:proofErr w:type="spellStart"/>
            <w:r>
              <w:t>há</w:t>
            </w:r>
            <w:proofErr w:type="spellEnd"/>
            <w:r>
              <w:t xml:space="preserve"> hedge.</w:t>
            </w:r>
          </w:p>
        </w:tc>
      </w:tr>
      <w:tr w:rsidR="00086059" w:rsidRPr="00962BC3" w14:paraId="78C34F20" w14:textId="77777777">
        <w:trPr>
          <w:cantSplit/>
          <w:jc w:val="center"/>
        </w:trPr>
        <w:tc>
          <w:tcPr>
            <w:tcW w:w="1701" w:type="dxa"/>
            <w:shd w:val="clear" w:color="auto" w:fill="F1F6F4"/>
          </w:tcPr>
          <w:p w14:paraId="1609F3EF" w14:textId="77777777" w:rsidR="00086059" w:rsidRDefault="00000000">
            <w:pPr>
              <w:pStyle w:val="LumisTabela"/>
            </w:pPr>
            <w:r>
              <w:rPr>
                <w:b/>
              </w:rPr>
              <w:t>Nuvem</w:t>
            </w:r>
            <w:r>
              <w:t xml:space="preserve"> (27,9% do custo)</w:t>
            </w:r>
          </w:p>
        </w:tc>
        <w:tc>
          <w:tcPr>
            <w:tcW w:w="1587" w:type="dxa"/>
            <w:shd w:val="clear" w:color="auto" w:fill="F1F6F4"/>
          </w:tcPr>
          <w:p w14:paraId="16DFC682" w14:textId="77777777" w:rsidR="00086059" w:rsidRPr="00962BC3" w:rsidRDefault="00000000">
            <w:pPr>
              <w:pStyle w:val="LumisTabela"/>
              <w:rPr>
                <w:lang w:val="pt-BR"/>
              </w:rPr>
            </w:pPr>
            <w:r w:rsidRPr="00962BC3">
              <w:rPr>
                <w:lang w:val="pt-BR"/>
              </w:rPr>
              <w:t>Renovação em 04/2027; migrar leva 7 meses</w:t>
            </w:r>
          </w:p>
        </w:tc>
        <w:tc>
          <w:tcPr>
            <w:tcW w:w="3005" w:type="dxa"/>
            <w:shd w:val="clear" w:color="auto" w:fill="F1F6F4"/>
          </w:tcPr>
          <w:p w14:paraId="21CF22EC" w14:textId="77777777" w:rsidR="00086059" w:rsidRPr="00962BC3" w:rsidRDefault="00000000">
            <w:pPr>
              <w:pStyle w:val="LumisTabela"/>
              <w:rPr>
                <w:lang w:val="pt-BR"/>
              </w:rPr>
            </w:pPr>
            <w:r w:rsidRPr="00962BC3">
              <w:rPr>
                <w:lang w:val="pt-BR"/>
              </w:rPr>
              <w:t>Renovação sem alternativa; cada 10% de reajuste custa R$ 40.176 por mês.</w:t>
            </w:r>
          </w:p>
        </w:tc>
        <w:tc>
          <w:tcPr>
            <w:tcW w:w="2778" w:type="dxa"/>
            <w:shd w:val="clear" w:color="auto" w:fill="F1F6F4"/>
          </w:tcPr>
          <w:p w14:paraId="227B8C55" w14:textId="77777777" w:rsidR="00086059" w:rsidRPr="00962BC3" w:rsidRDefault="00000000">
            <w:pPr>
              <w:pStyle w:val="LumisTabela"/>
              <w:rPr>
                <w:lang w:val="pt-BR"/>
              </w:rPr>
            </w:pPr>
            <w:r w:rsidRPr="00962BC3">
              <w:rPr>
                <w:lang w:val="pt-BR"/>
              </w:rPr>
              <w:t>Começar já o plano de portabilidade; negociar cláusulas de saída.</w:t>
            </w:r>
          </w:p>
        </w:tc>
      </w:tr>
      <w:tr w:rsidR="00086059" w:rsidRPr="00962BC3" w14:paraId="7F70DF07" w14:textId="77777777">
        <w:trPr>
          <w:cantSplit/>
          <w:jc w:val="center"/>
        </w:trPr>
        <w:tc>
          <w:tcPr>
            <w:tcW w:w="1701" w:type="dxa"/>
          </w:tcPr>
          <w:p w14:paraId="77BF6BF1" w14:textId="77777777" w:rsidR="00086059" w:rsidRDefault="00000000">
            <w:pPr>
              <w:pStyle w:val="LumisTabela"/>
            </w:pPr>
            <w:r>
              <w:rPr>
                <w:b/>
              </w:rPr>
              <w:t xml:space="preserve">Bases </w:t>
            </w:r>
            <w:proofErr w:type="spellStart"/>
            <w:r>
              <w:rPr>
                <w:b/>
              </w:rPr>
              <w:t>clínicas</w:t>
            </w:r>
            <w:proofErr w:type="spellEnd"/>
            <w:r>
              <w:t xml:space="preserve"> (7,8% do custo)</w:t>
            </w:r>
          </w:p>
        </w:tc>
        <w:tc>
          <w:tcPr>
            <w:tcW w:w="1587" w:type="dxa"/>
          </w:tcPr>
          <w:p w14:paraId="059CFD5B" w14:textId="77777777" w:rsidR="00086059" w:rsidRDefault="00000000">
            <w:pPr>
              <w:pStyle w:val="LumisTabela"/>
            </w:pPr>
            <w:r>
              <w:t>Renovação anual automática</w:t>
            </w:r>
          </w:p>
        </w:tc>
        <w:tc>
          <w:tcPr>
            <w:tcW w:w="3005" w:type="dxa"/>
          </w:tcPr>
          <w:p w14:paraId="72B048D3" w14:textId="77777777" w:rsidR="00086059" w:rsidRPr="00962BC3" w:rsidRDefault="00000000">
            <w:pPr>
              <w:pStyle w:val="LumisTabela"/>
              <w:rPr>
                <w:lang w:val="pt-BR"/>
              </w:rPr>
            </w:pPr>
            <w:r w:rsidRPr="00962BC3">
              <w:rPr>
                <w:lang w:val="pt-BR"/>
              </w:rPr>
              <w:t>Reajuste sem teto; a renovação automática dificulta a saída.</w:t>
            </w:r>
          </w:p>
        </w:tc>
        <w:tc>
          <w:tcPr>
            <w:tcW w:w="2778" w:type="dxa"/>
          </w:tcPr>
          <w:p w14:paraId="6FE6AC67" w14:textId="77777777" w:rsidR="00086059" w:rsidRPr="00962BC3" w:rsidRDefault="00000000">
            <w:pPr>
              <w:pStyle w:val="LumisTabela"/>
              <w:rPr>
                <w:lang w:val="pt-BR"/>
              </w:rPr>
            </w:pPr>
            <w:r w:rsidRPr="00962BC3">
              <w:rPr>
                <w:lang w:val="pt-BR"/>
              </w:rPr>
              <w:t>Negociar teto de reajuste na renovação.</w:t>
            </w:r>
          </w:p>
        </w:tc>
      </w:tr>
    </w:tbl>
    <w:p w14:paraId="28291A3D" w14:textId="77777777" w:rsidR="00086059" w:rsidRPr="00962BC3" w:rsidRDefault="00000000">
      <w:pPr>
        <w:pStyle w:val="Legenda"/>
        <w:rPr>
          <w:lang w:val="pt-BR"/>
        </w:rPr>
      </w:pPr>
      <w:r w:rsidRPr="00962BC3">
        <w:rPr>
          <w:lang w:val="pt-BR"/>
        </w:rPr>
        <w:t>Tabela 2. As cinco dependências, seus prazos e o que recomendamos. As respostas ainda não são praticadas pela Lumis. Fonte: Cap. 2, Anexo A; cálculos da equipe.</w:t>
      </w:r>
    </w:p>
    <w:p w14:paraId="4BE05207" w14:textId="77777777" w:rsidR="00086059" w:rsidRPr="00962BC3" w:rsidRDefault="00000000">
      <w:pPr>
        <w:pStyle w:val="Ttulo1"/>
        <w:rPr>
          <w:lang w:val="pt-BR"/>
        </w:rPr>
      </w:pPr>
      <w:r w:rsidRPr="00962BC3">
        <w:rPr>
          <w:lang w:val="pt-BR"/>
        </w:rPr>
        <w:t>4. O que é difícil de copiar</w:t>
      </w:r>
    </w:p>
    <w:p w14:paraId="77B7B566" w14:textId="77777777" w:rsidR="00086059" w:rsidRPr="00962BC3" w:rsidRDefault="00000000">
      <w:pPr>
        <w:rPr>
          <w:lang w:val="pt-BR"/>
        </w:rPr>
      </w:pPr>
      <w:r w:rsidRPr="00962BC3">
        <w:rPr>
          <w:lang w:val="pt-BR"/>
        </w:rPr>
        <w:t>Partimos da leitura de que o diferencial está na combinação de produto, integração e conhecimento. Testada contra os dados, nenhuma parte dela é hoje difícil de copiar. As duas que mais valem, a base histórica e a validação clínica, estão travadas.</w:t>
      </w:r>
    </w:p>
    <w:p w14:paraId="5DB7089B" w14:textId="77777777" w:rsidR="00086059" w:rsidRDefault="00000000">
      <w:pPr>
        <w:keepNext/>
        <w:jc w:val="center"/>
      </w:pPr>
      <w:r>
        <w:rPr>
          <w:noProof/>
        </w:rPr>
        <w:drawing>
          <wp:inline distT="0" distB="0" distL="0" distR="0" wp14:anchorId="527E1B83" wp14:editId="4AF25299">
            <wp:extent cx="5760000" cy="2755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piar_simples.png"/>
                    <pic:cNvPicPr/>
                  </pic:nvPicPr>
                  <pic:blipFill>
                    <a:blip r:embed="rId11"/>
                    <a:stretch>
                      <a:fillRect/>
                    </a:stretch>
                  </pic:blipFill>
                  <pic:spPr>
                    <a:xfrm>
                      <a:off x="0" y="0"/>
                      <a:ext cx="5760000" cy="2755276"/>
                    </a:xfrm>
                    <a:prstGeom prst="rect">
                      <a:avLst/>
                    </a:prstGeom>
                  </pic:spPr>
                </pic:pic>
              </a:graphicData>
            </a:graphic>
          </wp:inline>
        </w:drawing>
      </w:r>
    </w:p>
    <w:p w14:paraId="51D21A91" w14:textId="77777777" w:rsidR="00086059" w:rsidRPr="00962BC3" w:rsidRDefault="00000000">
      <w:pPr>
        <w:pStyle w:val="Legenda"/>
        <w:rPr>
          <w:lang w:val="pt-BR"/>
        </w:rPr>
      </w:pPr>
      <w:r w:rsidRPr="00962BC3">
        <w:rPr>
          <w:lang w:val="pt-BR"/>
        </w:rPr>
        <w:t>Figura 4. Cada elemento da combinação testado contra os dados. Fonte: Cap. 2, Anexo A; classificação da equipe.</w:t>
      </w:r>
    </w:p>
    <w:p w14:paraId="04521AF9" w14:textId="77777777" w:rsidR="00086059" w:rsidRPr="00962BC3" w:rsidRDefault="00000000">
      <w:pPr>
        <w:keepNext/>
        <w:rPr>
          <w:lang w:val="pt-BR"/>
        </w:rPr>
      </w:pPr>
      <w:r w:rsidRPr="00962BC3">
        <w:rPr>
          <w:lang w:val="pt-BR"/>
        </w:rPr>
        <w:t>A base histórica parece o ativo mais forte, mas a maior parte dela não é exclusiva: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835"/>
        <w:gridCol w:w="1134"/>
        <w:gridCol w:w="5102"/>
      </w:tblGrid>
      <w:tr w:rsidR="00086059" w14:paraId="2BF06833" w14:textId="77777777">
        <w:trPr>
          <w:cantSplit/>
          <w:tblHeader/>
          <w:jc w:val="center"/>
        </w:trPr>
        <w:tc>
          <w:tcPr>
            <w:tcW w:w="2835" w:type="dxa"/>
            <w:shd w:val="clear" w:color="auto" w:fill="0F2D3A"/>
          </w:tcPr>
          <w:p w14:paraId="5CE18451" w14:textId="77777777" w:rsidR="00086059" w:rsidRPr="00962BC3" w:rsidRDefault="00000000">
            <w:pPr>
              <w:pStyle w:val="LumisTabela"/>
              <w:keepNext/>
              <w:rPr>
                <w:lang w:val="pt-BR"/>
              </w:rPr>
            </w:pPr>
            <w:r w:rsidRPr="00962BC3">
              <w:rPr>
                <w:b/>
                <w:color w:val="FFFFFF"/>
                <w:lang w:val="pt-BR"/>
              </w:rPr>
              <w:t>Parte da base (22 mi de registros)</w:t>
            </w:r>
          </w:p>
        </w:tc>
        <w:tc>
          <w:tcPr>
            <w:tcW w:w="1134" w:type="dxa"/>
            <w:shd w:val="clear" w:color="auto" w:fill="0F2D3A"/>
          </w:tcPr>
          <w:p w14:paraId="529E0AAA" w14:textId="77777777" w:rsidR="00086059" w:rsidRDefault="00000000">
            <w:pPr>
              <w:pStyle w:val="LumisTabela"/>
              <w:keepNext/>
            </w:pPr>
            <w:r>
              <w:rPr>
                <w:b/>
                <w:color w:val="FFFFFF"/>
              </w:rPr>
              <w:t>Peso</w:t>
            </w:r>
          </w:p>
        </w:tc>
        <w:tc>
          <w:tcPr>
            <w:tcW w:w="5102" w:type="dxa"/>
            <w:shd w:val="clear" w:color="auto" w:fill="0F2D3A"/>
          </w:tcPr>
          <w:p w14:paraId="140C0389" w14:textId="77777777" w:rsidR="00086059" w:rsidRDefault="00000000">
            <w:pPr>
              <w:pStyle w:val="LumisTabela"/>
              <w:keepNext/>
            </w:pPr>
            <w:r>
              <w:rPr>
                <w:b/>
                <w:color w:val="FFFFFF"/>
              </w:rPr>
              <w:t>É exclusiva da Lumis?</w:t>
            </w:r>
          </w:p>
        </w:tc>
      </w:tr>
      <w:tr w:rsidR="00086059" w:rsidRPr="00962BC3" w14:paraId="16154C40" w14:textId="77777777">
        <w:trPr>
          <w:cantSplit/>
          <w:jc w:val="center"/>
        </w:trPr>
        <w:tc>
          <w:tcPr>
            <w:tcW w:w="2835" w:type="dxa"/>
          </w:tcPr>
          <w:p w14:paraId="40DA46AB" w14:textId="77777777" w:rsidR="00086059" w:rsidRDefault="00000000">
            <w:pPr>
              <w:pStyle w:val="LumisTabela"/>
            </w:pPr>
            <w:r>
              <w:t>DATASUS</w:t>
            </w:r>
          </w:p>
        </w:tc>
        <w:tc>
          <w:tcPr>
            <w:tcW w:w="1134" w:type="dxa"/>
          </w:tcPr>
          <w:p w14:paraId="10D5D54E" w14:textId="77777777" w:rsidR="00086059" w:rsidRDefault="00000000">
            <w:pPr>
              <w:pStyle w:val="LumisTabela"/>
            </w:pPr>
            <w:r>
              <w:t>63,6%</w:t>
            </w:r>
          </w:p>
        </w:tc>
        <w:tc>
          <w:tcPr>
            <w:tcW w:w="5102" w:type="dxa"/>
          </w:tcPr>
          <w:p w14:paraId="7664DA3D" w14:textId="77777777" w:rsidR="00086059" w:rsidRPr="00962BC3" w:rsidRDefault="00000000">
            <w:pPr>
              <w:pStyle w:val="LumisTabela"/>
              <w:rPr>
                <w:lang w:val="pt-BR"/>
              </w:rPr>
            </w:pPr>
            <w:r w:rsidRPr="00962BC3">
              <w:rPr>
                <w:lang w:val="pt-BR"/>
              </w:rPr>
              <w:t>Não. É pública, e qualquer concorrente pode usar.</w:t>
            </w:r>
          </w:p>
        </w:tc>
      </w:tr>
      <w:tr w:rsidR="00086059" w:rsidRPr="00962BC3" w14:paraId="70CDA8CE" w14:textId="77777777">
        <w:trPr>
          <w:cantSplit/>
          <w:jc w:val="center"/>
        </w:trPr>
        <w:tc>
          <w:tcPr>
            <w:tcW w:w="2835" w:type="dxa"/>
            <w:shd w:val="clear" w:color="auto" w:fill="F1F6F4"/>
          </w:tcPr>
          <w:p w14:paraId="4A1AF0EA" w14:textId="77777777" w:rsidR="00086059" w:rsidRDefault="00000000">
            <w:pPr>
              <w:pStyle w:val="LumisTabela"/>
            </w:pPr>
            <w:r>
              <w:t xml:space="preserve">Dados </w:t>
            </w:r>
            <w:proofErr w:type="spellStart"/>
            <w:r>
              <w:t>sintéticos</w:t>
            </w:r>
            <w:proofErr w:type="spellEnd"/>
          </w:p>
        </w:tc>
        <w:tc>
          <w:tcPr>
            <w:tcW w:w="1134" w:type="dxa"/>
            <w:shd w:val="clear" w:color="auto" w:fill="F1F6F4"/>
          </w:tcPr>
          <w:p w14:paraId="06992DA8" w14:textId="77777777" w:rsidR="00086059" w:rsidRDefault="00000000">
            <w:pPr>
              <w:pStyle w:val="LumisTabela"/>
            </w:pPr>
            <w:r>
              <w:t>9,5%</w:t>
            </w:r>
          </w:p>
        </w:tc>
        <w:tc>
          <w:tcPr>
            <w:tcW w:w="5102" w:type="dxa"/>
            <w:shd w:val="clear" w:color="auto" w:fill="F1F6F4"/>
          </w:tcPr>
          <w:p w14:paraId="3D79480B" w14:textId="77777777" w:rsidR="00086059" w:rsidRPr="00962BC3" w:rsidRDefault="00000000">
            <w:pPr>
              <w:pStyle w:val="LumisTabela"/>
              <w:rPr>
                <w:lang w:val="pt-BR"/>
              </w:rPr>
            </w:pPr>
            <w:r w:rsidRPr="00962BC3">
              <w:rPr>
                <w:lang w:val="pt-BR"/>
              </w:rPr>
              <w:t>Não. Foram gerados internamente, e outro consegue gerar também.</w:t>
            </w:r>
          </w:p>
        </w:tc>
      </w:tr>
      <w:tr w:rsidR="00086059" w:rsidRPr="00962BC3" w14:paraId="30F2C819" w14:textId="77777777">
        <w:trPr>
          <w:cantSplit/>
          <w:jc w:val="center"/>
        </w:trPr>
        <w:tc>
          <w:tcPr>
            <w:tcW w:w="2835" w:type="dxa"/>
          </w:tcPr>
          <w:p w14:paraId="1CD1ECBC" w14:textId="77777777" w:rsidR="00086059" w:rsidRDefault="00000000">
            <w:pPr>
              <w:pStyle w:val="LumisTabela"/>
            </w:pPr>
            <w:r>
              <w:t xml:space="preserve">Dados de </w:t>
            </w:r>
            <w:proofErr w:type="spellStart"/>
            <w:r>
              <w:t>clientes</w:t>
            </w:r>
            <w:proofErr w:type="spellEnd"/>
          </w:p>
        </w:tc>
        <w:tc>
          <w:tcPr>
            <w:tcW w:w="1134" w:type="dxa"/>
          </w:tcPr>
          <w:p w14:paraId="3C73B28D" w14:textId="77777777" w:rsidR="00086059" w:rsidRDefault="00000000">
            <w:pPr>
              <w:pStyle w:val="LumisTabela"/>
            </w:pPr>
            <w:r>
              <w:t>26,8%</w:t>
            </w:r>
          </w:p>
        </w:tc>
        <w:tc>
          <w:tcPr>
            <w:tcW w:w="5102" w:type="dxa"/>
          </w:tcPr>
          <w:p w14:paraId="3D95A549" w14:textId="77777777" w:rsidR="00086059" w:rsidRPr="00962BC3" w:rsidRDefault="00000000">
            <w:pPr>
              <w:pStyle w:val="LumisTabela"/>
              <w:rPr>
                <w:lang w:val="pt-BR"/>
              </w:rPr>
            </w:pPr>
            <w:r w:rsidRPr="00962BC3">
              <w:rPr>
                <w:lang w:val="pt-BR"/>
              </w:rPr>
              <w:t>Sim. É aqui que está o valor possível, mas com as travas abaixo.</w:t>
            </w:r>
          </w:p>
        </w:tc>
      </w:tr>
    </w:tbl>
    <w:p w14:paraId="6CF3341B" w14:textId="77777777" w:rsidR="00086059" w:rsidRPr="00962BC3" w:rsidRDefault="00000000">
      <w:pPr>
        <w:pStyle w:val="Legenda"/>
        <w:rPr>
          <w:lang w:val="pt-BR"/>
        </w:rPr>
      </w:pPr>
      <w:r w:rsidRPr="00962BC3">
        <w:rPr>
          <w:lang w:val="pt-BR"/>
        </w:rPr>
        <w:t>Tabela 3. Composição da base de treinamento. Fonte: Cap. 2, Quadro 7.</w:t>
      </w:r>
    </w:p>
    <w:p w14:paraId="4922E585" w14:textId="77777777" w:rsidR="00086059" w:rsidRPr="00962BC3" w:rsidRDefault="00000000">
      <w:pPr>
        <w:rPr>
          <w:lang w:val="pt-BR"/>
        </w:rPr>
      </w:pPr>
      <w:r w:rsidRPr="00962BC3">
        <w:rPr>
          <w:lang w:val="pt-BR"/>
        </w:rPr>
        <w:lastRenderedPageBreak/>
        <w:t>Os dados de clientes têm quatro travas:</w:t>
      </w:r>
    </w:p>
    <w:p w14:paraId="5ACC06F1" w14:textId="77777777" w:rsidR="00086059" w:rsidRPr="00962BC3" w:rsidRDefault="00000000">
      <w:pPr>
        <w:pStyle w:val="Commarcadores"/>
        <w:rPr>
          <w:lang w:val="pt-BR"/>
        </w:rPr>
      </w:pPr>
      <w:r w:rsidRPr="00962BC3">
        <w:rPr>
          <w:b/>
          <w:lang w:val="pt-BR"/>
        </w:rPr>
        <w:t>Autorização:</w:t>
      </w:r>
      <w:r w:rsidRPr="00962BC3">
        <w:rPr>
          <w:lang w:val="pt-BR"/>
        </w:rPr>
        <w:t xml:space="preserve"> 35,4% deles têm autorização fraca, e nenhum dos seis contratos de dados passou por revisão jurídica. Um dado que talvez não possa ser usado não protege a Lumis.</w:t>
      </w:r>
    </w:p>
    <w:p w14:paraId="60332D68" w14:textId="77777777" w:rsidR="00086059" w:rsidRPr="00962BC3" w:rsidRDefault="00000000">
      <w:pPr>
        <w:pStyle w:val="Commarcadores"/>
        <w:rPr>
          <w:lang w:val="pt-BR"/>
        </w:rPr>
      </w:pPr>
      <w:r w:rsidRPr="00962BC3">
        <w:rPr>
          <w:b/>
          <w:lang w:val="pt-BR"/>
        </w:rPr>
        <w:t>Concentração:</w:t>
      </w:r>
      <w:r w:rsidRPr="00962BC3">
        <w:rPr>
          <w:lang w:val="pt-BR"/>
        </w:rPr>
        <w:t xml:space="preserve"> só 2 dos 24 clientes de saúde fornecem dados, e cerca de três quartos do dado clínico de clientes vêm de um único cliente, a Rede </w:t>
      </w:r>
      <w:proofErr w:type="spellStart"/>
      <w:r w:rsidRPr="00962BC3">
        <w:rPr>
          <w:lang w:val="pt-BR"/>
        </w:rPr>
        <w:t>Sanare</w:t>
      </w:r>
      <w:proofErr w:type="spellEnd"/>
      <w:r w:rsidRPr="00962BC3">
        <w:rPr>
          <w:lang w:val="pt-BR"/>
        </w:rPr>
        <w:t>.</w:t>
      </w:r>
    </w:p>
    <w:p w14:paraId="2661D12A" w14:textId="77777777" w:rsidR="00086059" w:rsidRPr="00962BC3" w:rsidRDefault="00000000">
      <w:pPr>
        <w:pStyle w:val="Commarcadores"/>
        <w:rPr>
          <w:lang w:val="pt-BR"/>
        </w:rPr>
      </w:pPr>
      <w:r w:rsidRPr="00962BC3">
        <w:rPr>
          <w:b/>
          <w:lang w:val="pt-BR"/>
        </w:rPr>
        <w:t>Escala:</w:t>
      </w:r>
      <w:r w:rsidRPr="00962BC3">
        <w:rPr>
          <w:lang w:val="pt-BR"/>
        </w:rPr>
        <w:t xml:space="preserve"> quem é dono do prontuário, como a Aster com 210 hospitais, tem acesso a muito mais dados.</w:t>
      </w:r>
    </w:p>
    <w:p w14:paraId="11A1FEB2" w14:textId="77777777" w:rsidR="00086059" w:rsidRPr="00962BC3" w:rsidRDefault="00000000">
      <w:pPr>
        <w:pStyle w:val="Commarcadores"/>
        <w:rPr>
          <w:lang w:val="pt-BR"/>
        </w:rPr>
      </w:pPr>
      <w:r w:rsidRPr="00962BC3">
        <w:rPr>
          <w:b/>
          <w:lang w:val="pt-BR"/>
        </w:rPr>
        <w:t>Viés:</w:t>
      </w:r>
      <w:r w:rsidRPr="00962BC3">
        <w:rPr>
          <w:lang w:val="pt-BR"/>
        </w:rPr>
        <w:t xml:space="preserve"> é dessa base que vem o viés identificado na Fase 1. Usada como está, ela repete os 31,8% de falso negativo em idosos de CEP D/E.</w:t>
      </w:r>
    </w:p>
    <w:p w14:paraId="0EB49C41" w14:textId="77777777" w:rsidR="00086059" w:rsidRDefault="00000000">
      <w:r w:rsidRPr="00962BC3">
        <w:rPr>
          <w:lang w:val="pt-BR"/>
        </w:rPr>
        <w:t xml:space="preserve">Os 4 anos de operação contam na experiência da equipe, que é moderadamente difícil de copiar, mas sai da empresa com as pessoas. O que pode ter mais valor é o histórico dos dados de clientes, de 2019 a 2026, porque pode registrar a priorização clínica brasileira junto com o desfecho, algo que nenhum fornecedor de modelo tem </w:t>
      </w:r>
      <w:r w:rsidRPr="00962BC3">
        <w:rPr>
          <w:rStyle w:val="TagHiptese"/>
          <w:lang w:val="pt-BR"/>
        </w:rPr>
        <w:t>[hipótese]</w:t>
      </w:r>
      <w:r w:rsidRPr="00962BC3">
        <w:rPr>
          <w:lang w:val="pt-BR"/>
        </w:rPr>
        <w:t xml:space="preserve">. Esse histórico só vira barreira com direito de uso limpo e prova auditável de desempenho por subgrupo. </w:t>
      </w:r>
      <w:r>
        <w:t xml:space="preserve">Para </w:t>
      </w:r>
      <w:proofErr w:type="spellStart"/>
      <w:r>
        <w:t>chegar</w:t>
      </w:r>
      <w:proofErr w:type="spellEnd"/>
      <w:r>
        <w:t xml:space="preserve"> </w:t>
      </w:r>
      <w:proofErr w:type="spellStart"/>
      <w:r>
        <w:t>lá</w:t>
      </w:r>
      <w:proofErr w:type="spellEnd"/>
      <w:r>
        <w:t>:</w:t>
      </w:r>
    </w:p>
    <w:p w14:paraId="41DB15D2" w14:textId="77777777" w:rsidR="00086059" w:rsidRPr="00962BC3" w:rsidRDefault="00000000">
      <w:pPr>
        <w:pStyle w:val="Commarcadores"/>
        <w:rPr>
          <w:lang w:val="pt-BR"/>
        </w:rPr>
      </w:pPr>
      <w:r w:rsidRPr="00962BC3">
        <w:rPr>
          <w:b/>
          <w:lang w:val="pt-BR"/>
        </w:rPr>
        <w:t>Regularizar os contratos de dados</w:t>
      </w:r>
      <w:r w:rsidRPr="00962BC3">
        <w:rPr>
          <w:lang w:val="pt-BR"/>
        </w:rPr>
        <w:t xml:space="preserve"> antes de 12/2026 e 03/2027 e estender o direito de uso aos demais clientes.</w:t>
      </w:r>
    </w:p>
    <w:p w14:paraId="0CE0F993" w14:textId="77777777" w:rsidR="00086059" w:rsidRPr="00962BC3" w:rsidRDefault="00000000">
      <w:pPr>
        <w:pStyle w:val="Commarcadores"/>
        <w:rPr>
          <w:lang w:val="pt-BR"/>
        </w:rPr>
      </w:pPr>
      <w:r w:rsidRPr="00962BC3">
        <w:rPr>
          <w:b/>
          <w:lang w:val="pt-BR"/>
        </w:rPr>
        <w:t>Trocar os 94% por validação em campo</w:t>
      </w:r>
      <w:r w:rsidRPr="00962BC3">
        <w:rPr>
          <w:lang w:val="pt-BR"/>
        </w:rPr>
        <w:t>, por subgrupo e publicada, o que também cumpre nosso compromisso de Não Amplificação de Danos (Fase 1).</w:t>
      </w:r>
    </w:p>
    <w:p w14:paraId="2DD33F8A" w14:textId="77777777" w:rsidR="00086059" w:rsidRPr="00962BC3" w:rsidRDefault="00000000">
      <w:pPr>
        <w:pStyle w:val="Commarcadores"/>
        <w:rPr>
          <w:lang w:val="pt-BR"/>
        </w:rPr>
      </w:pPr>
      <w:r w:rsidRPr="00962BC3">
        <w:rPr>
          <w:b/>
          <w:lang w:val="pt-BR"/>
        </w:rPr>
        <w:t>Focar em hospitais e seguradoras médios</w:t>
      </w:r>
      <w:r w:rsidRPr="00962BC3">
        <w:rPr>
          <w:lang w:val="pt-BR"/>
        </w:rPr>
        <w:t>, onde a integração vale mais e o cliente não faz a própria IA.</w:t>
      </w:r>
    </w:p>
    <w:p w14:paraId="1C396162" w14:textId="77777777" w:rsidR="00086059" w:rsidRPr="00962BC3" w:rsidRDefault="00000000">
      <w:pPr>
        <w:pStyle w:val="Ttulo1"/>
        <w:rPr>
          <w:lang w:val="pt-BR"/>
        </w:rPr>
      </w:pPr>
      <w:r w:rsidRPr="00962BC3">
        <w:rPr>
          <w:lang w:val="pt-BR"/>
        </w:rPr>
        <w:t>5. O que isso muda na tese</w:t>
      </w:r>
    </w:p>
    <w:p w14:paraId="6059B4AE" w14:textId="77777777" w:rsidR="00086059" w:rsidRPr="00962BC3" w:rsidRDefault="00000000">
      <w:pPr>
        <w:rPr>
          <w:lang w:val="pt-BR"/>
        </w:rPr>
      </w:pPr>
      <w:r w:rsidRPr="00962BC3">
        <w:rPr>
          <w:lang w:val="pt-BR"/>
        </w:rPr>
        <w:t>A tese para o Vetor Capital precisa mostrar o que a Lumis vai construir para merecer 10,3 vezes o ARR. A Entrega 2 detalha contratos e métricas, e a Entrega 3 define quem responde por cada decisão sobre fornecedores.</w:t>
      </w:r>
    </w:p>
    <w:p w14:paraId="6C756D5F" w14:textId="77777777" w:rsidR="00086059" w:rsidRPr="00962BC3" w:rsidRDefault="00000000">
      <w:pPr>
        <w:pStyle w:val="Ttulo2"/>
        <w:rPr>
          <w:lang w:val="pt-BR"/>
        </w:rPr>
      </w:pPr>
      <w:r w:rsidRPr="00962BC3">
        <w:rPr>
          <w:lang w:val="pt-BR"/>
        </w:rPr>
        <w:t>Referências</w:t>
      </w:r>
    </w:p>
    <w:p w14:paraId="6FF1C082" w14:textId="77777777" w:rsidR="00086059" w:rsidRPr="00962BC3" w:rsidRDefault="00000000">
      <w:pPr>
        <w:pStyle w:val="LumisNota"/>
        <w:rPr>
          <w:lang w:val="pt-BR"/>
        </w:rPr>
      </w:pPr>
      <w:r w:rsidRPr="00962BC3">
        <w:rPr>
          <w:lang w:val="pt-BR"/>
        </w:rPr>
        <w:t>1. MV. MV se torna a 5ª maior fornecedora global de prontuário eletrônico hospitalar (dados KLAS 2025). 4 ago. 2025. Disponível em: https://mv.com.br/imprensa/mv-se-torna-a-5a-maior-fornecedora-global-de-prontuario-eletronico-hospitalar.</w:t>
      </w:r>
    </w:p>
    <w:p w14:paraId="287323C1" w14:textId="77777777" w:rsidR="00086059" w:rsidRPr="00962BC3" w:rsidRDefault="00000000">
      <w:pPr>
        <w:pStyle w:val="LumisNota"/>
        <w:rPr>
          <w:lang w:val="pt-BR"/>
        </w:rPr>
      </w:pPr>
      <w:r w:rsidRPr="00962BC3">
        <w:rPr>
          <w:lang w:val="pt-BR"/>
        </w:rPr>
        <w:t>2. CONVERGÊNCIA DIGITAL. Hospital Israelita Albert Einstein: algoritmos, IA e inovação salvam vidas. 8 jan. 2025. Disponível em: https://convergenciadigital.com.br/mercado/hospital-israelita-albert-einstein-algoritmos-ia-e-inovacao-salvam-vidas/.</w:t>
      </w:r>
    </w:p>
    <w:p w14:paraId="642F6593" w14:textId="77777777" w:rsidR="00086059" w:rsidRDefault="00000000">
      <w:pPr>
        <w:pStyle w:val="LumisNota"/>
      </w:pPr>
      <w:r>
        <w:t>3. WONG, A. et al. External Validation of a Widely Implemented Proprietary Sepsis Prediction Model in Hospitalized Patients. JAMA Internal Medicine, v. 181, n. 8, p. 1065-1070, 2021.</w:t>
      </w:r>
    </w:p>
    <w:p w14:paraId="095896AA" w14:textId="77777777" w:rsidR="00086059" w:rsidRPr="00962BC3" w:rsidRDefault="00000000">
      <w:pPr>
        <w:pStyle w:val="LumisNota"/>
        <w:rPr>
          <w:lang w:val="pt-BR"/>
        </w:rPr>
      </w:pPr>
      <w:r>
        <w:t xml:space="preserve">4. TECHCRUNCH. Anthropic hikes the price of its Haiku model. </w:t>
      </w:r>
      <w:r w:rsidRPr="00962BC3">
        <w:rPr>
          <w:lang w:val="pt-BR"/>
        </w:rPr>
        <w:t>4 nov. 2024. Disponível em: https://techcrunch.com/2024/11/04/anthropic-hikes-the-price-of-its-haiku-model.</w:t>
      </w:r>
    </w:p>
    <w:p w14:paraId="2698BE91" w14:textId="77777777" w:rsidR="00086059" w:rsidRPr="00962BC3" w:rsidRDefault="00000000">
      <w:pPr>
        <w:pStyle w:val="LumisNota"/>
        <w:rPr>
          <w:lang w:val="pt-BR"/>
        </w:rPr>
      </w:pPr>
      <w:r>
        <w:t xml:space="preserve">SHAPIRO, C.; VARIAN, H. R. Information Rules: A Strategic Guide to the Network Economy. </w:t>
      </w:r>
      <w:r w:rsidRPr="00962BC3">
        <w:rPr>
          <w:lang w:val="pt-BR"/>
        </w:rPr>
        <w:t xml:space="preserve">Boston: Harvard Business </w:t>
      </w:r>
      <w:proofErr w:type="spellStart"/>
      <w:r w:rsidRPr="00962BC3">
        <w:rPr>
          <w:lang w:val="pt-BR"/>
        </w:rPr>
        <w:t>School</w:t>
      </w:r>
      <w:proofErr w:type="spellEnd"/>
      <w:r w:rsidRPr="00962BC3">
        <w:rPr>
          <w:lang w:val="pt-BR"/>
        </w:rPr>
        <w:t xml:space="preserve"> Press, 1999.</w:t>
      </w:r>
    </w:p>
    <w:p w14:paraId="4CD38D1A" w14:textId="77777777" w:rsidR="00086059" w:rsidRPr="00962BC3" w:rsidRDefault="00000000">
      <w:pPr>
        <w:pStyle w:val="LumisNota"/>
        <w:rPr>
          <w:lang w:val="pt-BR"/>
        </w:rPr>
      </w:pPr>
      <w:r w:rsidRPr="00962BC3">
        <w:rPr>
          <w:lang w:val="pt-BR"/>
        </w:rPr>
        <w:t>Dados da Lumis: Cap. 2, Anexo A. Margens e cenários são cálculos da equipe a partir do Quadro 4. As empresas reais citadas são análogos e não fazem parte do caso Lumis.</w:t>
      </w:r>
    </w:p>
    <w:p w14:paraId="6AD902C6" w14:textId="77777777" w:rsidR="00086059" w:rsidRPr="00962BC3" w:rsidRDefault="00000000">
      <w:pPr>
        <w:rPr>
          <w:lang w:val="pt-BR"/>
        </w:rPr>
      </w:pPr>
      <w:r w:rsidRPr="00962BC3">
        <w:rPr>
          <w:lang w:val="pt-BR"/>
        </w:rPr>
        <w:br w:type="page"/>
      </w:r>
    </w:p>
    <w:p w14:paraId="224C4817" w14:textId="77777777" w:rsidR="00086059" w:rsidRPr="00962BC3" w:rsidRDefault="00000000">
      <w:pPr>
        <w:pStyle w:val="Ttulo1"/>
        <w:rPr>
          <w:lang w:val="pt-BR"/>
        </w:rPr>
      </w:pPr>
      <w:r w:rsidRPr="00962BC3">
        <w:rPr>
          <w:lang w:val="pt-BR"/>
        </w:rPr>
        <w:lastRenderedPageBreak/>
        <w:t>Apêndice A: Uso de IA generativa na pesquisa e na redação</w:t>
      </w:r>
    </w:p>
    <w:p w14:paraId="63764C08" w14:textId="77777777" w:rsidR="00086059" w:rsidRPr="00962BC3" w:rsidRDefault="00000000">
      <w:pPr>
        <w:rPr>
          <w:lang w:val="pt-BR"/>
        </w:rPr>
      </w:pPr>
      <w:r w:rsidRPr="00962BC3">
        <w:rPr>
          <w:b/>
          <w:lang w:val="pt-BR"/>
        </w:rPr>
        <w:t>Ferramenta e data:</w:t>
      </w:r>
      <w:r w:rsidRPr="00962BC3">
        <w:rPr>
          <w:lang w:val="pt-BR"/>
        </w:rPr>
        <w:t xml:space="preserve"> Claude </w:t>
      </w:r>
      <w:proofErr w:type="spellStart"/>
      <w:r w:rsidRPr="00962BC3">
        <w:rPr>
          <w:lang w:val="pt-BR"/>
        </w:rPr>
        <w:t>Code</w:t>
      </w:r>
      <w:proofErr w:type="spellEnd"/>
      <w:r w:rsidRPr="00962BC3">
        <w:rPr>
          <w:lang w:val="pt-BR"/>
        </w:rPr>
        <w:t xml:space="preserve"> (</w:t>
      </w:r>
      <w:proofErr w:type="spellStart"/>
      <w:r w:rsidRPr="00962BC3">
        <w:rPr>
          <w:lang w:val="pt-BR"/>
        </w:rPr>
        <w:t>Anthropic</w:t>
      </w:r>
      <w:proofErr w:type="spellEnd"/>
      <w:r w:rsidRPr="00962BC3">
        <w:rPr>
          <w:lang w:val="pt-BR"/>
        </w:rPr>
        <w:t>), em 05 e 06/10/2026, com subagentes autorizados a buscar e abrir páginas na web.</w:t>
      </w:r>
    </w:p>
    <w:p w14:paraId="4C4FB927" w14:textId="77777777" w:rsidR="00086059" w:rsidRPr="00962BC3" w:rsidRDefault="00000000">
      <w:pPr>
        <w:rPr>
          <w:lang w:val="pt-BR"/>
        </w:rPr>
      </w:pPr>
      <w:r w:rsidRPr="00962BC3">
        <w:rPr>
          <w:b/>
          <w:lang w:val="pt-BR"/>
        </w:rPr>
        <w:t>Método.</w:t>
      </w:r>
      <w:r w:rsidRPr="00962BC3">
        <w:rPr>
          <w:lang w:val="pt-BR"/>
        </w:rPr>
        <w:t xml:space="preserve"> A IA foi usada na pesquisa e como apoio à redação, com revisão e reescrita final da equipe. Cinco frentes de pesquisa rodaram em paralelo (camadas, concorrência, dependências, </w:t>
      </w:r>
      <w:proofErr w:type="spellStart"/>
      <w:r w:rsidRPr="00962BC3">
        <w:rPr>
          <w:lang w:val="pt-BR"/>
        </w:rPr>
        <w:t>defensabilidade</w:t>
      </w:r>
      <w:proofErr w:type="spellEnd"/>
      <w:r w:rsidRPr="00962BC3">
        <w:rPr>
          <w:lang w:val="pt-BR"/>
        </w:rPr>
        <w:t xml:space="preserve"> e cálculos), com o mesmo contexto (os Quadros 3 a 6 transcritos) e as mesmas regras:</w:t>
      </w:r>
    </w:p>
    <w:p w14:paraId="297EFCBD" w14:textId="77777777" w:rsidR="00086059" w:rsidRPr="00962BC3" w:rsidRDefault="00000000">
      <w:pPr>
        <w:pStyle w:val="Commarcadores"/>
        <w:rPr>
          <w:lang w:val="pt-BR"/>
        </w:rPr>
      </w:pPr>
      <w:r w:rsidRPr="00962BC3">
        <w:rPr>
          <w:lang w:val="pt-BR"/>
        </w:rPr>
        <w:t>não inventar números sobre a Lumis;</w:t>
      </w:r>
    </w:p>
    <w:p w14:paraId="07B2A3E6" w14:textId="77777777" w:rsidR="00086059" w:rsidRPr="00962BC3" w:rsidRDefault="00000000">
      <w:pPr>
        <w:pStyle w:val="Commarcadores"/>
        <w:rPr>
          <w:lang w:val="pt-BR"/>
        </w:rPr>
      </w:pPr>
      <w:r w:rsidRPr="00962BC3">
        <w:rPr>
          <w:lang w:val="pt-BR"/>
        </w:rPr>
        <w:t>não pesquisar as empresas fictícias e buscar, no lugar delas, análogos reais rotulados como tal;</w:t>
      </w:r>
    </w:p>
    <w:p w14:paraId="6B465BBC" w14:textId="77777777" w:rsidR="00086059" w:rsidRPr="00962BC3" w:rsidRDefault="00000000">
      <w:pPr>
        <w:pStyle w:val="Commarcadores"/>
        <w:rPr>
          <w:lang w:val="pt-BR"/>
        </w:rPr>
      </w:pPr>
      <w:r w:rsidRPr="00962BC3">
        <w:rPr>
          <w:lang w:val="pt-BR"/>
        </w:rPr>
        <w:t>citar fonte aberta para todo fato externo;</w:t>
      </w:r>
    </w:p>
    <w:p w14:paraId="053A2972" w14:textId="77777777" w:rsidR="00086059" w:rsidRPr="00962BC3" w:rsidRDefault="00000000">
      <w:pPr>
        <w:pStyle w:val="Commarcadores"/>
        <w:rPr>
          <w:lang w:val="pt-BR"/>
        </w:rPr>
      </w:pPr>
      <w:r w:rsidRPr="00962BC3">
        <w:rPr>
          <w:lang w:val="pt-BR"/>
        </w:rPr>
        <w:t>separar fato, dado do caso, cálculo e hipótese.</w:t>
      </w:r>
    </w:p>
    <w:p w14:paraId="2354AE7E" w14:textId="77777777" w:rsidR="00086059" w:rsidRPr="00962BC3" w:rsidRDefault="00000000">
      <w:pPr>
        <w:rPr>
          <w:lang w:val="pt-BR"/>
        </w:rPr>
      </w:pPr>
      <w:r w:rsidRPr="00962BC3">
        <w:rPr>
          <w:b/>
          <w:lang w:val="pt-BR"/>
        </w:rPr>
        <w:t>Verificação.</w:t>
      </w:r>
      <w:r w:rsidRPr="00962BC3">
        <w:rPr>
          <w:lang w:val="pt-BR"/>
        </w:rP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14:paraId="02B6D478" w14:textId="77777777" w:rsidR="00086059" w:rsidRPr="00962BC3" w:rsidRDefault="00000000">
      <w:pPr>
        <w:pStyle w:val="Ttulo2"/>
        <w:rPr>
          <w:lang w:val="pt-BR"/>
        </w:rPr>
      </w:pPr>
      <w:r w:rsidRPr="00962BC3">
        <w:rPr>
          <w:lang w:val="pt-BR"/>
        </w:rPr>
        <w:t>Prompt 1: Concorrentes diretos, indiretos e potenciais</w:t>
      </w:r>
    </w:p>
    <w:tbl>
      <w:tblPr>
        <w:tblW w:w="0" w:type="auto"/>
        <w:jc w:val="center"/>
        <w:tblLook w:val="04A0" w:firstRow="1" w:lastRow="0" w:firstColumn="1" w:lastColumn="0" w:noHBand="0" w:noVBand="1"/>
      </w:tblPr>
      <w:tblGrid>
        <w:gridCol w:w="9072"/>
      </w:tblGrid>
      <w:tr w:rsidR="00086059" w:rsidRPr="00962BC3" w14:paraId="4A4B40D2" w14:textId="77777777">
        <w:trPr>
          <w:jc w:val="center"/>
        </w:trPr>
        <w:tc>
          <w:tcPr>
            <w:tcW w:w="9072" w:type="dxa"/>
            <w:shd w:val="clear" w:color="auto" w:fill="F1F6F4"/>
          </w:tcPr>
          <w:p w14:paraId="3B01B804" w14:textId="77777777" w:rsidR="00086059" w:rsidRPr="00962BC3" w:rsidRDefault="00000000">
            <w:pPr>
              <w:pStyle w:val="LumisTabela"/>
              <w:rPr>
                <w:lang w:val="pt-BR"/>
              </w:rPr>
            </w:pPr>
            <w:r w:rsidRPr="00962BC3">
              <w:rPr>
                <w:lang w:val="pt-BR"/>
              </w:rPr>
              <w:t>## Tarefa: concorrentes diretos, indiretos e potenciais (incluindo quem tem distribuição)</w:t>
            </w:r>
          </w:p>
          <w:p w14:paraId="4BFD42AD" w14:textId="77777777" w:rsidR="00086059" w:rsidRPr="00962BC3" w:rsidRDefault="00000000">
            <w:pPr>
              <w:pStyle w:val="LumisTabela"/>
              <w:rPr>
                <w:lang w:val="pt-BR"/>
              </w:rPr>
            </w:pPr>
            <w:r w:rsidRPr="00962BC3">
              <w:rPr>
                <w:lang w:val="pt-BR"/>
              </w:rPr>
              <w:t>Levante análogos REAIS no Brasil (e globais com presença no Brasil) para cada tipo de participante do Quadro 6, e acrescente tipos que o quadro não lista:</w:t>
            </w:r>
          </w:p>
          <w:p w14:paraId="4DF3D3CB" w14:textId="77777777" w:rsidR="00086059" w:rsidRPr="00962BC3" w:rsidRDefault="00000000">
            <w:pPr>
              <w:pStyle w:val="LumisTabela"/>
              <w:rPr>
                <w:lang w:val="pt-BR"/>
              </w:rPr>
            </w:pPr>
            <w:r w:rsidRPr="00962BC3">
              <w:rPr>
                <w:lang w:val="pt-BR"/>
              </w:rPr>
              <w:t xml:space="preserve">- </w:t>
            </w:r>
            <w:proofErr w:type="gramStart"/>
            <w:r w:rsidRPr="00962BC3">
              <w:rPr>
                <w:lang w:val="pt-BR"/>
              </w:rPr>
              <w:t>sistemas</w:t>
            </w:r>
            <w:proofErr w:type="gramEnd"/>
            <w:r w:rsidRPr="00962BC3">
              <w:rPr>
                <w:lang w:val="pt-BR"/>
              </w:rPr>
              <w:t xml:space="preserve"> hospitalares/prontuário eletrônico (EHR/HIS) com IA embutida ou anunciada (ex.: verificar Epic, Oracle Health/</w:t>
            </w:r>
            <w:proofErr w:type="spellStart"/>
            <w:r w:rsidRPr="00962BC3">
              <w:rPr>
                <w:lang w:val="pt-BR"/>
              </w:rPr>
              <w:t>Cerner</w:t>
            </w:r>
            <w:proofErr w:type="spellEnd"/>
            <w:r w:rsidRPr="00962BC3">
              <w:rPr>
                <w:lang w:val="pt-BR"/>
              </w:rPr>
              <w:t xml:space="preserve">, Philips </w:t>
            </w:r>
            <w:proofErr w:type="spellStart"/>
            <w:r w:rsidRPr="00962BC3">
              <w:rPr>
                <w:lang w:val="pt-BR"/>
              </w:rPr>
              <w:t>Tasy</w:t>
            </w:r>
            <w:proofErr w:type="spellEnd"/>
            <w:r w:rsidRPr="00962BC3">
              <w:rPr>
                <w:lang w:val="pt-BR"/>
              </w:rPr>
              <w:t>, MV, TOTVS Saúde e outros com presença no Brasil): base instalada no Brasil, recursos de IA preditiva, triagem ou priorização anunciados, com fonte e data;</w:t>
            </w:r>
          </w:p>
          <w:p w14:paraId="1E10F0A2" w14:textId="77777777" w:rsidR="00086059" w:rsidRPr="00962BC3" w:rsidRDefault="00000000">
            <w:pPr>
              <w:pStyle w:val="LumisTabela"/>
              <w:rPr>
                <w:lang w:val="pt-BR"/>
              </w:rPr>
            </w:pPr>
            <w:r w:rsidRPr="00962BC3">
              <w:rPr>
                <w:lang w:val="pt-BR"/>
              </w:rPr>
              <w:t xml:space="preserve">- </w:t>
            </w:r>
            <w:proofErr w:type="gramStart"/>
            <w:r w:rsidRPr="00962BC3">
              <w:rPr>
                <w:lang w:val="pt-BR"/>
              </w:rPr>
              <w:t>healthtechs</w:t>
            </w:r>
            <w:proofErr w:type="gramEnd"/>
            <w:r w:rsidRPr="00962BC3">
              <w:rPr>
                <w:lang w:val="pt-BR"/>
              </w:rPr>
              <w:t xml:space="preserve"> brasileiras de IA clínica, triagem ou risco (confirme a existência e o produto de cada uma; não liste nomes sem fonte);</w:t>
            </w:r>
          </w:p>
          <w:p w14:paraId="0AEC412F" w14:textId="77777777" w:rsidR="00086059" w:rsidRPr="00962BC3" w:rsidRDefault="00000000">
            <w:pPr>
              <w:pStyle w:val="LumisTabela"/>
              <w:rPr>
                <w:lang w:val="pt-BR"/>
              </w:rPr>
            </w:pPr>
            <w:r w:rsidRPr="00962BC3">
              <w:rPr>
                <w:lang w:val="pt-BR"/>
              </w:rPr>
              <w:t xml:space="preserve">- BI e </w:t>
            </w:r>
            <w:proofErr w:type="spellStart"/>
            <w:r w:rsidRPr="00962BC3">
              <w:rPr>
                <w:lang w:val="pt-BR"/>
              </w:rPr>
              <w:t>analytics</w:t>
            </w:r>
            <w:proofErr w:type="spellEnd"/>
            <w:r w:rsidRPr="00962BC3">
              <w:rPr>
                <w:lang w:val="pt-BR"/>
              </w:rPr>
              <w:t xml:space="preserve"> hospitalar; consultorias e integradores que fazem IA sob medida em saúde;</w:t>
            </w:r>
          </w:p>
          <w:p w14:paraId="248D62BF" w14:textId="77777777" w:rsidR="00086059" w:rsidRPr="00962BC3" w:rsidRDefault="00000000">
            <w:pPr>
              <w:pStyle w:val="LumisTabela"/>
              <w:rPr>
                <w:lang w:val="pt-BR"/>
              </w:rPr>
            </w:pPr>
            <w:r w:rsidRPr="00962BC3">
              <w:rPr>
                <w:lang w:val="pt-BR"/>
              </w:rPr>
              <w:t xml:space="preserve">- </w:t>
            </w:r>
            <w:proofErr w:type="gramStart"/>
            <w:r w:rsidRPr="00962BC3">
              <w:rPr>
                <w:lang w:val="pt-BR"/>
              </w:rPr>
              <w:t>big</w:t>
            </w:r>
            <w:proofErr w:type="gramEnd"/>
            <w:r w:rsidRPr="00962BC3">
              <w:rPr>
                <w:lang w:val="pt-BR"/>
              </w:rPr>
              <w:t xml:space="preserve"> </w:t>
            </w:r>
            <w:proofErr w:type="spellStart"/>
            <w:r w:rsidRPr="00962BC3">
              <w:rPr>
                <w:lang w:val="pt-BR"/>
              </w:rPr>
              <w:t>techs</w:t>
            </w:r>
            <w:proofErr w:type="spellEnd"/>
            <w:r w:rsidRPr="00962BC3">
              <w:rPr>
                <w:lang w:val="pt-BR"/>
              </w:rPr>
              <w:t xml:space="preserve"> e provedores de modelo com produtos de saúde (ex.: verificar ofertas de Microsoft, Google, </w:t>
            </w:r>
            <w:proofErr w:type="spellStart"/>
            <w:r w:rsidRPr="00962BC3">
              <w:rPr>
                <w:lang w:val="pt-BR"/>
              </w:rPr>
              <w:t>Amazon</w:t>
            </w:r>
            <w:proofErr w:type="spellEnd"/>
            <w:r w:rsidRPr="00962BC3">
              <w:rPr>
                <w:lang w:val="pt-BR"/>
              </w:rPr>
              <w:t xml:space="preserve">, OpenAI, </w:t>
            </w:r>
            <w:proofErr w:type="spellStart"/>
            <w:r w:rsidRPr="00962BC3">
              <w:rPr>
                <w:lang w:val="pt-BR"/>
              </w:rPr>
              <w:t>Anthropic</w:t>
            </w:r>
            <w:proofErr w:type="spellEnd"/>
            <w:r w:rsidRPr="00962BC3">
              <w:rPr>
                <w:lang w:val="pt-BR"/>
              </w:rPr>
              <w:t xml:space="preserve"> voltadas à saúde, com data de lançamento);</w:t>
            </w:r>
          </w:p>
          <w:p w14:paraId="5F11F57A" w14:textId="77777777" w:rsidR="00086059" w:rsidRPr="00962BC3" w:rsidRDefault="00000000">
            <w:pPr>
              <w:pStyle w:val="LumisTabela"/>
              <w:rPr>
                <w:lang w:val="pt-BR"/>
              </w:rPr>
            </w:pPr>
            <w:r w:rsidRPr="00962BC3">
              <w:rPr>
                <w:lang w:val="pt-BR"/>
              </w:rPr>
              <w:t xml:space="preserve">- </w:t>
            </w:r>
            <w:proofErr w:type="gramStart"/>
            <w:r w:rsidRPr="00962BC3">
              <w:rPr>
                <w:lang w:val="pt-BR"/>
              </w:rPr>
              <w:t>concorrentes</w:t>
            </w:r>
            <w:proofErr w:type="gramEnd"/>
            <w:r w:rsidRPr="00962BC3">
              <w:rPr>
                <w:lang w:val="pt-BR"/>
              </w:rPr>
              <w:t xml:space="preserve"> nos outros dois segmentos da Lumis (seguradoras: classificação de sinistros; bancos: risco de crédito), pois 14 das 38 contas estão fora da saúde (Quadro 3).</w:t>
            </w:r>
          </w:p>
          <w:p w14:paraId="4F033D15" w14:textId="77777777" w:rsidR="00086059" w:rsidRPr="00962BC3" w:rsidRDefault="00000000">
            <w:pPr>
              <w:pStyle w:val="LumisTabela"/>
              <w:rPr>
                <w:lang w:val="pt-BR"/>
              </w:rPr>
            </w:pPr>
            <w:r w:rsidRPr="00962BC3">
              <w:rPr>
                <w:lang w:val="pt-BR"/>
              </w:rP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w:t>
            </w:r>
            <w:proofErr w:type="spellStart"/>
            <w:r w:rsidRPr="00962BC3">
              <w:rPr>
                <w:lang w:val="pt-BR"/>
              </w:rPr>
              <w:t>bundling</w:t>
            </w:r>
            <w:proofErr w:type="spellEnd"/>
            <w:r w:rsidRPr="00962BC3">
              <w:rPr>
                <w:lang w:val="pt-BR"/>
              </w:rPr>
              <w:t xml:space="preserve"> no EHR) com evidência real, se existir.</w:t>
            </w:r>
          </w:p>
        </w:tc>
      </w:tr>
    </w:tbl>
    <w:p w14:paraId="44028B3C" w14:textId="77777777" w:rsidR="00086059" w:rsidRPr="00962BC3" w:rsidRDefault="00086059">
      <w:pPr>
        <w:pStyle w:val="LumisNota"/>
        <w:rPr>
          <w:lang w:val="pt-BR"/>
        </w:rPr>
      </w:pPr>
    </w:p>
    <w:p w14:paraId="30A4598F" w14:textId="77777777" w:rsidR="00086059" w:rsidRPr="00962BC3" w:rsidRDefault="00000000">
      <w:pPr>
        <w:rPr>
          <w:lang w:val="pt-BR"/>
        </w:rPr>
      </w:pPr>
      <w:r w:rsidRPr="00962BC3">
        <w:rPr>
          <w:b/>
          <w:lang w:val="pt-BR"/>
        </w:rPr>
        <w:t>Resultado obtido:</w:t>
      </w:r>
      <w:r w:rsidRPr="00962BC3">
        <w:rPr>
          <w:lang w:val="pt-BR"/>
        </w:rPr>
        <w:t xml:space="preserve"> 17 achados a partir de 25 buscas. O principal é o padrão de distribuição embutida no prontuário, com análogos brasileiros (MV com 894 hospitais e </w:t>
      </w:r>
      <w:proofErr w:type="spellStart"/>
      <w:r w:rsidRPr="00962BC3">
        <w:rPr>
          <w:lang w:val="pt-BR"/>
        </w:rPr>
        <w:t>Tasy</w:t>
      </w:r>
      <w:proofErr w:type="spellEnd"/>
      <w:r w:rsidRPr="00962BC3">
        <w:rPr>
          <w:lang w:val="pt-BR"/>
        </w:rPr>
        <w:t xml:space="preserve"> com 500 na América Latina, segundo o KLAS; </w:t>
      </w:r>
      <w:proofErr w:type="spellStart"/>
      <w:r w:rsidRPr="00962BC3">
        <w:rPr>
          <w:lang w:val="pt-BR"/>
        </w:rPr>
        <w:t>Tasy</w:t>
      </w:r>
      <w:proofErr w:type="spellEnd"/>
      <w:r w:rsidRPr="00962BC3">
        <w:rPr>
          <w:lang w:val="pt-BR"/>
        </w:rPr>
        <w:t xml:space="preserve"> na Rede D'Or). Apareceram também a entrada de OpenAI e </w:t>
      </w:r>
      <w:proofErr w:type="spellStart"/>
      <w:r w:rsidRPr="00962BC3">
        <w:rPr>
          <w:lang w:val="pt-BR"/>
        </w:rPr>
        <w:t>Anthropic</w:t>
      </w:r>
      <w:proofErr w:type="spellEnd"/>
      <w:r w:rsidRPr="00962BC3">
        <w:rPr>
          <w:lang w:val="pt-BR"/>
        </w:rPr>
        <w:t xml:space="preserve"> na saúde (</w:t>
      </w:r>
      <w:proofErr w:type="spellStart"/>
      <w:r w:rsidRPr="00962BC3">
        <w:rPr>
          <w:lang w:val="pt-BR"/>
        </w:rPr>
        <w:t>jan</w:t>
      </w:r>
      <w:proofErr w:type="spellEnd"/>
      <w:r w:rsidRPr="00962BC3">
        <w:rPr>
          <w:lang w:val="pt-BR"/>
        </w:rPr>
        <w:t>/2026), healthtechs e integradores nacionais e concorrentes em seguros e crédito.</w:t>
      </w:r>
    </w:p>
    <w:p w14:paraId="2C0C97D8" w14:textId="77777777" w:rsidR="00086059" w:rsidRPr="00962BC3" w:rsidRDefault="00000000">
      <w:pPr>
        <w:rPr>
          <w:lang w:val="pt-BR"/>
        </w:rPr>
      </w:pPr>
      <w:r w:rsidRPr="00962BC3">
        <w:rPr>
          <w:b/>
          <w:lang w:val="pt-BR"/>
        </w:rPr>
        <w:t>Verificação:</w:t>
      </w:r>
      <w:r w:rsidRPr="00962BC3">
        <w:rPr>
          <w:lang w:val="pt-BR"/>
        </w:rP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14:paraId="7A2A0B96" w14:textId="77777777" w:rsidR="00086059" w:rsidRDefault="00000000">
      <w:pPr>
        <w:pStyle w:val="Ttulo2"/>
      </w:pPr>
      <w:r>
        <w:t xml:space="preserve">Prompt 2: </w:t>
      </w:r>
      <w:proofErr w:type="spellStart"/>
      <w:r>
        <w:t>Dependências</w:t>
      </w:r>
      <w:proofErr w:type="spellEnd"/>
      <w:r>
        <w:t xml:space="preserve"> </w:t>
      </w:r>
      <w:proofErr w:type="spellStart"/>
      <w:r>
        <w:t>críticas</w:t>
      </w:r>
      <w:proofErr w:type="spellEnd"/>
      <w:r>
        <w:t xml:space="preserve"> de fornecedores</w:t>
      </w:r>
    </w:p>
    <w:tbl>
      <w:tblPr>
        <w:tblW w:w="0" w:type="auto"/>
        <w:jc w:val="center"/>
        <w:tblLook w:val="04A0" w:firstRow="1" w:lastRow="0" w:firstColumn="1" w:lastColumn="0" w:noHBand="0" w:noVBand="1"/>
      </w:tblPr>
      <w:tblGrid>
        <w:gridCol w:w="9072"/>
      </w:tblGrid>
      <w:tr w:rsidR="00086059" w:rsidRPr="00962BC3" w14:paraId="02AC7C1A" w14:textId="77777777">
        <w:trPr>
          <w:jc w:val="center"/>
        </w:trPr>
        <w:tc>
          <w:tcPr>
            <w:tcW w:w="9072" w:type="dxa"/>
            <w:shd w:val="clear" w:color="auto" w:fill="F1F6F4"/>
          </w:tcPr>
          <w:p w14:paraId="3A0B7CB1" w14:textId="77777777" w:rsidR="00086059" w:rsidRPr="00962BC3" w:rsidRDefault="00000000">
            <w:pPr>
              <w:pStyle w:val="LumisTabela"/>
              <w:rPr>
                <w:lang w:val="pt-BR"/>
              </w:rPr>
            </w:pPr>
            <w:r w:rsidRPr="00962BC3">
              <w:rPr>
                <w:lang w:val="pt-BR"/>
              </w:rPr>
              <w:t>## Tarefa: dependências críticas e o que acontece se cada fornecedor mudar preço, termos ou escopo</w:t>
            </w:r>
          </w:p>
          <w:p w14:paraId="65BB6E3C" w14:textId="77777777" w:rsidR="00086059" w:rsidRPr="00962BC3" w:rsidRDefault="00000000">
            <w:pPr>
              <w:pStyle w:val="LumisTabela"/>
              <w:rPr>
                <w:lang w:val="pt-BR"/>
              </w:rPr>
            </w:pPr>
            <w:r w:rsidRPr="00962BC3">
              <w:rPr>
                <w:lang w:val="pt-BR"/>
              </w:rPr>
              <w:lastRenderedPageBreak/>
              <w:t>Os quatro fornecedores estruturais estão no Quadro 5 (modelo fundacional único, nuvem global, consórcio de bases clínicas, 38 contratos de dados de clientes). Para cada um, levante PRECEDENTES REAIS que mostram que o risco é concreto:</w:t>
            </w:r>
          </w:p>
          <w:p w14:paraId="6280EF21" w14:textId="77777777" w:rsidR="00086059" w:rsidRPr="00962BC3" w:rsidRDefault="00000000">
            <w:pPr>
              <w:pStyle w:val="LumisTabela"/>
              <w:rPr>
                <w:lang w:val="pt-BR"/>
              </w:rPr>
            </w:pPr>
            <w:r w:rsidRPr="00962BC3">
              <w:rPr>
                <w:lang w:val="pt-BR"/>
              </w:rPr>
              <w:t xml:space="preserve">- </w:t>
            </w:r>
            <w:proofErr w:type="gramStart"/>
            <w:r w:rsidRPr="00962BC3">
              <w:rPr>
                <w:lang w:val="pt-BR"/>
              </w:rPr>
              <w:t>modelos</w:t>
            </w:r>
            <w:proofErr w:type="gramEnd"/>
            <w:r w:rsidRPr="00962BC3">
              <w:rPr>
                <w:lang w:val="pt-BR"/>
              </w:rPr>
              <w:t xml:space="preserve"> fundacionais: casos documentados de mudança de preço, descontinuação/depreciação de modelos com prazo curto, mudanças de termos de uso ou de política de dados, e provedores lançando produto próprio para saúde (data e fonte);</w:t>
            </w:r>
          </w:p>
          <w:p w14:paraId="07629E15" w14:textId="77777777" w:rsidR="00086059" w:rsidRPr="00962BC3" w:rsidRDefault="00000000">
            <w:pPr>
              <w:pStyle w:val="LumisTabela"/>
              <w:rPr>
                <w:lang w:val="pt-BR"/>
              </w:rPr>
            </w:pPr>
            <w:r w:rsidRPr="00962BC3">
              <w:rPr>
                <w:lang w:val="pt-BR"/>
              </w:rPr>
              <w:t xml:space="preserve">- </w:t>
            </w:r>
            <w:proofErr w:type="gramStart"/>
            <w:r w:rsidRPr="00962BC3">
              <w:rPr>
                <w:lang w:val="pt-BR"/>
              </w:rPr>
              <w:t>nuvem</w:t>
            </w:r>
            <w:proofErr w:type="gramEnd"/>
            <w:r w:rsidRPr="00962BC3">
              <w:rPr>
                <w:lang w:val="pt-BR"/>
              </w:rPr>
              <w:t>: custos e prazos típicos de migração, taxas de saída de dados (</w:t>
            </w:r>
            <w:proofErr w:type="spellStart"/>
            <w:r w:rsidRPr="00962BC3">
              <w:rPr>
                <w:lang w:val="pt-BR"/>
              </w:rPr>
              <w:t>egress</w:t>
            </w:r>
            <w:proofErr w:type="spellEnd"/>
            <w:r w:rsidRPr="00962BC3">
              <w:rPr>
                <w:lang w:val="pt-BR"/>
              </w:rPr>
              <w:t xml:space="preserve">) e mudanças regulatórias recentes sobre elas (ex.: EU Data </w:t>
            </w:r>
            <w:proofErr w:type="spellStart"/>
            <w:r w:rsidRPr="00962BC3">
              <w:rPr>
                <w:lang w:val="pt-BR"/>
              </w:rPr>
              <w:t>Act</w:t>
            </w:r>
            <w:proofErr w:type="spellEnd"/>
            <w:r w:rsidRPr="00962BC3">
              <w:rPr>
                <w:lang w:val="pt-BR"/>
              </w:rPr>
              <w:t xml:space="preserve">), </w:t>
            </w:r>
            <w:proofErr w:type="spellStart"/>
            <w:r w:rsidRPr="00962BC3">
              <w:rPr>
                <w:lang w:val="pt-BR"/>
              </w:rPr>
              <w:t>lock</w:t>
            </w:r>
            <w:proofErr w:type="spellEnd"/>
            <w:r w:rsidRPr="00962BC3">
              <w:rPr>
                <w:lang w:val="pt-BR"/>
              </w:rPr>
              <w:t>-in, regiões de dados no Brasil;</w:t>
            </w:r>
          </w:p>
          <w:p w14:paraId="6D573DFA" w14:textId="77777777" w:rsidR="00086059" w:rsidRPr="00962BC3" w:rsidRDefault="00000000">
            <w:pPr>
              <w:pStyle w:val="LumisTabela"/>
              <w:rPr>
                <w:lang w:val="pt-BR"/>
              </w:rPr>
            </w:pPr>
            <w:r w:rsidRPr="00962BC3">
              <w:rPr>
                <w:lang w:val="pt-BR"/>
              </w:rPr>
              <w:t xml:space="preserve">- </w:t>
            </w:r>
            <w:proofErr w:type="gramStart"/>
            <w:r w:rsidRPr="00962BC3">
              <w:rPr>
                <w:lang w:val="pt-BR"/>
              </w:rPr>
              <w:t>bases</w:t>
            </w:r>
            <w:proofErr w:type="gramEnd"/>
            <w:r w:rsidRPr="00962BC3">
              <w:rPr>
                <w:lang w:val="pt-BR"/>
              </w:rPr>
              <w:t xml:space="preserve"> clínicas de referência licenciadas: como funcionam o licenciamento e os reajustes no setor (se não achar fonte, diga);</w:t>
            </w:r>
          </w:p>
          <w:p w14:paraId="46F1A26C" w14:textId="77777777" w:rsidR="00086059" w:rsidRPr="00962BC3" w:rsidRDefault="00000000">
            <w:pPr>
              <w:pStyle w:val="LumisTabela"/>
              <w:rPr>
                <w:lang w:val="pt-BR"/>
              </w:rPr>
            </w:pPr>
            <w:r w:rsidRPr="00962BC3">
              <w:rPr>
                <w:lang w:val="pt-BR"/>
              </w:rPr>
              <w:t xml:space="preserve">- </w:t>
            </w:r>
            <w:proofErr w:type="gramStart"/>
            <w:r w:rsidRPr="00962BC3">
              <w:rPr>
                <w:lang w:val="pt-BR"/>
              </w:rPr>
              <w:t>dados</w:t>
            </w:r>
            <w:proofErr w:type="gramEnd"/>
            <w:r w:rsidRPr="00962BC3">
              <w:rPr>
                <w:lang w:val="pt-BR"/>
              </w:rPr>
              <w:t xml:space="preserve"> de clientes: o que a LGPD (dado de saúde é sensível, art. 11) e a ANPD dizem sobre reutilizar dados de clientes para treinar modelos; precedentes de disputa contratual ou regulatória sobre uso de dados de saúde para IA;</w:t>
            </w:r>
          </w:p>
          <w:p w14:paraId="3EF0D3CA" w14:textId="77777777" w:rsidR="00086059" w:rsidRPr="00962BC3" w:rsidRDefault="00000000">
            <w:pPr>
              <w:pStyle w:val="LumisTabela"/>
              <w:rPr>
                <w:lang w:val="pt-BR"/>
              </w:rPr>
            </w:pPr>
            <w:r w:rsidRPr="00962BC3">
              <w:rPr>
                <w:lang w:val="pt-BR"/>
              </w:rPr>
              <w:t xml:space="preserve">- </w:t>
            </w:r>
            <w:proofErr w:type="gramStart"/>
            <w:r w:rsidRPr="00962BC3">
              <w:rPr>
                <w:lang w:val="pt-BR"/>
              </w:rPr>
              <w:t>câmbio</w:t>
            </w:r>
            <w:proofErr w:type="gramEnd"/>
            <w:r w:rsidRPr="00962BC3">
              <w:rPr>
                <w:lang w:val="pt-BR"/>
              </w:rPr>
              <w:t>: volatilidade do real frente ao dólar nos últimos 3–5 anos (máximas e mínimas, com fonte, ex.: Banco Central), já que 72,2% do custo é em dólar.</w:t>
            </w:r>
          </w:p>
          <w:p w14:paraId="37F9BBF5" w14:textId="77777777" w:rsidR="00086059" w:rsidRPr="00962BC3" w:rsidRDefault="00000000">
            <w:pPr>
              <w:pStyle w:val="LumisTabela"/>
              <w:rPr>
                <w:lang w:val="pt-BR"/>
              </w:rPr>
            </w:pPr>
            <w:r w:rsidRPr="00962BC3">
              <w:rPr>
                <w:lang w:val="pt-BR"/>
              </w:rPr>
              <w:t>Para cada fornecedor, descreva qualitativamente o impacto no negócio da Lumis se ele (i) subir preço, (</w:t>
            </w:r>
            <w:proofErr w:type="spellStart"/>
            <w:r w:rsidRPr="00962BC3">
              <w:rPr>
                <w:lang w:val="pt-BR"/>
              </w:rPr>
              <w:t>ii</w:t>
            </w:r>
            <w:proofErr w:type="spellEnd"/>
            <w:r w:rsidRPr="00962BC3">
              <w:rPr>
                <w:lang w:val="pt-BR"/>
              </w:rPr>
              <w:t>) mudar termos, (</w:t>
            </w:r>
            <w:proofErr w:type="spellStart"/>
            <w:r w:rsidRPr="00962BC3">
              <w:rPr>
                <w:lang w:val="pt-BR"/>
              </w:rPr>
              <w:t>iii</w:t>
            </w:r>
            <w:proofErr w:type="spellEnd"/>
            <w:r w:rsidRPr="00962BC3">
              <w:rPr>
                <w:lang w:val="pt-BR"/>
              </w:rPr>
              <w:t>) mudar escopo ou virar concorrente. A quantificação fica a cargo de outra frente; aqui foque em evidência de que o evento é plausível.</w:t>
            </w:r>
          </w:p>
        </w:tc>
      </w:tr>
    </w:tbl>
    <w:p w14:paraId="2E21999C" w14:textId="77777777" w:rsidR="00086059" w:rsidRPr="00962BC3" w:rsidRDefault="00086059">
      <w:pPr>
        <w:pStyle w:val="LumisNota"/>
        <w:rPr>
          <w:lang w:val="pt-BR"/>
        </w:rPr>
      </w:pPr>
    </w:p>
    <w:p w14:paraId="5A0EB6EF" w14:textId="77777777" w:rsidR="00086059" w:rsidRPr="00962BC3" w:rsidRDefault="00000000">
      <w:pPr>
        <w:rPr>
          <w:lang w:val="pt-BR"/>
        </w:rPr>
      </w:pPr>
      <w:r w:rsidRPr="00962BC3">
        <w:rPr>
          <w:b/>
          <w:lang w:val="pt-BR"/>
        </w:rPr>
        <w:t>Resultado obtido:</w:t>
      </w:r>
      <w:r w:rsidRPr="00962BC3">
        <w:rPr>
          <w:lang w:val="pt-BR"/>
        </w:rPr>
        <w:t xml:space="preserve"> 20 achados a partir de 22 buscas. Os principais precedentes reais são a descontinuação de modelos com aviso curto, o aumento de 4 vezes no preço do </w:t>
      </w:r>
      <w:proofErr w:type="spellStart"/>
      <w:r w:rsidRPr="00962BC3">
        <w:rPr>
          <w:lang w:val="pt-BR"/>
        </w:rPr>
        <w:t>Haiku</w:t>
      </w:r>
      <w:proofErr w:type="spellEnd"/>
      <w:r w:rsidRPr="00962BC3">
        <w:rPr>
          <w:lang w:val="pt-BR"/>
        </w:rPr>
        <w:t xml:space="preserve"> em 2024, a concentração da nuvem e os custos de saída, os limites da LGPD para dado de saúde (art. 11) e a volatilidade do câmbio, com PTAX entre R$ 4,62 e R$ 6,21 em cinco anos (Banco Central).</w:t>
      </w:r>
    </w:p>
    <w:p w14:paraId="018CE7B0" w14:textId="77777777" w:rsidR="00086059" w:rsidRPr="00962BC3" w:rsidRDefault="00000000">
      <w:pPr>
        <w:rPr>
          <w:lang w:val="pt-BR"/>
        </w:rPr>
      </w:pPr>
      <w:r w:rsidRPr="00962BC3">
        <w:rPr>
          <w:b/>
          <w:lang w:val="pt-BR"/>
        </w:rPr>
        <w:t>Verificação:</w:t>
      </w:r>
      <w:r w:rsidRPr="00962BC3">
        <w:rPr>
          <w:lang w:val="pt-BR"/>
        </w:rP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w:t>
      </w:r>
      <w:proofErr w:type="spellStart"/>
      <w:r w:rsidRPr="00962BC3">
        <w:rPr>
          <w:lang w:val="pt-BR"/>
        </w:rPr>
        <w:t>runway</w:t>
      </w:r>
      <w:proofErr w:type="spellEnd"/>
      <w:r w:rsidRPr="00962BC3">
        <w:rPr>
          <w:lang w:val="pt-BR"/>
        </w:rPr>
        <w:t xml:space="preserve">) foram refeitos a partir do Quadro 4, e a fonte do aumento de preço do </w:t>
      </w:r>
      <w:proofErr w:type="spellStart"/>
      <w:r w:rsidRPr="00962BC3">
        <w:rPr>
          <w:lang w:val="pt-BR"/>
        </w:rPr>
        <w:t>Haiku</w:t>
      </w:r>
      <w:proofErr w:type="spellEnd"/>
      <w:r w:rsidRPr="00962BC3">
        <w:rPr>
          <w:lang w:val="pt-BR"/>
        </w:rPr>
        <w:t xml:space="preserve"> foi reaberta.</w:t>
      </w:r>
    </w:p>
    <w:p w14:paraId="15A0FDE4" w14:textId="77777777" w:rsidR="00086059" w:rsidRPr="00962BC3" w:rsidRDefault="00000000">
      <w:pPr>
        <w:pStyle w:val="Ttulo2"/>
        <w:rPr>
          <w:lang w:val="pt-BR"/>
        </w:rPr>
      </w:pPr>
      <w:r w:rsidRPr="00962BC3">
        <w:rPr>
          <w:lang w:val="pt-BR"/>
        </w:rPr>
        <w:t>Prompt 3: Verificação adversarial (usado em todas as frentes)</w:t>
      </w:r>
    </w:p>
    <w:tbl>
      <w:tblPr>
        <w:tblW w:w="0" w:type="auto"/>
        <w:jc w:val="center"/>
        <w:tblLook w:val="04A0" w:firstRow="1" w:lastRow="0" w:firstColumn="1" w:lastColumn="0" w:noHBand="0" w:noVBand="1"/>
      </w:tblPr>
      <w:tblGrid>
        <w:gridCol w:w="9072"/>
      </w:tblGrid>
      <w:tr w:rsidR="00086059" w14:paraId="166CC5B9" w14:textId="77777777">
        <w:trPr>
          <w:jc w:val="center"/>
        </w:trPr>
        <w:tc>
          <w:tcPr>
            <w:tcW w:w="9072" w:type="dxa"/>
            <w:shd w:val="clear" w:color="auto" w:fill="F1F6F4"/>
          </w:tcPr>
          <w:p w14:paraId="5C38DB16" w14:textId="77777777" w:rsidR="00086059" w:rsidRPr="00962BC3" w:rsidRDefault="00000000">
            <w:pPr>
              <w:pStyle w:val="LumisTabela"/>
              <w:rPr>
                <w:lang w:val="pt-BR"/>
              </w:rPr>
            </w:pPr>
            <w:r w:rsidRPr="00962BC3">
              <w:rPr>
                <w:lang w:val="pt-BR"/>
              </w:rPr>
              <w:t xml:space="preserve">Você é verificador independente e cético de uma </w:t>
            </w:r>
            <w:proofErr w:type="spellStart"/>
            <w:r w:rsidRPr="00962BC3">
              <w:rPr>
                <w:lang w:val="pt-BR"/>
              </w:rPr>
              <w:t>due</w:t>
            </w:r>
            <w:proofErr w:type="spellEnd"/>
            <w:r w:rsidRPr="00962BC3">
              <w:rPr>
                <w:lang w:val="pt-BR"/>
              </w:rPr>
              <w:t xml:space="preserve"> </w:t>
            </w:r>
            <w:proofErr w:type="spellStart"/>
            <w:r w:rsidRPr="00962BC3">
              <w:rPr>
                <w:lang w:val="pt-BR"/>
              </w:rPr>
              <w:t>diligence</w:t>
            </w:r>
            <w:proofErr w:type="spellEnd"/>
            <w:r w:rsidRPr="00962BC3">
              <w:rPr>
                <w:lang w:val="pt-BR"/>
              </w:rPr>
              <w:t>. Sua função é REFUTAR, não confirmar. Na dúvida, marque "</w:t>
            </w:r>
            <w:proofErr w:type="spellStart"/>
            <w:r w:rsidRPr="00962BC3">
              <w:rPr>
                <w:lang w:val="pt-BR"/>
              </w:rPr>
              <w:t>nao_confirmado</w:t>
            </w:r>
            <w:proofErr w:type="spellEnd"/>
            <w:r w:rsidRPr="00962BC3">
              <w:rPr>
                <w:lang w:val="pt-BR"/>
              </w:rPr>
              <w:t>".</w:t>
            </w:r>
          </w:p>
          <w:p w14:paraId="0C39B65F" w14:textId="77777777" w:rsidR="00086059" w:rsidRPr="00962BC3" w:rsidRDefault="00000000">
            <w:pPr>
              <w:pStyle w:val="LumisTabela"/>
              <w:rPr>
                <w:lang w:val="pt-BR"/>
              </w:rPr>
            </w:pPr>
            <w:r w:rsidRPr="00962BC3">
              <w:rPr>
                <w:lang w:val="pt-BR"/>
              </w:rPr>
              <w:t>[bloco de contexto comum]</w:t>
            </w:r>
          </w:p>
          <w:p w14:paraId="1D160E5D" w14:textId="77777777" w:rsidR="00086059" w:rsidRPr="00962BC3" w:rsidRDefault="00000000">
            <w:pPr>
              <w:pStyle w:val="LumisTabela"/>
              <w:rPr>
                <w:lang w:val="pt-BR"/>
              </w:rPr>
            </w:pPr>
            <w:r w:rsidRPr="00962BC3">
              <w:rPr>
                <w:lang w:val="pt-BR"/>
              </w:rPr>
              <w:t>## Achados a verificar: &lt;lista de achados da frente&gt;</w:t>
            </w:r>
          </w:p>
          <w:p w14:paraId="7231D3EF" w14:textId="77777777" w:rsidR="00086059" w:rsidRPr="00962BC3" w:rsidRDefault="00000000">
            <w:pPr>
              <w:pStyle w:val="LumisTabela"/>
              <w:rPr>
                <w:lang w:val="pt-BR"/>
              </w:rPr>
            </w:pPr>
            <w:r w:rsidRPr="00962BC3">
              <w:rPr>
                <w:lang w:val="pt-BR"/>
              </w:rPr>
              <w:t>## Como verificar</w:t>
            </w:r>
          </w:p>
          <w:p w14:paraId="7C9C62F8" w14:textId="77777777" w:rsidR="00086059" w:rsidRPr="00962BC3" w:rsidRDefault="00000000">
            <w:pPr>
              <w:pStyle w:val="LumisTabela"/>
              <w:rPr>
                <w:lang w:val="pt-BR"/>
              </w:rPr>
            </w:pPr>
            <w:r w:rsidRPr="00962BC3">
              <w:rPr>
                <w:lang w:val="pt-BR"/>
              </w:rPr>
              <w:t xml:space="preserve">- </w:t>
            </w:r>
            <w:proofErr w:type="spellStart"/>
            <w:proofErr w:type="gramStart"/>
            <w:r w:rsidRPr="00962BC3">
              <w:rPr>
                <w:lang w:val="pt-BR"/>
              </w:rPr>
              <w:t>fato</w:t>
            </w:r>
            <w:proofErr w:type="gramEnd"/>
            <w:r w:rsidRPr="00962BC3">
              <w:rPr>
                <w:lang w:val="pt-BR"/>
              </w:rPr>
              <w:t>_externo</w:t>
            </w:r>
            <w:proofErr w:type="spellEnd"/>
            <w:r w:rsidRPr="00962BC3">
              <w:rPr>
                <w:lang w:val="pt-BR"/>
              </w:rPr>
              <w:t>: abra a URL e confirme se a fonte diz exatamente o que a afirmação diz (número, data, autoria). Se a URL falhar, procure a mesma informação em outra fonte primária. Afirmação mais forte que a fonte = "parcial", com correção.</w:t>
            </w:r>
          </w:p>
          <w:p w14:paraId="168DBAB5" w14:textId="77777777" w:rsidR="00086059" w:rsidRPr="00962BC3" w:rsidRDefault="00000000">
            <w:pPr>
              <w:pStyle w:val="LumisTabela"/>
              <w:rPr>
                <w:lang w:val="pt-BR"/>
              </w:rPr>
            </w:pPr>
            <w:r w:rsidRPr="00962BC3">
              <w:rPr>
                <w:lang w:val="pt-BR"/>
              </w:rPr>
              <w:t xml:space="preserve">- </w:t>
            </w:r>
            <w:proofErr w:type="spellStart"/>
            <w:proofErr w:type="gramStart"/>
            <w:r w:rsidRPr="00962BC3">
              <w:rPr>
                <w:lang w:val="pt-BR"/>
              </w:rPr>
              <w:t>dado</w:t>
            </w:r>
            <w:proofErr w:type="gramEnd"/>
            <w:r w:rsidRPr="00962BC3">
              <w:rPr>
                <w:lang w:val="pt-BR"/>
              </w:rPr>
              <w:t>_anexo</w:t>
            </w:r>
            <w:proofErr w:type="spellEnd"/>
            <w:r w:rsidRPr="00962BC3">
              <w:rPr>
                <w:lang w:val="pt-BR"/>
              </w:rPr>
              <w:t>: confira contra os quadros, palavra por palavra.</w:t>
            </w:r>
          </w:p>
          <w:p w14:paraId="564079E9" w14:textId="77777777" w:rsidR="00086059" w:rsidRPr="00962BC3" w:rsidRDefault="00000000">
            <w:pPr>
              <w:pStyle w:val="LumisTabela"/>
              <w:rPr>
                <w:lang w:val="pt-BR"/>
              </w:rPr>
            </w:pPr>
            <w:r w:rsidRPr="00962BC3">
              <w:rPr>
                <w:lang w:val="pt-BR"/>
              </w:rPr>
              <w:t xml:space="preserve">- </w:t>
            </w:r>
            <w:proofErr w:type="gramStart"/>
            <w:r w:rsidRPr="00962BC3">
              <w:rPr>
                <w:lang w:val="pt-BR"/>
              </w:rPr>
              <w:t>calculo</w:t>
            </w:r>
            <w:proofErr w:type="gramEnd"/>
            <w:r w:rsidRPr="00962BC3">
              <w:rPr>
                <w:lang w:val="pt-BR"/>
              </w:rPr>
              <w:t>: refaça a conta. Qualquer divergência = "refutado", com o valor correto.</w:t>
            </w:r>
          </w:p>
          <w:p w14:paraId="0291B66A" w14:textId="77777777" w:rsidR="00086059" w:rsidRPr="00962BC3" w:rsidRDefault="00000000">
            <w:pPr>
              <w:pStyle w:val="LumisTabela"/>
              <w:rPr>
                <w:lang w:val="pt-BR"/>
              </w:rPr>
            </w:pPr>
            <w:r w:rsidRPr="00962BC3">
              <w:rPr>
                <w:lang w:val="pt-BR"/>
              </w:rPr>
              <w:t xml:space="preserve">- </w:t>
            </w:r>
            <w:proofErr w:type="spellStart"/>
            <w:proofErr w:type="gramStart"/>
            <w:r w:rsidRPr="00962BC3">
              <w:rPr>
                <w:lang w:val="pt-BR"/>
              </w:rPr>
              <w:t>hipotese</w:t>
            </w:r>
            <w:proofErr w:type="spellEnd"/>
            <w:proofErr w:type="gramEnd"/>
            <w:r w:rsidRPr="00962BC3">
              <w:rPr>
                <w:lang w:val="pt-BR"/>
              </w:rPr>
              <w:t>: avalie se está marcada como hipótese e se é razoável.</w:t>
            </w:r>
          </w:p>
          <w:p w14:paraId="2B0FC106" w14:textId="77777777" w:rsidR="00086059" w:rsidRDefault="00000000">
            <w:pPr>
              <w:pStyle w:val="LumisTabela"/>
            </w:pPr>
            <w:proofErr w:type="spellStart"/>
            <w:r>
              <w:t>Verifique</w:t>
            </w:r>
            <w:proofErr w:type="spellEnd"/>
            <w:r>
              <w:t xml:space="preserve"> TODOS </w:t>
            </w:r>
            <w:proofErr w:type="spellStart"/>
            <w:r>
              <w:t>os</w:t>
            </w:r>
            <w:proofErr w:type="spellEnd"/>
            <w:r>
              <w:t xml:space="preserve"> IDs.</w:t>
            </w:r>
          </w:p>
        </w:tc>
      </w:tr>
    </w:tbl>
    <w:p w14:paraId="65E9F9B6" w14:textId="77777777" w:rsidR="00086059" w:rsidRDefault="00086059">
      <w:pPr>
        <w:pStyle w:val="LumisNota"/>
      </w:pPr>
    </w:p>
    <w:p w14:paraId="5C1D9B19" w14:textId="77777777" w:rsidR="00086059" w:rsidRPr="00962BC3" w:rsidRDefault="00000000">
      <w:pPr>
        <w:rPr>
          <w:lang w:val="pt-BR"/>
        </w:rPr>
      </w:pPr>
      <w:r w:rsidRPr="00962BC3">
        <w:rPr>
          <w:b/>
          <w:lang w:val="pt-BR"/>
        </w:rPr>
        <w:t>O que a verificação mudou:</w:t>
      </w:r>
      <w:r w:rsidRPr="00962BC3">
        <w:rPr>
          <w:lang w:val="pt-BR"/>
        </w:rPr>
        <w:t xml:space="preserve"> corrigiu, entre outros, uma data de lançamento antecipada indevidamente (um produto previsto para 2027), uma comparação de "quase 10 vezes" que na verdade era de 8,3 vezes, um percentual de mercado aplicado ao total quando valia só para IA generativa e uma data de fim de caixa calculada errado. Sem a verificação, quatro erros factuais teriam entrado no texto.</w:t>
      </w:r>
    </w:p>
    <w:sectPr w:rsidR="00086059" w:rsidRPr="00962BC3" w:rsidSect="00034616">
      <w:headerReference w:type="default" r:id="rId12"/>
      <w:footerReference w:type="default" r:id="rId13"/>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679A" w14:textId="77777777" w:rsidR="002052D7" w:rsidRDefault="002052D7">
      <w:pPr>
        <w:spacing w:after="0" w:line="240" w:lineRule="auto"/>
      </w:pPr>
      <w:r>
        <w:separator/>
      </w:r>
    </w:p>
  </w:endnote>
  <w:endnote w:type="continuationSeparator" w:id="0">
    <w:p w14:paraId="5F1B62E3" w14:textId="77777777" w:rsidR="002052D7" w:rsidRDefault="0020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64B9" w14:textId="77777777" w:rsidR="00BF58EC" w:rsidRPr="000B48B4" w:rsidRDefault="00000000">
    <w:pPr>
      <w:pStyle w:val="Rodap"/>
      <w:jc w:val="right"/>
      <w:rPr>
        <w:lang w:val="pt-BR"/>
      </w:rPr>
    </w:pPr>
    <w:r w:rsidRPr="000B48B4">
      <w:rPr>
        <w:color w:val="6B7C85"/>
        <w:sz w:val="17"/>
        <w:lang w:val="pt-BR"/>
      </w:rPr>
      <w:t xml:space="preserve">Lumis Intelligence · Gestão em IA (FIAP) · página </w:t>
    </w:r>
    <w:r>
      <w:rPr>
        <w:color w:val="6B7C85"/>
        <w:sz w:val="17"/>
      </w:rPr>
      <w:fldChar w:fldCharType="begin"/>
    </w:r>
    <w:r w:rsidRPr="000B48B4">
      <w:rPr>
        <w:color w:val="6B7C85"/>
        <w:sz w:val="17"/>
        <w:lang w:val="pt-BR"/>
      </w:rPr>
      <w:instrText>PAGE</w:instrText>
    </w:r>
    <w:r>
      <w:rPr>
        <w:color w:val="6B7C85"/>
        <w:sz w:val="17"/>
      </w:rPr>
      <w:fldChar w:fldCharType="separate"/>
    </w:r>
    <w:r w:rsidR="000B48B4" w:rsidRPr="000B48B4">
      <w:rPr>
        <w:noProof/>
        <w:color w:val="6B7C85"/>
        <w:sz w:val="17"/>
        <w:lang w:val="pt-BR"/>
      </w:rPr>
      <w:t>2</w:t>
    </w:r>
    <w:r>
      <w:rPr>
        <w:color w:val="6B7C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A3B1" w14:textId="77777777" w:rsidR="002052D7" w:rsidRDefault="002052D7">
      <w:pPr>
        <w:spacing w:after="0" w:line="240" w:lineRule="auto"/>
      </w:pPr>
      <w:r>
        <w:separator/>
      </w:r>
    </w:p>
  </w:footnote>
  <w:footnote w:type="continuationSeparator" w:id="0">
    <w:p w14:paraId="0B40D6AB" w14:textId="77777777" w:rsidR="002052D7" w:rsidRDefault="00205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F8FF" w14:textId="77777777" w:rsidR="00BF58EC" w:rsidRDefault="00000000">
    <w:pPr>
      <w:pStyle w:val="Cabealho"/>
      <w:pBdr>
        <w:bottom w:val="single" w:sz="4" w:space="4" w:color="0F2D3A"/>
      </w:pBdr>
      <w:tabs>
        <w:tab w:val="right" w:pos="9071"/>
      </w:tabs>
    </w:pPr>
    <w:r>
      <w:rPr>
        <w:noProof/>
      </w:rPr>
      <w:drawing>
        <wp:inline distT="0" distB="0" distL="0" distR="0" wp14:anchorId="7FEFCB95" wp14:editId="2D620087">
          <wp:extent cx="1152000" cy="248123"/>
          <wp:effectExtent l="0" t="0" r="0" b="0"/>
          <wp:docPr id="10589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Pr>
        <w:color w:val="6B7C85"/>
        <w:sz w:val="17"/>
      </w:rPr>
      <w:tab/>
      <w:t xml:space="preserve">F2-E1 · Mapa do </w:t>
    </w:r>
    <w:proofErr w:type="spellStart"/>
    <w:r>
      <w:rPr>
        <w:color w:val="6B7C85"/>
        <w:sz w:val="17"/>
      </w:rPr>
      <w:t>Território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2685996">
    <w:abstractNumId w:val="8"/>
  </w:num>
  <w:num w:numId="2" w16cid:durableId="1505046805">
    <w:abstractNumId w:val="6"/>
  </w:num>
  <w:num w:numId="3" w16cid:durableId="1496456512">
    <w:abstractNumId w:val="5"/>
  </w:num>
  <w:num w:numId="4" w16cid:durableId="1897742686">
    <w:abstractNumId w:val="4"/>
  </w:num>
  <w:num w:numId="5" w16cid:durableId="1141658611">
    <w:abstractNumId w:val="7"/>
  </w:num>
  <w:num w:numId="6" w16cid:durableId="1654798637">
    <w:abstractNumId w:val="3"/>
  </w:num>
  <w:num w:numId="7" w16cid:durableId="670180548">
    <w:abstractNumId w:val="2"/>
  </w:num>
  <w:num w:numId="8" w16cid:durableId="390352732">
    <w:abstractNumId w:val="1"/>
  </w:num>
  <w:num w:numId="9" w16cid:durableId="14494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59"/>
    <w:rsid w:val="000B48B4"/>
    <w:rsid w:val="0015074B"/>
    <w:rsid w:val="002052D7"/>
    <w:rsid w:val="0029639D"/>
    <w:rsid w:val="00326F90"/>
    <w:rsid w:val="00962BC3"/>
    <w:rsid w:val="009E3794"/>
    <w:rsid w:val="00AA1D8D"/>
    <w:rsid w:val="00B47730"/>
    <w:rsid w:val="00BF58EC"/>
    <w:rsid w:val="00CB0664"/>
    <w:rsid w:val="00CE6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93CAC"/>
  <w14:defaultImageDpi w14:val="300"/>
  <w15:docId w15:val="{230BA697-2509-4DA5-87ED-DF7BF797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2613</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Halfen Simon</cp:lastModifiedBy>
  <cp:revision>3</cp:revision>
  <dcterms:created xsi:type="dcterms:W3CDTF">2013-12-23T23:15:00Z</dcterms:created>
  <dcterms:modified xsi:type="dcterms:W3CDTF">2026-10-06T22:01:00Z</dcterms:modified>
  <cp:category/>
</cp:coreProperties>
</file>