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881B4" w14:textId="29373098" w:rsidR="000B48B4" w:rsidRPr="000B48B4" w:rsidRDefault="000B48B4" w:rsidP="000B48B4">
      <w:pPr>
        <w:pStyle w:val="Ttulo"/>
        <w:rPr>
          <w:lang w:val="pt-BR"/>
        </w:rPr>
      </w:pPr>
      <w:r w:rsidRPr="000B48B4">
        <w:rPr>
          <w:lang w:val="pt-BR"/>
        </w:rPr>
        <w:t>Auditoria do Ativo</w:t>
      </w:r>
    </w:p>
    <w:p w14:paraId="3ED05A9D" w14:textId="681CFDF5" w:rsidR="00BF58EC" w:rsidRPr="000B48B4" w:rsidRDefault="000B48B4" w:rsidP="000B48B4">
      <w:pPr>
        <w:pStyle w:val="Subttulo"/>
        <w:rPr>
          <w:lang w:val="pt-BR"/>
        </w:rPr>
      </w:pPr>
      <w:r w:rsidRPr="000B48B4">
        <w:rPr>
          <w:lang w:val="pt-BR"/>
        </w:rPr>
        <w:t>Relatório ao Conselho: de que é feito o ativo da Lumis e que números sobrevivem a uma auditoria independente</w:t>
      </w:r>
      <w:r>
        <w:rPr>
          <w:lang w:val="pt-BR"/>
        </w:rPr>
      </w:r>
    </w:p>
    <w:p>
      <w:pPr>
        <w:pStyle w:val="LumisDestaque"/>
      </w:pPr>
      <w:r>
        <w:t>Hoje o ativo da Lumis não passa numa auditoria independente. A parte da base que só a Lumis tem está sob contratos frágeis, e o modelo erra mais justamente com quem mais precisa de prioridade.</w:t>
      </w:r>
    </w:p>
    <w:p>
      <w:pPr>
        <w:pStyle w:val="Ttulo1"/>
      </w:pPr>
      <w:r>
        <w:t>1. De onde vêm os dados e se a Lumis pode usá-los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17537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1_ba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53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1. A base de treinamento do Lumis Insight. Fonte: Cap. 2, Quadro 7.</w:t>
      </w:r>
    </w:p>
    <w:p>
      <w:pPr>
        <w:pStyle w:val="Commarcadores"/>
      </w:pPr>
      <w:r>
        <w:rPr>
          <w:b/>
        </w:rPr>
        <w:t>Só pouco mais de um quarto da base é da Lumis.</w:t>
      </w:r>
      <w:r>
        <w:t xml:space="preserve"> O DATASUS, que é a maior parte, está aberto a qualquer concorrente. Dos dados de clientes, um terço vem de contratos que não autorizam o treino com clareza, e esses são os primeiros a vencer.</w:t>
      </w:r>
    </w:p>
    <w:p>
      <w:pPr>
        <w:pStyle w:val="Commarcadores"/>
      </w:pPr>
      <w:r>
        <w:rPr>
          <w:b/>
        </w:rPr>
        <w:t>O risco já existe.</w:t>
      </w:r>
      <w:r>
        <w:t xml:space="preserve"> Nenhum dos seis contratos de dados passou por revisão jurídica, e o modelo atual já foi treinado com esses dados. Dado de saúde é dado sensível, e a LGPD pede finalidade específica e informada². Quem trata dados em nome do cliente só pode usá-los para a finalidade definida por ele³, e uma cláusula de "melhoria contínua do serviço" dificilmente cobre treinar um produto vendido a outros clientes.</w:t>
      </w:r>
    </w:p>
    <w:p>
      <w:pPr>
        <w:pStyle w:val="Commarcadores"/>
      </w:pPr>
      <w:r>
        <w:rPr>
          <w:b/>
        </w:rPr>
        <w:t>Parte dos dados é anterior à empresa.</w:t>
      </w:r>
      <w:r>
        <w:t xml:space="preserve"> Há registros desde 2019, e a Lumis foi fundada em 2022 </w:t>
      </w:r>
      <w:r>
        <w:rPr>
          <w:rStyle w:val="TagFonte"/>
        </w:rPr>
        <w:t>[fonte: Cap. 2, Quadros 3 e 7]</w:t>
      </w:r>
      <w:r>
        <w:t xml:space="preserve">. Sob que cláusula esse histórico chegou </w:t>
      </w:r>
      <w:r>
        <w:rPr>
          <w:rStyle w:val="TagNoconsta"/>
        </w:rPr>
        <w:t>[não consta]</w:t>
      </w:r>
      <w:r>
        <w:t>.</w:t>
      </w:r>
    </w:p>
    <w:p>
      <w:pPr/>
      <w:r>
        <w:rPr>
          <w:b/>
        </w:rPr>
        <w:t>Recomendação:</w:t>
      </w:r>
      <w:r>
        <w:t xml:space="preserve"> parecer da DPO sobre os seis contratos antes do próximo treino, e renegociação de Prisma e Vila Ipê antes do vencimento, incluindo o histórico.</w:t>
      </w:r>
    </w:p>
    <w:p>
      <w:pPr>
        <w:pStyle w:val="Ttulo1"/>
      </w:pPr>
      <w:r>
        <w:t>2. O que o modelo mede de fato</w:t>
      </w:r>
    </w:p>
    <w:p>
      <w:pPr/>
      <w:r>
        <w:t xml:space="preserve">As variáveis que mais pesam no modelo deveriam medir necessidade e gravidade. Na prática, medem acesso: quem conseguiu ser atendido e quanto isso custou. Quem teve menos acesso parece menos grave. Esse é o caso de proxy que o capítulo descreve, e ele diz que "foi exatamente isso que aconteceu no incidente da Fase 1" </w:t>
      </w:r>
      <w:r>
        <w:rPr>
          <w:rStyle w:val="TagFonte"/>
        </w:rPr>
        <w:t>[fonte: Cap. 2, 2.2]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1396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2_prox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39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2. Quatro variáveis, que somam metade do peso do modelo, medem acesso. Fonte: Cap. 2, Quadro 8; leitura da equipe.</w:t>
      </w:r>
    </w:p>
    <w:p>
      <w:pPr/>
      <w:r>
        <w:rPr>
          <w:b/>
        </w:rPr>
        <w:t>Um caso real com o mesmo erro.</w:t>
      </w:r>
      <w:r>
        <w:t xml:space="preserve"> Em 2019, um estudo publicado na revista Science mostrou que um algoritmo usado nos Estados Unidos previa o custo do paciente, e não a doença¹. Pacientes negros, com menos acesso, gastavam menos e recebiam o mesmo escore de pacientes brancos mais saudáveis. O caso não faz parte da história da Lumis e entra como comparação.</w:t>
      </w:r>
    </w:p>
    <w:p>
      <w:pPr>
        <w:pStyle w:val="Ttulo1"/>
      </w:pPr>
      <w:r>
        <w:t>3. O que acontece em campo</w:t>
      </w:r>
    </w:p>
    <w:p>
      <w:pPr/>
      <w:r>
        <w:t xml:space="preserve">Os 94% de acurácia vêm de uma amostra de 2023 com dois hospitais da mesma região. Em campo, a parcela de pacientes que precisavam de prioridade e não receberam mais que dobrou, e o erro se concentra em quem já é mais vulnerável </w:t>
      </w:r>
      <w:r>
        <w:rPr>
          <w:rStyle w:val="TagFonte"/>
        </w:rPr>
        <w:t>[fonte: Cap. 2, Quadros 9 e 10]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1275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ubgrupo_v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27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3. Pacientes que precisavam de prioridade e não receberam, por grupo, 1º semestre de 2026. Fonte: Cap. 2, Quadros 9 e 10.</w:t>
      </w:r>
    </w:p>
    <w:p>
      <w:pPr/>
      <w:r>
        <w:t xml:space="preserve">Quem mediu o pior número foi o Hospital Vila Ipê, e não a Lumis. Só 2% das decisões passam por revisão humana, e as reclamações, que vêm na maioria de pacientes de CEP D/E, nunca foram cruzadas com o desempenho do modelo </w:t>
      </w:r>
      <w:r>
        <w:rPr>
          <w:rStyle w:val="TagFonte"/>
        </w:rPr>
        <w:t>[fonte: Cap. 2, Quadros 10, 12 e 17]</w:t>
      </w:r>
      <w:r>
        <w:t>.</w:t>
      </w:r>
    </w:p>
    <w:p>
      <w:pPr>
        <w:pStyle w:val="Ttulo1"/>
      </w:pPr>
      <w:r>
        <w:t>4. Os números que mostramos ao mercado</w:t>
      </w:r>
    </w:p>
    <w:p>
      <w:pPr/>
      <w:r>
        <w:t xml:space="preserve">O Vetor Capital avisou que número que não sobrevive a uma auditoria independente vira passivo. Passamos as métricas de hoje pelas quatro perguntas do capítulo </w:t>
      </w:r>
      <w:r>
        <w:rPr>
          <w:rStyle w:val="TagFonte"/>
        </w:rPr>
        <w:t>[fonte: Cap. 2, 2.3]</w:t>
      </w:r>
      <w:r>
        <w:t xml:space="preserve">, e nenhuma fica como está. O caso mais grave são os "5 milhões de vidas": a contagem repetida foi achada em janeiro e continua no material comercial </w:t>
      </w:r>
      <w:r>
        <w:rPr>
          <w:rStyle w:val="TagFonte"/>
        </w:rPr>
        <w:t>[fonte: Cap. 2, Quadro 14]</w:t>
      </w:r>
      <w:r>
        <w:t>. Manter esses números contradiz o compromisso de Transparência da nossa Declaração de Intenção.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4847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4_metrica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84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4. As métricas de hoje e as quatro perguntas. Todas saem ou são trocadas. Fonte: Cap. 2, Quadros 9, 11 e 14.</w:t>
      </w:r>
    </w:p>
    <w:p>
      <w:pPr>
        <w:pStyle w:val="Ttulo1"/>
      </w:pPr>
      <w:r>
        <w:t>5. O que passamos a medir e o que decidimos agora</w:t>
      </w:r>
    </w:p>
    <w:p>
      <w:pPr/>
      <w:r>
        <w:t>No lugar delas, propomos cinco indicadores. Cada um muda uma decisão concreta e se abre por grupo. Como a Lumis mede o erro do próprio produto, cada um tem alguém de fora que confere.</w:t>
      </w:r>
    </w:p>
    <w:p>
      <w:pPr/>
      <w:r>
        <w:rPr>
          <w:b/>
        </w:rPr>
        <w:t>A decisão de agora.</w:t>
      </w:r>
      <w:r>
        <w:t xml:space="preserve"> Dois grupos já passam do limite do indicador 1, o dobro do erro do melhor grupo: idosos de CEP C e de CEP D/E. O compromisso de Não Amplificação de Danos, da nossa Declaração de Intenção, manda suspender o uso até a correção quando há padrão de viés. Por isso recomendamos restringir já a recomendação automática nesses grupos. Cerca de um quarto das decisões volta à triagem do hospital, e o modelo segue rodando em paralelo para medir a correção. A Entrega 3 define quem executa a restrição.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888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fig5_indicador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88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>Figura 5. Os cinco indicadores e as quatro perguntas. Os limites que disparam cada decisão são proposta da equipe. Fonte: Cap. 2, Quadros 7, 10, 14 e 17.</w:t>
      </w:r>
    </w:p>
    <w:p>
      <w:pPr>
        <w:pStyle w:val="Ttulo1"/>
      </w:pPr>
      <w:r>
        <w:t>6. O que isso muda na tese</w:t>
      </w:r>
    </w:p>
    <w:p>
      <w:pPr/>
      <w:r>
        <w:t>A base de clientes só vira vantagem difícil de copiar quando tiver direito de uso limpo e erro por grupo que alguém de fora consiga refazer. Por isso, o memorando leva três condições prévias ao aporte: regularizar os contratos antes do vencimento, tirar do mercado os números que não se sustentam e medir o erro por grupo com conferência externa.</w:t>
      </w:r>
    </w:p>
    <w:p>
      <w:pPr>
        <w:pStyle w:val="Ttulo2"/>
      </w:pPr>
      <w:r>
        <w:t>Referências</w:t>
      </w:r>
    </w:p>
    <w:p>
      <w:pPr>
        <w:pStyle w:val="LumisNota"/>
      </w:pPr>
      <w:r>
        <w:t>1. OBERMEYER, Z. et al. Dissecting racial bias in an algorithm used to manage the health of populations. Science, v. 366, n. 6464, p. 447-453, 2019.</w:t>
      </w:r>
    </w:p>
    <w:p>
      <w:pPr>
        <w:pStyle w:val="LumisNota"/>
      </w:pPr>
      <w:r>
        <w:t>2. BRASIL. Lei nº 13.709/2018 (LGPD), arts. 5º, 6º e 11. Consulta em 06/10/2026.</w:t>
      </w:r>
    </w:p>
    <w:p>
      <w:pPr>
        <w:pStyle w:val="LumisNota"/>
      </w:pPr>
      <w:r>
        <w:t>3. ANPD. Guia Orientativo para Definições dos Agentes de Tratamento de Dados Pessoais e do Encarregado. Versão 2.0, 2022.</w:t>
      </w:r>
    </w:p>
    <w:p>
      <w:pPr>
        <w:pStyle w:val="LumisNota"/>
      </w:pPr>
      <w:r>
        <w:t>Dados da Lumis: Cap. 2, Anexo A. Contas e propostas são da equipe. A empresa real citada é análogo e não faz parte do caso Lumis.</w:t>
      </w:r>
    </w:p>
    <w:sectPr w:rsidR="00BF58EC" w:rsidRPr="000B48B4" w:rsidSect="00034616">
      <w:headerReference w:type="default" r:id="rId13"/>
      <w:footerReference w:type="default" r:id="rId14"/>
      <w:pgSz w:w="11906" w:h="16838"/>
      <w:pgMar w:top="141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F88766" w14:textId="77777777" w:rsidR="00CE6510" w:rsidRDefault="00CE6510">
      <w:pPr>
        <w:spacing w:after="0" w:line="240" w:lineRule="auto"/>
      </w:pPr>
      <w:r>
        <w:separator/>
      </w:r>
    </w:p>
  </w:endnote>
  <w:endnote w:type="continuationSeparator" w:id="0">
    <w:p w14:paraId="21CE8619" w14:textId="77777777" w:rsidR="00CE6510" w:rsidRDefault="00CE65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C2516" w14:textId="77777777" w:rsidR="00BF58EC" w:rsidRPr="000B48B4" w:rsidRDefault="00000000">
    <w:pPr>
      <w:pStyle w:val="Rodap"/>
      <w:jc w:val="right"/>
      <w:rPr>
        <w:lang w:val="pt-BR"/>
      </w:rPr>
    </w:pPr>
    <w:r w:rsidRPr="000B48B4">
      <w:rPr>
        <w:color w:val="6B7C85"/>
        <w:sz w:val="17"/>
        <w:lang w:val="pt-BR"/>
      </w:rPr>
      <w:t xml:space="preserve">Lumis Intelligence · Gestão em IA (FIAP) · página </w:t>
    </w:r>
    <w:r>
      <w:rPr>
        <w:color w:val="6B7C85"/>
        <w:sz w:val="17"/>
      </w:rPr>
      <w:fldChar w:fldCharType="begin"/>
    </w:r>
    <w:r w:rsidRPr="000B48B4">
      <w:rPr>
        <w:color w:val="6B7C85"/>
        <w:sz w:val="17"/>
        <w:lang w:val="pt-BR"/>
      </w:rPr>
      <w:instrText>PAGE</w:instrText>
    </w:r>
    <w:r w:rsidR="000B48B4">
      <w:rPr>
        <w:color w:val="6B7C85"/>
        <w:sz w:val="17"/>
      </w:rPr>
      <w:fldChar w:fldCharType="separate"/>
    </w:r>
    <w:r w:rsidR="000B48B4" w:rsidRPr="000B48B4">
      <w:rPr>
        <w:noProof/>
        <w:color w:val="6B7C85"/>
        <w:sz w:val="17"/>
        <w:lang w:val="pt-BR"/>
      </w:rPr>
      <w:t>2</w:t>
    </w:r>
    <w:r>
      <w:rPr>
        <w:color w:val="6B7C85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37813" w14:textId="77777777" w:rsidR="00CE6510" w:rsidRDefault="00CE6510">
      <w:pPr>
        <w:spacing w:after="0" w:line="240" w:lineRule="auto"/>
      </w:pPr>
      <w:r>
        <w:separator/>
      </w:r>
    </w:p>
  </w:footnote>
  <w:footnote w:type="continuationSeparator" w:id="0">
    <w:p w14:paraId="1EA068D1" w14:textId="77777777" w:rsidR="00CE6510" w:rsidRDefault="00CE65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4AC2F" w14:textId="77777777" w:rsidR="00BF58EC" w:rsidRDefault="00000000">
    <w:pPr>
      <w:pStyle w:val="Cabealho"/>
      <w:pBdr>
        <w:bottom w:val="single" w:sz="4" w:space="4" w:color="0F2D3A"/>
      </w:pBdr>
      <w:tabs>
        <w:tab w:val="right" w:pos="9071"/>
      </w:tabs>
    </w:pPr>
    <w:r>
      <w:rPr>
        <w:noProof/>
      </w:rPr>
      <w:drawing>
        <wp:inline distT="0" distB="0" distL="0" distR="0" wp14:anchorId="7FEFCB95" wp14:editId="2D620087">
          <wp:extent cx="1152000" cy="248123"/>
          <wp:effectExtent l="0" t="0" r="0" b="0"/>
          <wp:docPr id="105898144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umis-insight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2481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6B7C85"/>
        <w:sz w:val="17"/>
      </w:rPr>
      <w:tab/>
      <w:t>F2-E2 · Auditoria do Ativo</w:t>
    </w:r>
    <w:proofErr w:type="spellStart"/>
    <w:r>
      <w:rPr>
        <w:color w:val="6B7C85"/>
        <w:sz w:val="17"/>
      </w:rPr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2685996">
    <w:abstractNumId w:val="8"/>
  </w:num>
  <w:num w:numId="2" w16cid:durableId="1505046805">
    <w:abstractNumId w:val="6"/>
  </w:num>
  <w:num w:numId="3" w16cid:durableId="1496456512">
    <w:abstractNumId w:val="5"/>
  </w:num>
  <w:num w:numId="4" w16cid:durableId="1897742686">
    <w:abstractNumId w:val="4"/>
  </w:num>
  <w:num w:numId="5" w16cid:durableId="1141658611">
    <w:abstractNumId w:val="7"/>
  </w:num>
  <w:num w:numId="6" w16cid:durableId="1654798637">
    <w:abstractNumId w:val="3"/>
  </w:num>
  <w:num w:numId="7" w16cid:durableId="670180548">
    <w:abstractNumId w:val="2"/>
  </w:num>
  <w:num w:numId="8" w16cid:durableId="390352732">
    <w:abstractNumId w:val="1"/>
  </w:num>
  <w:num w:numId="9" w16cid:durableId="1449423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48B4"/>
    <w:rsid w:val="0015074B"/>
    <w:rsid w:val="0029639D"/>
    <w:rsid w:val="00326F90"/>
    <w:rsid w:val="009E3794"/>
    <w:rsid w:val="00AA1D8D"/>
    <w:rsid w:val="00B47730"/>
    <w:rsid w:val="00BF58EC"/>
    <w:rsid w:val="00CB0664"/>
    <w:rsid w:val="00CE65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9A207A"/>
  <w14:defaultImageDpi w14:val="300"/>
  <w15:docId w15:val="{230BA697-2509-4DA5-87ED-DF7BF7974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 w:cs="Calibri"/>
      <w:color w:val="18252C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pBdr>
        <w:bottom w:val="single" w:sz="8" w:space="4" w:color="3DBE93"/>
      </w:pBdr>
      <w:spacing w:before="360" w:line="264" w:lineRule="auto"/>
      <w:outlineLvl w:val="0"/>
    </w:pPr>
    <w:rPr>
      <w:rFonts w:ascii="Georgia" w:eastAsia="Georgia" w:hAnsi="Georgia" w:cs="Georgia"/>
      <w:bCs/>
      <w:color w:val="0F2D3A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80" w:line="264" w:lineRule="auto"/>
      <w:outlineLvl w:val="1"/>
    </w:pPr>
    <w:rPr>
      <w:rFonts w:ascii="Georgia" w:eastAsia="Georgia" w:hAnsi="Georgia" w:cs="Georgia"/>
      <w:bCs/>
      <w:color w:val="0F2D3A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40" w:line="264" w:lineRule="auto"/>
      <w:outlineLvl w:val="2"/>
    </w:pPr>
    <w:rPr>
      <w:b/>
      <w:bCs/>
      <w:color w:val="0F2D3A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spacing w:line="240" w:lineRule="auto"/>
      <w:contextualSpacing/>
    </w:pPr>
    <w:rPr>
      <w:rFonts w:ascii="Georgia" w:eastAsia="Georgia" w:hAnsi="Georgia" w:cs="Georgia"/>
      <w:color w:val="0F2D3A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spacing w:after="360"/>
    </w:pPr>
    <w:rPr>
      <w:iCs/>
      <w:color w:val="6B7C85"/>
      <w:sz w:val="26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before="80" w:after="200" w:line="240" w:lineRule="auto"/>
    </w:pPr>
    <w:rPr>
      <w:bCs/>
      <w:i/>
      <w:color w:val="6B7C85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umisDestaque">
    <w:name w:val="Lumis Destaque"/>
    <w:basedOn w:val="Normal"/>
    <w:qFormat/>
    <w:pPr>
      <w:pBdr>
        <w:left w:val="single" w:sz="24" w:space="10" w:color="3DBE93"/>
      </w:pBdr>
      <w:shd w:val="clear" w:color="auto" w:fill="EEF7F3"/>
      <w:spacing w:before="120" w:after="200" w:line="300" w:lineRule="auto"/>
      <w:ind w:left="227"/>
    </w:pPr>
    <w:rPr>
      <w:rFonts w:ascii="Georgia" w:eastAsia="Georgia" w:hAnsi="Georgia" w:cs="Georgia"/>
      <w:i/>
      <w:color w:val="0F2D3A"/>
      <w:sz w:val="24"/>
    </w:rPr>
  </w:style>
  <w:style w:type="paragraph" w:customStyle="1" w:styleId="LumisRtulo">
    <w:name w:val="Lumis Rótulo"/>
    <w:basedOn w:val="Normal"/>
    <w:qFormat/>
    <w:pPr>
      <w:spacing w:after="40" w:line="240" w:lineRule="auto"/>
    </w:pPr>
    <w:rPr>
      <w:b/>
      <w:caps/>
      <w:color w:val="1E8C6B"/>
      <w:spacing w:val="30"/>
      <w:sz w:val="18"/>
    </w:rPr>
  </w:style>
  <w:style w:type="paragraph" w:customStyle="1" w:styleId="LumisTabela">
    <w:name w:val="Lumis Tabela"/>
    <w:basedOn w:val="Normal"/>
    <w:qFormat/>
    <w:pPr>
      <w:spacing w:before="40" w:after="40" w:line="240" w:lineRule="auto"/>
    </w:pPr>
    <w:rPr>
      <w:sz w:val="19"/>
    </w:rPr>
  </w:style>
  <w:style w:type="paragraph" w:customStyle="1" w:styleId="LumisNota">
    <w:name w:val="Lumis Nota"/>
    <w:basedOn w:val="Normal"/>
    <w:qFormat/>
    <w:pPr>
      <w:spacing w:after="80" w:line="264" w:lineRule="auto"/>
    </w:pPr>
    <w:rPr>
      <w:color w:val="6B7C85"/>
      <w:sz w:val="18"/>
    </w:rPr>
  </w:style>
  <w:style w:type="character" w:customStyle="1" w:styleId="TagFonte">
    <w:name w:val="Tag Fonte"/>
    <w:qFormat/>
    <w:rPr>
      <w:rFonts w:ascii="Calibri" w:eastAsia="Calibri" w:hAnsi="Calibri" w:cs="Calibri"/>
      <w:b/>
      <w:i w:val="0"/>
      <w:color w:val="1E8C6B"/>
      <w:sz w:val="18"/>
    </w:rPr>
  </w:style>
  <w:style w:type="character" w:customStyle="1" w:styleId="TagHiptese">
    <w:name w:val="Tag Hipótese"/>
    <w:qFormat/>
    <w:rPr>
      <w:rFonts w:ascii="Calibri" w:eastAsia="Calibri" w:hAnsi="Calibri" w:cs="Calibri"/>
      <w:b/>
      <w:i w:val="0"/>
      <w:color w:val="B7791F"/>
      <w:sz w:val="18"/>
    </w:rPr>
  </w:style>
  <w:style w:type="character" w:customStyle="1" w:styleId="TagNoconsta">
    <w:name w:val="Tag Não consta"/>
    <w:qFormat/>
    <w:rPr>
      <w:rFonts w:ascii="Calibri" w:eastAsia="Calibri" w:hAnsi="Calibri" w:cs="Calibri"/>
      <w:b/>
      <w:i w:val="0"/>
      <w:color w:val="6B7C85"/>
      <w:sz w:val="18"/>
    </w:rPr>
  </w:style>
  <w:style w:type="character" w:customStyle="1" w:styleId="TagRisco">
    <w:name w:val="Tag Risco"/>
    <w:qFormat/>
    <w:rPr>
      <w:rFonts w:ascii="Calibri" w:eastAsia="Calibri" w:hAnsi="Calibri" w:cs="Calibri"/>
      <w:b/>
      <w:i w:val="0"/>
      <w:color w:val="B4442F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9</Pages>
  <Words>2943</Words>
  <Characters>15898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Halfen Simon</cp:lastModifiedBy>
  <cp:revision>2</cp:revision>
  <dcterms:created xsi:type="dcterms:W3CDTF">2013-12-23T23:15:00Z</dcterms:created>
  <dcterms:modified xsi:type="dcterms:W3CDTF">2026-10-06T21:29:00Z</dcterms:modified>
  <cp:category/>
</cp:coreProperties>
</file>