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881B4" w14:textId="29373098" w:rsidR="000B48B4" w:rsidRPr="000B48B4" w:rsidRDefault="000B48B4" w:rsidP="000B48B4">
      <w:pPr>
        <w:pStyle w:val="Ttulo"/>
        <w:rPr>
          <w:lang w:val="pt-BR"/>
        </w:rPr>
      </w:pPr>
      <w:r w:rsidRPr="000B48B4">
        <w:rPr>
          <w:lang w:val="pt-BR"/>
        </w:rPr>
        <w:t>Auditoria do Ativo</w:t>
      </w:r>
    </w:p>
    <w:p w14:paraId="3ED05A9D" w14:textId="681CFDF5" w:rsidR="00BF58EC" w:rsidRPr="000B48B4" w:rsidRDefault="000B48B4" w:rsidP="000B48B4">
      <w:pPr>
        <w:pStyle w:val="Subttulo"/>
        <w:rPr>
          <w:lang w:val="pt-BR"/>
        </w:rPr>
      </w:pPr>
      <w:r w:rsidRPr="000B48B4">
        <w:rPr>
          <w:lang w:val="pt-BR"/>
        </w:rPr>
        <w:t>Relatório ao Conselho: de que é feito o ativo da Lumis e que números sobrevivem a uma auditoria independente</w:t>
      </w:r>
      <w:r>
        <w:rPr>
          <w:lang w:val="pt-BR"/>
        </w:rPr>
      </w:r>
    </w:p>
    <w:p>
      <w:pPr>
        <w:pStyle w:val="LumisDestaque"/>
      </w:pPr>
      <w:r>
        <w:t>Hoje o ativo da Lumis não passa numa auditoria independente. A parte da base que só a Lumis tem está sob contratos frágeis, e o modelo erra mais justamente com quem mais precisa de prioridade.</w:t>
      </w:r>
    </w:p>
    <w:p>
      <w:pPr/>
      <w:r>
        <w:t>Um terço dos dados de clientes vem de contratos que não autorizam com clareza o treino do modelo, e nenhum contrato de dados foi revisado pelo jurídico. Em campo, de cada 10 idosos de CEP D/E que precisavam de prioridade, 3 ficaram para trás, e quem descobriu foi o hospital. Nenhuma das cinco afirmações que a Lumis divulga ao mercado resiste a uma auditoria do jeito que é divulgada.</w:t>
      </w:r>
    </w:p>
    <w:p>
      <w:pPr/>
      <w:r>
        <w:rPr>
          <w:b/>
        </w:rPr>
        <w:t>Pedido ao conselho:</w:t>
      </w:r>
      <w:r>
        <w:t xml:space="preserve"> Restringir a recomendação automática para pacientes com 60 anos ou mais de CEP C e D/E, com o custo descrito na seção 5. E tirar do material comercial os números que não se sustentam.</w:t>
      </w:r>
    </w:p>
    <w:p>
      <w:pPr>
        <w:pStyle w:val="Ttulo1"/>
      </w:pPr>
      <w:r>
        <w:t>1. De onde vêm os dados e se a Lumis pode usá-los</w:t>
      </w:r>
    </w:p>
    <w:p>
      <w:pPr/>
      <w:r>
        <w:t>Dois terços da base são do DATASUS, que é público e está aberto a qualquer concorrente. O que só a Lumis tem são os dados de clientes, pouco mais de um quarto da base, e é nessa parte que estão os problemas.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927"/>
        <w:gridCol w:w="2835"/>
        <w:gridCol w:w="1134"/>
        <w:gridCol w:w="3175"/>
      </w:tblGrid>
      <w:tr>
        <w:trPr>
          <w:tblHeader w:val="true"/>
          <w:cantSplit/>
        </w:trPr>
        <w:tc>
          <w:tcPr>
            <w:tcW w:type="dxa" w:w="192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Fonte</w:t>
            </w:r>
          </w:p>
        </w:tc>
        <w:tc>
          <w:tcPr>
            <w:tcW w:type="dxa" w:w="2835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O que o contrato diz sobre treino</w:t>
            </w:r>
          </w:p>
        </w:tc>
        <w:tc>
          <w:tcPr>
            <w:tcW w:type="dxa" w:w="113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Vence</w:t>
            </w:r>
          </w:p>
        </w:tc>
        <w:tc>
          <w:tcPr>
            <w:tcW w:type="dxa" w:w="3175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Leitura da equipe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</w:pPr>
            <w:r>
              <w:rPr>
                <w:b/>
              </w:rPr>
              <w:t>Seguradora Prisma</w:t>
            </w:r>
          </w:p>
        </w:tc>
        <w:tc>
          <w:tcPr>
            <w:tcW w:type="dxa" w:w="2835"/>
          </w:tcPr>
          <w:p>
            <w:pPr>
              <w:pStyle w:val="LumisTabela"/>
            </w:pPr>
            <w:r>
              <w:t>Nada (contrato silente)</w:t>
            </w:r>
          </w:p>
        </w:tc>
        <w:tc>
          <w:tcPr>
            <w:tcW w:type="dxa" w:w="1134"/>
          </w:tcPr>
          <w:p>
            <w:pPr>
              <w:pStyle w:val="LumisTabela"/>
            </w:pPr>
            <w:r>
              <w:t>12/2026</w:t>
            </w:r>
          </w:p>
        </w:tc>
        <w:tc>
          <w:tcPr>
            <w:tcW w:type="dxa" w:w="3175"/>
          </w:tcPr>
          <w:p>
            <w:pPr>
              <w:pStyle w:val="LumisTabela"/>
            </w:pPr>
            <w:r>
              <w:t>Sem autorização. Vence em menos de três meses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rPr>
                <w:b/>
              </w:rPr>
              <w:t>Hospital Vila Ipê</w:t>
            </w:r>
          </w:p>
        </w:tc>
        <w:tc>
          <w:tcPr>
            <w:tcW w:type="dxa" w:w="2835"/>
            <w:shd w:val="clear" w:color="auto" w:fill="F1F6F4"/>
          </w:tcPr>
          <w:p>
            <w:pPr>
              <w:pStyle w:val="LumisTabela"/>
            </w:pPr>
            <w:r>
              <w:t>Cláusula genérica: "melhoria contínua do serviço"</w:t>
            </w:r>
          </w:p>
        </w:tc>
        <w:tc>
          <w:tcPr>
            <w:tcW w:type="dxa" w:w="1134"/>
            <w:shd w:val="clear" w:color="auto" w:fill="F1F6F4"/>
          </w:tcPr>
          <w:p>
            <w:pPr>
              <w:pStyle w:val="LumisTabela"/>
            </w:pPr>
            <w:r>
              <w:t>03/2027</w:t>
            </w:r>
          </w:p>
        </w:tc>
        <w:tc>
          <w:tcPr>
            <w:tcW w:type="dxa" w:w="3175"/>
            <w:shd w:val="clear" w:color="auto" w:fill="F1F6F4"/>
          </w:tcPr>
          <w:p>
            <w:pPr>
              <w:pStyle w:val="LumisTabela"/>
            </w:pPr>
            <w:r>
              <w:t>Autorização frágil. É também o hospital que notificou o viés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</w:pPr>
            <w:r>
              <w:rPr>
                <w:b/>
              </w:rPr>
              <w:t>Rede Sanare</w:t>
            </w:r>
          </w:p>
        </w:tc>
        <w:tc>
          <w:tcPr>
            <w:tcW w:type="dxa" w:w="2835"/>
          </w:tcPr>
          <w:p>
            <w:pPr>
              <w:pStyle w:val="LumisTabela"/>
            </w:pPr>
            <w:r>
              <w:t>Sim, para uso agregado e anonimizado</w:t>
            </w:r>
          </w:p>
        </w:tc>
        <w:tc>
          <w:tcPr>
            <w:tcW w:type="dxa" w:w="1134"/>
          </w:tcPr>
          <w:p>
            <w:pPr>
              <w:pStyle w:val="LumisTabela"/>
            </w:pPr>
            <w:r>
              <w:t>08/2028</w:t>
            </w:r>
          </w:p>
        </w:tc>
        <w:tc>
          <w:tcPr>
            <w:tcW w:type="dxa" w:w="3175"/>
          </w:tcPr>
          <w:p>
            <w:pPr>
              <w:pStyle w:val="LumisTabela"/>
            </w:pPr>
            <w:r>
              <w:t>Autoriza com condição.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rPr>
                <w:b/>
              </w:rPr>
              <w:t>Banco Meridiano</w:t>
            </w:r>
          </w:p>
        </w:tc>
        <w:tc>
          <w:tcPr>
            <w:tcW w:type="dxa" w:w="2835"/>
            <w:shd w:val="clear" w:color="auto" w:fill="F1F6F4"/>
          </w:tcPr>
          <w:p>
            <w:pPr>
              <w:pStyle w:val="LumisTabela"/>
            </w:pPr>
            <w:r>
              <w:t>Sim, com auditoria anual do cliente</w:t>
            </w:r>
          </w:p>
        </w:tc>
        <w:tc>
          <w:tcPr>
            <w:tcW w:type="dxa" w:w="1134"/>
            <w:shd w:val="clear" w:color="auto" w:fill="F1F6F4"/>
          </w:tcPr>
          <w:p>
            <w:pPr>
              <w:pStyle w:val="LumisTabela"/>
            </w:pPr>
            <w:r>
              <w:t>05/2028</w:t>
            </w:r>
          </w:p>
        </w:tc>
        <w:tc>
          <w:tcPr>
            <w:tcW w:type="dxa" w:w="3175"/>
            <w:shd w:val="clear" w:color="auto" w:fill="F1F6F4"/>
          </w:tcPr>
          <w:p>
            <w:pPr>
              <w:pStyle w:val="LumisTabela"/>
            </w:pPr>
            <w:r>
              <w:t>Autoriza com condição.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  <w:keepNext/>
            </w:pPr>
            <w:r>
              <w:rPr>
                <w:b/>
              </w:rPr>
              <w:t>DATASUS e sintéticos</w:t>
            </w:r>
          </w:p>
        </w:tc>
        <w:tc>
          <w:tcPr>
            <w:tcW w:type="dxa" w:w="2835"/>
          </w:tcPr>
          <w:p>
            <w:pPr>
              <w:pStyle w:val="LumisTabela"/>
              <w:keepNext/>
            </w:pPr>
            <w:r>
              <w:t>Uso público e geração própria</w:t>
            </w:r>
          </w:p>
        </w:tc>
        <w:tc>
          <w:tcPr>
            <w:tcW w:type="dxa" w:w="1134"/>
          </w:tcPr>
          <w:p>
            <w:pPr>
              <w:pStyle w:val="LumisTabela"/>
              <w:keepNext/>
            </w:pPr>
            <w:r>
              <w:t>Não se aplica</w:t>
            </w:r>
          </w:p>
        </w:tc>
        <w:tc>
          <w:tcPr>
            <w:tcW w:type="dxa" w:w="3175"/>
          </w:tcPr>
          <w:p>
            <w:pPr>
              <w:pStyle w:val="LumisTabela"/>
              <w:keepNext/>
            </w:pPr>
            <w:r>
              <w:t>Autorizados. O DATASUS é aberto a todos</w:t>
            </w:r>
          </w:p>
        </w:tc>
      </w:tr>
    </w:tbl>
    <w:p>
      <w:pPr>
        <w:pStyle w:val="Legenda"/>
      </w:pPr>
      <w:r>
        <w:t>Tabela 1. As fontes da base de treinamento, da mais frágil para a mais segura. Fonte: Cap. 2, Quadro 7; leitura da equipe.</w:t>
      </w:r>
    </w:p>
    <w:p>
      <w:pPr>
        <w:pStyle w:val="Commarcadores"/>
      </w:pPr>
      <w:r>
        <w:rPr>
          <w:b/>
        </w:rPr>
        <w:t>Os contratos mais frágeis são os que vencem primeiro.</w:t>
      </w:r>
      <w:r>
        <w:t xml:space="preserve"> Prisma e Vila Ipê somam um terço dos dados de clientes. Nenhum dos seis contratos de dados passou por revisão jurídica, e o modelo atual já foi treinado com esses dados. O risco existe hoje, antes de qualquer vencimento.</w:t>
      </w:r>
    </w:p>
    <w:p>
      <w:pPr>
        <w:pStyle w:val="Commarcadores"/>
      </w:pPr>
      <w:r>
        <w:rPr>
          <w:b/>
        </w:rPr>
        <w:t>Base legal.</w:t>
      </w:r>
      <w:r>
        <w:t xml:space="preserve"> Dado de saúde é dado pessoal sensível, e a LGPD pede finalidade específica e informada ao titular². Uma cláusula de "melhoria contínua do serviço" dificilmente cobre treinar um produto vendido a outros clientes. Quem trata dados em nome do cliente só pode usá-los para a finalidade definida por ele³. Ao treinar o próprio modelo, a Lumis passa a decidir uma finalidade própria e precisaria de base legal própria.</w:t>
      </w:r>
    </w:p>
    <w:p>
      <w:pPr>
        <w:pStyle w:val="Commarcadores"/>
      </w:pPr>
      <w:r>
        <w:rPr>
          <w:b/>
        </w:rPr>
        <w:t>Dados anteriores à empresa.</w:t>
      </w:r>
      <w:r>
        <w:t xml:space="preserve"> A Lumis foi fundada em 2022, e parte dos dados de clientes começa em 2019 </w:t>
      </w:r>
      <w:r>
        <w:rPr>
          <w:rStyle w:val="TagFonte"/>
        </w:rPr>
        <w:t>[fonte: Cap. 2, Quadros 3 e 7]</w:t>
      </w:r>
      <w:r>
        <w:t xml:space="preserve">. Sob que cláusula esse histórico chegou </w:t>
      </w:r>
      <w:r>
        <w:rPr>
          <w:rStyle w:val="TagNoconsta"/>
        </w:rPr>
        <w:t>[não consta]</w:t>
      </w:r>
      <w:r>
        <w:t>. É a primeira pergunta que uma due diligence faria.</w:t>
      </w:r>
    </w:p>
    <w:p>
      <w:pPr/>
      <w:r>
        <w:t>O que é defensável hoje são os dados da Sanare e do Meridiano, e mesmo eles dependem de condições que ninguém verificou. A recomendação é ter o parecer da DPO sobre os seis contratos antes do próximo treino, renegociar Prisma e Vila Ipê antes do vencimento, incluindo o histórico, e aprovar a política de dados de saúde, parada desde 2024.</w:t>
      </w:r>
    </w:p>
    <w:p>
      <w:pPr>
        <w:pStyle w:val="Ttulo1"/>
      </w:pPr>
      <w:r>
        <w:t>2. O que o modelo mede de fato</w:t>
      </w:r>
    </w:p>
    <w:p>
      <w:pPr/>
      <w:r>
        <w:t xml:space="preserve">As duas variáveis que mais pesam no modelo, número de atendimentos e custo acumulado, deveriam medir necessidade de cuidado e gravidade. Na prática, medem quem conseguiu ser atendido e quanto isso custou. Quem teve menos acesso parece menos grave para o modelo. O capítulo descreve esse caso e diz que "foi exatamente isso que aconteceu no incidente da Fase 1" </w:t>
      </w:r>
      <w:r>
        <w:rPr>
          <w:rStyle w:val="TagFonte"/>
        </w:rPr>
        <w:t>[fonte: Cap. 2, 2.2]</w:t>
      </w:r>
      <w:r>
        <w:t>.</w:t>
      </w:r>
    </w:p>
    <w:p>
      <w:pPr/>
      <w:r>
        <w:rPr>
          <w:b/>
        </w:rPr>
        <w:t>Um caso real com o mesmo erro.</w:t>
      </w:r>
      <w:r>
        <w:t xml:space="preserve"> Em 2019, pesquisadores publicaram na revista Science a análise de um algoritmo comercial usado nos Estados Unidos para escolher pacientes para cuidado extra¹. O algoritmo previa quanto cada paciente ia custar, e não quão doente estava. Como pacientes negros tinham menos acesso a atendimento, gastavam menos e recebiam o mesmo escore que pacientes brancos mais saudáveis. Com a medida corrigida, a parcela de pacientes negros indicados para cuidado extra mais que dobraria. Na Lumis, o mecanismo é o mesmo, e quem fica para trás é quem tem menos acesso, como os idosos de CEP D/E. O caso não faz parte da história da Lumis e entra como comparação.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814"/>
        <w:gridCol w:w="2041"/>
        <w:gridCol w:w="2268"/>
        <w:gridCol w:w="2948"/>
      </w:tblGrid>
      <w:tr>
        <w:trPr>
          <w:tblHeader w:val="true"/>
          <w:cantSplit/>
        </w:trPr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Variável</w:t>
            </w:r>
          </w:p>
        </w:tc>
        <w:tc>
          <w:tcPr>
            <w:tcW w:type="dxa" w:w="204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A empresa diz medir</w:t>
            </w:r>
          </w:p>
        </w:tc>
        <w:tc>
          <w:tcPr>
            <w:tcW w:type="dxa" w:w="226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O que tende a medir</w:t>
            </w:r>
          </w:p>
        </w:tc>
        <w:tc>
          <w:tcPr>
            <w:tcW w:type="dxa" w:w="294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Efeito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</w:pPr>
            <w:r>
              <w:t>Nº de atendimentos</w:t>
            </w:r>
          </w:p>
        </w:tc>
        <w:tc>
          <w:tcPr>
            <w:tcW w:type="dxa" w:w="2041"/>
          </w:tcPr>
          <w:p>
            <w:pPr>
              <w:pStyle w:val="LumisTabela"/>
            </w:pPr>
            <w:r>
              <w:t>Necessidade de cuidado</w:t>
            </w:r>
          </w:p>
        </w:tc>
        <w:tc>
          <w:tcPr>
            <w:tcW w:type="dxa" w:w="2268"/>
          </w:tcPr>
          <w:p>
            <w:pPr>
              <w:pStyle w:val="LumisTabela"/>
            </w:pPr>
            <w:r>
              <w:t>Quem conseguiu ser atendido</w:t>
            </w:r>
          </w:p>
        </w:tc>
        <w:tc>
          <w:tcPr>
            <w:tcW w:type="dxa" w:w="2948"/>
          </w:tcPr>
          <w:p>
            <w:pPr>
              <w:pStyle w:val="LumisTabela"/>
            </w:pPr>
            <w:r>
              <w:t>Quem tem menos acesso parece precisar de menos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Custo acumulado</w:t>
            </w:r>
          </w:p>
        </w:tc>
        <w:tc>
          <w:tcPr>
            <w:tcW w:type="dxa" w:w="2041"/>
            <w:shd w:val="clear" w:color="auto" w:fill="F1F6F4"/>
          </w:tcPr>
          <w:p>
            <w:pPr>
              <w:pStyle w:val="LumisTabela"/>
            </w:pPr>
            <w:r>
              <w:t>Gravidade</w:t>
            </w:r>
          </w:p>
        </w:tc>
        <w:tc>
          <w:tcPr>
            <w:tcW w:type="dxa" w:w="2268"/>
            <w:shd w:val="clear" w:color="auto" w:fill="F1F6F4"/>
          </w:tcPr>
          <w:p>
            <w:pPr>
              <w:pStyle w:val="LumisTabela"/>
            </w:pPr>
            <w:r>
              <w:t>Acesso a procedimentos pagos</w:t>
            </w:r>
          </w:p>
        </w:tc>
        <w:tc>
          <w:tcPr>
            <w:tcW w:type="dxa" w:w="2948"/>
            <w:shd w:val="clear" w:color="auto" w:fill="F1F6F4"/>
          </w:tcPr>
          <w:p>
            <w:pPr>
              <w:pStyle w:val="LumisTabela"/>
            </w:pPr>
            <w:r>
              <w:t>Quem gasta menos parece menos grave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</w:pPr>
            <w:r>
              <w:t>Faixa de CEP</w:t>
            </w:r>
          </w:p>
        </w:tc>
        <w:tc>
          <w:tcPr>
            <w:tcW w:type="dxa" w:w="2041"/>
          </w:tcPr>
          <w:p>
            <w:pPr>
              <w:pStyle w:val="LumisTabela"/>
            </w:pPr>
            <w:r>
              <w:t>Região de residência</w:t>
            </w:r>
          </w:p>
        </w:tc>
        <w:tc>
          <w:tcPr>
            <w:tcW w:type="dxa" w:w="2268"/>
          </w:tcPr>
          <w:p>
            <w:pPr>
              <w:pStyle w:val="LumisTabela"/>
            </w:pPr>
            <w:r>
              <w:t>Renda e oferta de serviços</w:t>
            </w:r>
          </w:p>
        </w:tc>
        <w:tc>
          <w:tcPr>
            <w:tcW w:type="dxa" w:w="2948"/>
          </w:tcPr>
          <w:p>
            <w:pPr>
              <w:pStyle w:val="LumisTabela"/>
            </w:pPr>
            <w:r>
              <w:t>Leva a desigualdade regional para o modelo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6F4"/>
          </w:tcPr>
          <w:p>
            <w:pPr>
              <w:pStyle w:val="LumisTabela"/>
              <w:keepNext/>
            </w:pPr>
            <w:r>
              <w:t>Tipo de plano</w:t>
            </w:r>
          </w:p>
        </w:tc>
        <w:tc>
          <w:tcPr>
            <w:tcW w:type="dxa" w:w="2041"/>
            <w:shd w:val="clear" w:color="auto" w:fill="F1F6F4"/>
          </w:tcPr>
          <w:p>
            <w:pPr>
              <w:pStyle w:val="LumisTabela"/>
              <w:keepNext/>
            </w:pPr>
            <w:r>
              <w:t>Cobertura contratada</w:t>
            </w:r>
          </w:p>
        </w:tc>
        <w:tc>
          <w:tcPr>
            <w:tcW w:type="dxa" w:w="2268"/>
            <w:shd w:val="clear" w:color="auto" w:fill="F1F6F4"/>
          </w:tcPr>
          <w:p>
            <w:pPr>
              <w:pStyle w:val="LumisTabela"/>
              <w:keepNext/>
            </w:pPr>
            <w:r>
              <w:t>Renda</w:t>
            </w:r>
          </w:p>
        </w:tc>
        <w:tc>
          <w:tcPr>
            <w:tcW w:type="dxa" w:w="2948"/>
            <w:shd w:val="clear" w:color="auto" w:fill="F1F6F4"/>
          </w:tcPr>
          <w:p>
            <w:pPr>
              <w:pStyle w:val="LumisTabela"/>
              <w:keepNext/>
            </w:pPr>
            <w:r>
              <w:t>A prioridade passa a depender do plano</w:t>
            </w:r>
          </w:p>
        </w:tc>
      </w:tr>
    </w:tbl>
    <w:p>
      <w:pPr>
        <w:pStyle w:val="Legenda"/>
      </w:pPr>
      <w:r>
        <w:t>Tabela 2. As variáveis que medem acesso. Juntas, são metade do peso do modelo. Fonte: Cap. 2, Quadro 8; leitura da equipe.</w:t>
      </w:r>
    </w:p>
    <w:p>
      <w:pPr/>
      <w:r>
        <w:t xml:space="preserve">O CEP reforça o caso: com a mesma idade, o erro cresce de A/B para D/E nas duas faixas etárias </w:t>
      </w:r>
      <w:r>
        <w:rPr>
          <w:rStyle w:val="TagFonte"/>
        </w:rPr>
        <w:t>[fonte: Cap. 2, Quadro 10]</w:t>
      </w:r>
      <w:r>
        <w:t>. Por que os idosos são os mais afetados o anexo não permite separar, e os testes ficam para a Fase 3.</w:t>
      </w:r>
    </w:p>
    <w:p>
      <w:pPr>
        <w:pStyle w:val="Ttulo1"/>
      </w:pPr>
      <w:r>
        <w:t>3. O que acontece em campo</w:t>
      </w:r>
    </w:p>
    <w:p>
      <w:pPr/>
      <w:r>
        <w:t xml:space="preserve">Os 94% de acurácia vêm de uma amostra de 2023 com dois hospitais da mesma região. Em campo, o número que importa para priorização, o paciente que precisava de prioridade e não recebeu, mais que dobrou </w:t>
      </w:r>
      <w:r>
        <w:rPr>
          <w:rStyle w:val="TagFonte"/>
        </w:rPr>
        <w:t>[fonte: Cap. 2, Quadro 9]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1275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ubgrupo_v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27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>Figura 1. Pacientes que precisavam de prioridade e não receberam, por grupo, 1º semestre de 2026. Fonte: Cap. 2, Quadros 9 e 10.</w:t>
      </w:r>
    </w:p>
    <w:p>
      <w:pPr/>
      <w:r>
        <w:t xml:space="preserve">O erro se concentra em quem já é mais vulnerável: o modelo deixa de priorizar idosos de CEP D/E três vezes mais que adultos de CEP A/B. Foi o Hospital Vila Ipê que mediu isso, e não a Lumis. Só 2% das decisões passam por revisão humana, e as reclamações dos pacientes de CEP D/E, que são a maioria, nunca foram cruzadas com o desempenho do modelo </w:t>
      </w:r>
      <w:r>
        <w:rPr>
          <w:rStyle w:val="TagFonte"/>
        </w:rPr>
        <w:t>[fonte: Cap. 2, Quadros 10, 12 e 17]</w:t>
      </w:r>
      <w:r>
        <w:t>.</w:t>
      </w:r>
    </w:p>
    <w:p>
      <w:pPr>
        <w:pStyle w:val="Ttulo1"/>
      </w:pPr>
      <w:r>
        <w:t>4. Os números que mostramos ao mercado</w:t>
      </w:r>
    </w:p>
    <w:p>
      <w:pPr/>
      <w:r>
        <w:t xml:space="preserve">O Vetor Capital avisou que número que não sobrevive a uma auditoria independente vira passivo. Passamos cada afirmação do painel comercial pelas quatro perguntas que o capítulo propõe para qualquer métrica </w:t>
      </w:r>
      <w:r>
        <w:rPr>
          <w:rStyle w:val="TagFonte"/>
        </w:rPr>
        <w:t>[fonte: Cap. 2, 2.3]</w:t>
      </w:r>
      <w:r>
        <w:t>. Na maior parte dos casos, o número está certo e a forma de divulgar é que não se sustenta.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814"/>
        <w:gridCol w:w="2041"/>
        <w:gridCol w:w="1587"/>
        <w:gridCol w:w="1814"/>
        <w:gridCol w:w="1814"/>
      </w:tblGrid>
      <w:tr>
        <w:trPr>
          <w:tblHeader w:val="true"/>
          <w:cantSplit/>
        </w:trPr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Afirmação</w:t>
            </w:r>
          </w:p>
        </w:tc>
        <w:tc>
          <w:tcPr>
            <w:tcW w:type="dxa" w:w="204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Medida em quê e por quem?</w:t>
            </w:r>
          </w:p>
        </w:tc>
        <w:tc>
          <w:tcPr>
            <w:tcW w:type="dxa" w:w="1587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Muda alguma decisão?</w:t>
            </w:r>
          </w:p>
        </w:tc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Esconde qual distribuição?</w:t>
            </w:r>
          </w:p>
        </w:tc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Destino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</w:pPr>
            <w:r>
              <w:t>"Acurácia de 94%"</w:t>
            </w:r>
          </w:p>
        </w:tc>
        <w:tc>
          <w:tcPr>
            <w:tcW w:type="dxa" w:w="2041"/>
          </w:tcPr>
          <w:p>
            <w:pPr>
              <w:pStyle w:val="LumisTabela"/>
            </w:pPr>
            <w:r>
              <w:t xml:space="preserve">Amostra de 2023, dois hospitais da mesma região. Quem apurou </w:t>
            </w:r>
            <w:r>
              <w:rPr>
                <w:rStyle w:val="TagNoconsta"/>
              </w:rPr>
              <w:t>[não consta]</w:t>
            </w:r>
          </w:p>
        </w:tc>
        <w:tc>
          <w:tcPr>
            <w:tcW w:type="dxa" w:w="1587"/>
          </w:tcPr>
          <w:p>
            <w:pPr>
              <w:pStyle w:val="LumisTabela"/>
            </w:pPr>
            <w:r>
              <w:t>Não. Virou discurso comercial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t>O erro em campo e por grupo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t>Trocar pelo erro em campo por grupo (indicador 1)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"Redução de 30% no tempo de triagem"</w:t>
            </w:r>
          </w:p>
        </w:tc>
        <w:tc>
          <w:tcPr>
            <w:tcW w:type="dxa" w:w="2041"/>
            <w:shd w:val="clear" w:color="auto" w:fill="F1F6F4"/>
          </w:tcPr>
          <w:p>
            <w:pPr>
              <w:pStyle w:val="LumisTabela"/>
            </w:pPr>
            <w:r>
              <w:t>Piloto de seis semanas em um hospital, sem comparação</w:t>
            </w:r>
          </w:p>
        </w:tc>
        <w:tc>
          <w:tcPr>
            <w:tcW w:type="dxa" w:w="1587"/>
            <w:shd w:val="clear" w:color="auto" w:fill="F1F6F4"/>
          </w:tcPr>
          <w:p>
            <w:pPr>
              <w:pStyle w:val="LumisTabela"/>
            </w:pPr>
            <w:r>
              <w:t>Não, porque não há com o que comparar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Não abre por grupo nem por hospital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Retirar até haver estudo com comparação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</w:pPr>
            <w:r>
              <w:t>"Mais de 5 milhões de vidas analisadas"</w:t>
            </w:r>
          </w:p>
        </w:tc>
        <w:tc>
          <w:tcPr>
            <w:tcW w:type="dxa" w:w="2041"/>
          </w:tcPr>
          <w:p>
            <w:pPr>
              <w:pStyle w:val="LumisTabela"/>
            </w:pPr>
            <w:r>
              <w:t>Processamentos, com o mesmo paciente contado mais de uma vez</w:t>
            </w:r>
          </w:p>
        </w:tc>
        <w:tc>
          <w:tcPr>
            <w:tcW w:type="dxa" w:w="1587"/>
          </w:tcPr>
          <w:p>
            <w:pPr>
              <w:pStyle w:val="LumisTabela"/>
            </w:pPr>
            <w:r>
              <w:t>Não. É volume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t xml:space="preserve">Quantas pessoas únicas há </w:t>
            </w:r>
            <w:r>
              <w:rPr>
                <w:rStyle w:val="TagNoconsta"/>
              </w:rPr>
              <w:t>[não consta]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t>Retirar já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"NPS 72"</w:t>
            </w:r>
          </w:p>
        </w:tc>
        <w:tc>
          <w:tcPr>
            <w:tcW w:type="dxa" w:w="2041"/>
            <w:shd w:val="clear" w:color="auto" w:fill="F1F6F4"/>
          </w:tcPr>
          <w:p>
            <w:pPr>
              <w:pStyle w:val="LumisTabela"/>
            </w:pPr>
            <w:r>
              <w:t>9 clientes escolhidos pelo comercial</w:t>
            </w:r>
          </w:p>
        </w:tc>
        <w:tc>
          <w:tcPr>
            <w:tcW w:type="dxa" w:w="1587"/>
            <w:shd w:val="clear" w:color="auto" w:fill="F1F6F4"/>
          </w:tcPr>
          <w:p>
            <w:pPr>
              <w:pStyle w:val="LumisTabela"/>
            </w:pPr>
            <w:r>
              <w:t>Não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O restante das 38 contas e as reclamações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Trocar pelas reclamações por grupo (indicador 3)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  <w:keepNext/>
            </w:pPr>
            <w:r>
              <w:t>"Disponibilidade de 99,9%"</w:t>
            </w:r>
          </w:p>
        </w:tc>
        <w:tc>
          <w:tcPr>
            <w:tcW w:type="dxa" w:w="2041"/>
          </w:tcPr>
          <w:p>
            <w:pPr>
              <w:pStyle w:val="LumisTabela"/>
              <w:keepNext/>
            </w:pPr>
            <w:r>
              <w:t>Só a interface técnica</w:t>
            </w:r>
          </w:p>
        </w:tc>
        <w:tc>
          <w:tcPr>
            <w:tcW w:type="dxa" w:w="1587"/>
          </w:tcPr>
          <w:p>
            <w:pPr>
              <w:pStyle w:val="LumisTabela"/>
              <w:keepNext/>
            </w:pPr>
            <w:r>
              <w:t>Pouco. É operacional</w:t>
            </w:r>
          </w:p>
        </w:tc>
        <w:tc>
          <w:tcPr>
            <w:tcW w:type="dxa" w:w="1814"/>
          </w:tcPr>
          <w:p>
            <w:pPr>
              <w:pStyle w:val="LumisTabela"/>
              <w:keepNext/>
            </w:pPr>
            <w:r>
              <w:t>O serviço completo e a qualidade da resposta</w:t>
            </w:r>
          </w:p>
        </w:tc>
        <w:tc>
          <w:tcPr>
            <w:tcW w:type="dxa" w:w="1814"/>
          </w:tcPr>
          <w:p>
            <w:pPr>
              <w:pStyle w:val="LumisTabela"/>
              <w:keepNext/>
            </w:pPr>
            <w:r>
              <w:t>Tirar do material comercial</w:t>
            </w:r>
          </w:p>
        </w:tc>
      </w:tr>
    </w:tbl>
    <w:p>
      <w:pPr>
        <w:pStyle w:val="Legenda"/>
      </w:pPr>
      <w:r>
        <w:t>Tabela 3. As cinco afirmações do painel comercial e as quatro perguntas. Fonte: Cap. 2, Quadros 9, 11 e 14.</w:t>
      </w:r>
    </w:p>
    <w:p>
      <w:pPr/>
      <w:r>
        <w:t xml:space="preserve">Os "5 milhões de vidas" são o caso mais grave: a duplicidade foi achada em janeiro, corrigida no sistema e continua no material comercial </w:t>
      </w:r>
      <w:r>
        <w:rPr>
          <w:rStyle w:val="TagFonte"/>
        </w:rPr>
        <w:t>[fonte: Cap. 2, Quadro 14]</w:t>
      </w:r>
      <w:r>
        <w:t>. Manter as cinco afirmações como estão contradiz nosso compromisso de Transparência (C1).</w:t>
      </w:r>
    </w:p>
    <w:p>
      <w:pPr>
        <w:pStyle w:val="Ttulo1"/>
      </w:pPr>
      <w:r>
        <w:t>5. O que passamos a medir e o que decidimos agora</w:t>
      </w:r>
    </w:p>
    <w:p>
      <w:pPr/>
      <w:r>
        <w:t>No lugar dos números de vitrine, propomos cinco indicadores. Cada um tem um ponto de ação, uma decisão que ele dispara e um responsável. Os pontos de ação são proposta da equipe, e os cargos são provisórios até a Entrega 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2381"/>
        <w:gridCol w:w="2268"/>
        <w:gridCol w:w="2608"/>
        <w:gridCol w:w="1814"/>
      </w:tblGrid>
      <w:tr>
        <w:trPr>
          <w:tblHeader w:val="true"/>
          <w:cantSplit/>
        </w:trPr>
        <w:tc>
          <w:tcPr>
            <w:tcW w:type="dxa" w:w="238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226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Quando age [hipótese]</w:t>
            </w:r>
          </w:p>
        </w:tc>
        <w:tc>
          <w:tcPr>
            <w:tcW w:type="dxa" w:w="260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O que decide</w:t>
            </w:r>
          </w:p>
        </w:tc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Quem responde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LumisTabela"/>
            </w:pPr>
            <w:r>
              <w:rPr>
                <w:b/>
              </w:rPr>
              <w:t>1. Erro em campo por grupo</w:t>
            </w:r>
            <w:r>
              <w:t xml:space="preserve"> (idade, CEP e cliente)</w:t>
            </w:r>
          </w:p>
        </w:tc>
        <w:tc>
          <w:tcPr>
            <w:tcW w:type="dxa" w:w="2268"/>
          </w:tcPr>
          <w:p>
            <w:pPr>
              <w:pStyle w:val="LumisTabela"/>
            </w:pPr>
            <w:r>
              <w:t>Grupo com o dobro do erro do melhor grupo</w:t>
            </w:r>
          </w:p>
        </w:tc>
        <w:tc>
          <w:tcPr>
            <w:tcW w:type="dxa" w:w="2608"/>
          </w:tcPr>
          <w:p>
            <w:pPr>
              <w:pStyle w:val="LumisTabela"/>
            </w:pPr>
            <w:r>
              <w:t>Suspender a recomendação automática no grupo; barrar versão que piore algum grupo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t>Yuri Nakamura mede; a CEO decide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1F6F4"/>
          </w:tcPr>
          <w:p>
            <w:pPr>
              <w:pStyle w:val="LumisTabela"/>
            </w:pPr>
            <w:r>
              <w:rPr>
                <w:b/>
              </w:rPr>
              <w:t>2. Direito de uso dos dados</w:t>
            </w:r>
            <w:r>
              <w:t xml:space="preserve"> (por contrato)</w:t>
            </w:r>
          </w:p>
        </w:tc>
        <w:tc>
          <w:tcPr>
            <w:tcW w:type="dxa" w:w="2268"/>
            <w:shd w:val="clear" w:color="auto" w:fill="F1F6F4"/>
          </w:tcPr>
          <w:p>
            <w:pPr>
              <w:pStyle w:val="LumisTabela"/>
            </w:pPr>
            <w:r>
              <w:t>Dado sem autorização e parecer jurídico; contrato a seis meses do fim</w:t>
            </w:r>
          </w:p>
        </w:tc>
        <w:tc>
          <w:tcPr>
            <w:tcW w:type="dxa" w:w="2608"/>
            <w:shd w:val="clear" w:color="auto" w:fill="F1F6F4"/>
          </w:tcPr>
          <w:p>
            <w:pPr>
              <w:pStyle w:val="LumisTabela"/>
            </w:pPr>
            <w:r>
              <w:t>O que entra no próximo treino; ordem de renegociação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Ana Beatriz Rangel (DPO)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LumisTabela"/>
            </w:pPr>
            <w:r>
              <w:rPr>
                <w:b/>
              </w:rPr>
              <w:t>3. Reclamações por faixa de CEP</w:t>
            </w:r>
          </w:p>
        </w:tc>
        <w:tc>
          <w:tcPr>
            <w:tcW w:type="dxa" w:w="2268"/>
          </w:tcPr>
          <w:p>
            <w:pPr>
              <w:pStyle w:val="LumisTabela"/>
            </w:pPr>
            <w:r>
              <w:t>Grupo com uma vez e meia mais reclamações do que o seu peso na base</w:t>
            </w:r>
          </w:p>
        </w:tc>
        <w:tc>
          <w:tcPr>
            <w:tcW w:type="dxa" w:w="2608"/>
          </w:tcPr>
          <w:p>
            <w:pPr>
              <w:pStyle w:val="LumisTabela"/>
            </w:pPr>
            <w:r>
              <w:t>Revisão clínica dos casos e análise do grupo no indicador 1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t>Head of AI Management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1F6F4"/>
          </w:tcPr>
          <w:p>
            <w:pPr>
              <w:pStyle w:val="LumisTabela"/>
            </w:pPr>
            <w:r>
              <w:rPr>
                <w:b/>
              </w:rPr>
              <w:t>4. Incidentes descobertos antes do cliente</w:t>
            </w:r>
          </w:p>
        </w:tc>
        <w:tc>
          <w:tcPr>
            <w:tcW w:type="dxa" w:w="2268"/>
            <w:shd w:val="clear" w:color="auto" w:fill="F1F6F4"/>
          </w:tcPr>
          <w:p>
            <w:pPr>
              <w:pStyle w:val="LumisTabela"/>
            </w:pPr>
            <w:r>
              <w:t>Cliente descobre primeiro, ou incidente aberto há mais de 30 dias</w:t>
            </w:r>
          </w:p>
        </w:tc>
        <w:tc>
          <w:tcPr>
            <w:tcW w:type="dxa" w:w="2608"/>
            <w:shd w:val="clear" w:color="auto" w:fill="F1F6F4"/>
          </w:tcPr>
          <w:p>
            <w:pPr>
              <w:pStyle w:val="LumisTabela"/>
            </w:pPr>
            <w:r>
              <w:t>Rever o monitoramento; levar o caso ao conselho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Head of AI Management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LumisTabela"/>
              <w:keepNext/>
            </w:pPr>
            <w:r>
              <w:rPr>
                <w:b/>
              </w:rPr>
              <w:t>5. Afirmações públicas auditáveis</w:t>
            </w:r>
          </w:p>
        </w:tc>
        <w:tc>
          <w:tcPr>
            <w:tcW w:type="dxa" w:w="2268"/>
          </w:tcPr>
          <w:p>
            <w:pPr>
              <w:pStyle w:val="LumisTabela"/>
              <w:keepNext/>
            </w:pPr>
            <w:r>
              <w:t>Afirmação que alguém de fora não consegue refazer</w:t>
            </w:r>
          </w:p>
        </w:tc>
        <w:tc>
          <w:tcPr>
            <w:tcW w:type="dxa" w:w="2608"/>
          </w:tcPr>
          <w:p>
            <w:pPr>
              <w:pStyle w:val="LumisTabela"/>
              <w:keepNext/>
            </w:pPr>
            <w:r>
              <w:t>Retirar do material antes da próxima apresentação</w:t>
            </w:r>
          </w:p>
        </w:tc>
        <w:tc>
          <w:tcPr>
            <w:tcW w:type="dxa" w:w="1814"/>
          </w:tcPr>
          <w:p>
            <w:pPr>
              <w:pStyle w:val="LumisTabela"/>
              <w:keepNext/>
            </w:pPr>
            <w:r>
              <w:t>Camila Torres propõe; Head of AI aprova</w:t>
            </w:r>
          </w:p>
        </w:tc>
      </w:tr>
    </w:tbl>
    <w:p>
      <w:pPr>
        <w:pStyle w:val="Legenda"/>
      </w:pPr>
      <w:r>
        <w:t>Tabela 4. Os cinco indicadores. Fonte: Cap. 2, Quadros 7, 10, 13, 14 e 17; propostas da equipe.</w:t>
      </w:r>
    </w:p>
    <w:p>
      <w:pPr>
        <w:keepNext/>
      </w:pPr>
      <w:r>
        <w:t>As mesmas quatro perguntas valem para os indicadores que propomos. A pergunta "por quem?" é a mais sensível, porque a Lumis mede o erro do próprio produto. Por isso cada indicador tem alguém de fora que confere.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927"/>
        <w:gridCol w:w="1701"/>
        <w:gridCol w:w="1927"/>
        <w:gridCol w:w="1701"/>
        <w:gridCol w:w="1814"/>
      </w:tblGrid>
      <w:tr>
        <w:trPr>
          <w:tblHeader w:val="true"/>
          <w:cantSplit/>
        </w:trPr>
        <w:tc>
          <w:tcPr>
            <w:tcW w:type="dxa" w:w="192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Indicador e situação hoje</w:t>
            </w:r>
          </w:p>
        </w:tc>
        <w:tc>
          <w:tcPr>
            <w:tcW w:type="dxa" w:w="170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Medida em quê?</w:t>
            </w:r>
          </w:p>
        </w:tc>
        <w:tc>
          <w:tcPr>
            <w:tcW w:type="dxa" w:w="192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Medida por quem?</w:t>
            </w:r>
          </w:p>
        </w:tc>
        <w:tc>
          <w:tcPr>
            <w:tcW w:type="dxa" w:w="170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Muda alguma decisão?</w:t>
            </w:r>
          </w:p>
        </w:tc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Esconde qual distribuição?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</w:pPr>
            <w:r>
              <w:t>1. Erro por grupo: o pior grupo tem três vezes o erro do melhor</w:t>
            </w:r>
          </w:p>
        </w:tc>
        <w:tc>
          <w:tcPr>
            <w:tcW w:type="dxa" w:w="1701"/>
          </w:tcPr>
          <w:p>
            <w:pPr>
              <w:pStyle w:val="LumisTabela"/>
            </w:pPr>
            <w:r>
              <w:t>Revisão humana e desfecho informado pelo cliente</w:t>
            </w:r>
          </w:p>
        </w:tc>
        <w:tc>
          <w:tcPr>
            <w:tcW w:type="dxa" w:w="1928"/>
          </w:tcPr>
          <w:p>
            <w:pPr>
              <w:pStyle w:val="LumisTabela"/>
            </w:pPr>
            <w:r>
              <w:t>Pela Lumis. O cliente e um auditor refazem a conta</w:t>
            </w:r>
          </w:p>
        </w:tc>
        <w:tc>
          <w:tcPr>
            <w:tcW w:type="dxa" w:w="1701"/>
          </w:tcPr>
          <w:p>
            <w:pPr>
              <w:pStyle w:val="LumisTabela"/>
            </w:pPr>
            <w:r>
              <w:t>Sim: restrição de grupo e liberação de versão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t>Diferenças por cliente e grupos que o caso não abre, como sexo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2. Direito de uso: nenhum contrato com parecer jurídico</w:t>
            </w:r>
          </w:p>
        </w:tc>
        <w:tc>
          <w:tcPr>
            <w:tcW w:type="dxa" w:w="1701"/>
            <w:shd w:val="clear" w:color="auto" w:fill="F1F6F4"/>
          </w:tcPr>
          <w:p>
            <w:pPr>
              <w:pStyle w:val="LumisTabela"/>
            </w:pPr>
            <w:r>
              <w:t>Contratos contra a base de treino</w:t>
            </w:r>
          </w:p>
        </w:tc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Pela DPO. Um parecer externo confere</w:t>
            </w:r>
          </w:p>
        </w:tc>
        <w:tc>
          <w:tcPr>
            <w:tcW w:type="dxa" w:w="1701"/>
            <w:shd w:val="clear" w:color="auto" w:fill="F1F6F4"/>
          </w:tcPr>
          <w:p>
            <w:pPr>
              <w:pStyle w:val="LumisTabela"/>
            </w:pPr>
            <w:r>
              <w:t>Sim: treino e renegociação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A concentração na Sanare e o período antes do contrato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</w:pPr>
            <w:r>
              <w:t>3. Reclamações: CEP D/E reclama duas vezes e meia o seu peso</w:t>
            </w:r>
          </w:p>
        </w:tc>
        <w:tc>
          <w:tcPr>
            <w:tcW w:type="dxa" w:w="1701"/>
          </w:tcPr>
          <w:p>
            <w:pPr>
              <w:pStyle w:val="LumisTabela"/>
            </w:pPr>
            <w:r>
              <w:t>Registro formal de reclamações, últimos 90 dias</w:t>
            </w:r>
          </w:p>
        </w:tc>
        <w:tc>
          <w:tcPr>
            <w:tcW w:type="dxa" w:w="1928"/>
          </w:tcPr>
          <w:p>
            <w:pPr>
              <w:pStyle w:val="LumisTabela"/>
            </w:pPr>
            <w:r>
              <w:t xml:space="preserve">Pelo time de sucesso do cliente, cargo </w:t>
            </w:r>
            <w:r>
              <w:rPr>
                <w:rStyle w:val="TagNoconsta"/>
              </w:rPr>
              <w:t>[não consta]</w:t>
            </w:r>
            <w:r>
              <w:t>. O cliente confere</w:t>
            </w:r>
          </w:p>
        </w:tc>
        <w:tc>
          <w:tcPr>
            <w:tcW w:type="dxa" w:w="1701"/>
          </w:tcPr>
          <w:p>
            <w:pPr>
              <w:pStyle w:val="LumisTabela"/>
            </w:pPr>
            <w:r>
              <w:t>Sim: revisão clínica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t>Quem não reclama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4. Incidentes: metade descoberta pelo cliente</w:t>
            </w:r>
          </w:p>
        </w:tc>
        <w:tc>
          <w:tcPr>
            <w:tcW w:type="dxa" w:w="1701"/>
            <w:shd w:val="clear" w:color="auto" w:fill="F1F6F4"/>
          </w:tcPr>
          <w:p>
            <w:pPr>
              <w:pStyle w:val="LumisTabela"/>
            </w:pPr>
            <w:r>
              <w:t>Registro de incidentes e notificações dos clientes</w:t>
            </w:r>
          </w:p>
        </w:tc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Pelo Head of AI Management. A DPO confere</w:t>
            </w:r>
          </w:p>
        </w:tc>
        <w:tc>
          <w:tcPr>
            <w:tcW w:type="dxa" w:w="1701"/>
            <w:shd w:val="clear" w:color="auto" w:fill="F1F6F4"/>
          </w:tcPr>
          <w:p>
            <w:pPr>
              <w:pStyle w:val="LumisTabela"/>
            </w:pPr>
            <w:r>
              <w:t>Sim: monitoramento e liberação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A gravidade e o incidente que ninguém viu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  <w:keepNext/>
            </w:pPr>
            <w:r>
              <w:t>5. Afirmações auditáveis: nenhuma das cinco</w:t>
            </w:r>
          </w:p>
        </w:tc>
        <w:tc>
          <w:tcPr>
            <w:tcW w:type="dxa" w:w="1701"/>
          </w:tcPr>
          <w:p>
            <w:pPr>
              <w:pStyle w:val="LumisTabela"/>
              <w:keepNext/>
            </w:pPr>
            <w:r>
              <w:t>Material público contra um checklist de relato</w:t>
            </w:r>
          </w:p>
        </w:tc>
        <w:tc>
          <w:tcPr>
            <w:tcW w:type="dxa" w:w="1928"/>
          </w:tcPr>
          <w:p>
            <w:pPr>
              <w:pStyle w:val="LumisTabela"/>
              <w:keepNext/>
            </w:pPr>
            <w:r>
              <w:t>Por quem não vende. Cliente ou auditor refaz</w:t>
            </w:r>
          </w:p>
        </w:tc>
        <w:tc>
          <w:tcPr>
            <w:tcW w:type="dxa" w:w="1701"/>
          </w:tcPr>
          <w:p>
            <w:pPr>
              <w:pStyle w:val="LumisTabela"/>
              <w:keepNext/>
            </w:pPr>
            <w:r>
              <w:t>Sim: publicar ou retirar</w:t>
            </w:r>
          </w:p>
        </w:tc>
        <w:tc>
          <w:tcPr>
            <w:tcW w:type="dxa" w:w="1814"/>
          </w:tcPr>
          <w:p>
            <w:pPr>
              <w:pStyle w:val="LumisTabela"/>
              <w:keepNext/>
            </w:pPr>
            <w:r>
              <w:t>O grupo que fica fora do recorte escolhido</w:t>
            </w:r>
          </w:p>
        </w:tc>
      </w:tr>
    </w:tbl>
    <w:p>
      <w:pPr>
        <w:pStyle w:val="Legenda"/>
      </w:pPr>
      <w:r>
        <w:t>Tabela 5. Os indicadores propostos e as quatro perguntas. Fonte: análise da equipe sobre o Cap. 2, Quadros 7, 10, 13, 14 e 17.</w:t>
      </w:r>
    </w:p>
    <w:p>
      <w:pPr>
        <w:keepNext/>
      </w:pPr>
      <w:r>
        <w:t>Também passamos pelas quatro perguntas os indicadores que descartamos. Nenhum deles muda uma decisão que chegue ao conselho, ou repete um dos cinco.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927"/>
        <w:gridCol w:w="1587"/>
        <w:gridCol w:w="1814"/>
        <w:gridCol w:w="2041"/>
        <w:gridCol w:w="1701"/>
      </w:tblGrid>
      <w:tr>
        <w:trPr>
          <w:tblHeader w:val="true"/>
          <w:cantSplit/>
        </w:trPr>
        <w:tc>
          <w:tcPr>
            <w:tcW w:type="dxa" w:w="192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Indicador descartado</w:t>
            </w:r>
          </w:p>
        </w:tc>
        <w:tc>
          <w:tcPr>
            <w:tcW w:type="dxa" w:w="1587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Medida em quê?</w:t>
            </w:r>
          </w:p>
        </w:tc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Medida por quem?</w:t>
            </w:r>
          </w:p>
        </w:tc>
        <w:tc>
          <w:tcPr>
            <w:tcW w:type="dxa" w:w="204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Muda alguma decisão?</w:t>
            </w:r>
          </w:p>
        </w:tc>
        <w:tc>
          <w:tcPr>
            <w:tcW w:type="dxa" w:w="170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Esconde qual distribuição?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  <w:keepNext/>
            </w:pPr>
            <w:r>
              <w:t>Acurácia global em campo</w:t>
            </w:r>
          </w:p>
        </w:tc>
        <w:tc>
          <w:tcPr>
            <w:tcW w:type="dxa" w:w="1587"/>
          </w:tcPr>
          <w:p>
            <w:pPr>
              <w:pStyle w:val="LumisTabela"/>
              <w:keepNext/>
            </w:pPr>
            <w:r>
              <w:t>Base completa</w:t>
            </w:r>
          </w:p>
        </w:tc>
        <w:tc>
          <w:tcPr>
            <w:tcW w:type="dxa" w:w="1814"/>
          </w:tcPr>
          <w:p>
            <w:pPr>
              <w:pStyle w:val="LumisTabela"/>
              <w:keepNext/>
            </w:pPr>
            <w:r>
              <w:rPr>
                <w:rStyle w:val="TagNoconsta"/>
              </w:rPr>
              <w:t>[não consta]</w:t>
            </w:r>
          </w:p>
        </w:tc>
        <w:tc>
          <w:tcPr>
            <w:tcW w:type="dxa" w:w="2041"/>
          </w:tcPr>
          <w:p>
            <w:pPr>
              <w:pStyle w:val="LumisTabela"/>
              <w:keepNext/>
            </w:pPr>
            <w:r>
              <w:t>Pouco</w:t>
            </w:r>
          </w:p>
        </w:tc>
        <w:tc>
          <w:tcPr>
            <w:tcW w:type="dxa" w:w="1701"/>
          </w:tcPr>
          <w:p>
            <w:pPr>
              <w:pStyle w:val="LumisTabela"/>
              <w:keepNext/>
            </w:pPr>
            <w:r>
              <w:t>O erro grave e os grupos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6F4"/>
          </w:tcPr>
          <w:p>
            <w:pPr>
              <w:pStyle w:val="LumisTabela"/>
              <w:keepNext/>
            </w:pPr>
            <w:r>
              <w:t>Comparação com a versão aprovada</w:t>
            </w:r>
          </w:p>
        </w:tc>
        <w:tc>
          <w:tcPr>
            <w:tcW w:type="dxa" w:w="1587"/>
            <w:shd w:val="clear" w:color="auto" w:fill="F1F6F4"/>
          </w:tcPr>
          <w:p>
            <w:pPr>
              <w:pStyle w:val="LumisTabela"/>
              <w:keepNext/>
            </w:pPr>
            <w:r>
              <w:t>Troca de versão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  <w:keepNext/>
            </w:pPr>
            <w:r>
              <w:t>Pelo CTO, que também libera a versão</w:t>
            </w:r>
          </w:p>
        </w:tc>
        <w:tc>
          <w:tcPr>
            <w:tcW w:type="dxa" w:w="2041"/>
            <w:shd w:val="clear" w:color="auto" w:fill="F1F6F4"/>
          </w:tcPr>
          <w:p>
            <w:pPr>
              <w:pStyle w:val="LumisTabela"/>
              <w:keepNext/>
            </w:pPr>
            <w:r>
              <w:t>Repete o indicador 1 e virou a regra de liberação dele</w:t>
            </w:r>
          </w:p>
        </w:tc>
        <w:tc>
          <w:tcPr>
            <w:tcW w:type="dxa" w:w="1701"/>
            <w:shd w:val="clear" w:color="auto" w:fill="F1F6F4"/>
          </w:tcPr>
          <w:p>
            <w:pPr>
              <w:pStyle w:val="LumisTabela"/>
              <w:keepNext/>
            </w:pPr>
            <w:r>
              <w:t>O mesmo que o indicador 1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  <w:keepNext/>
            </w:pPr>
            <w:r>
              <w:t>Disponibilidade de ponta a ponta</w:t>
            </w:r>
          </w:p>
        </w:tc>
        <w:tc>
          <w:tcPr>
            <w:tcW w:type="dxa" w:w="1587"/>
          </w:tcPr>
          <w:p>
            <w:pPr>
              <w:pStyle w:val="LumisTabela"/>
              <w:keepNext/>
            </w:pPr>
            <w:r>
              <w:t>Cadeia técnica</w:t>
            </w:r>
          </w:p>
        </w:tc>
        <w:tc>
          <w:tcPr>
            <w:tcW w:type="dxa" w:w="1814"/>
          </w:tcPr>
          <w:p>
            <w:pPr>
              <w:pStyle w:val="LumisTabela"/>
              <w:keepNext/>
            </w:pPr>
            <w:r>
              <w:t>Pelo CTO</w:t>
            </w:r>
          </w:p>
        </w:tc>
        <w:tc>
          <w:tcPr>
            <w:tcW w:type="dxa" w:w="2041"/>
          </w:tcPr>
          <w:p>
            <w:pPr>
              <w:pStyle w:val="LumisTabela"/>
              <w:keepNext/>
            </w:pPr>
            <w:r>
              <w:t>Decisão técnica, que não chega ao conselho</w:t>
            </w:r>
          </w:p>
        </w:tc>
        <w:tc>
          <w:tcPr>
            <w:tcW w:type="dxa" w:w="1701"/>
          </w:tcPr>
          <w:p>
            <w:pPr>
              <w:pStyle w:val="LumisTabela"/>
              <w:keepNext/>
            </w:pPr>
            <w:r>
              <w:t>Não abre por grupo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6F4"/>
          </w:tcPr>
          <w:p>
            <w:pPr>
              <w:pStyle w:val="LumisTabela"/>
              <w:keepNext/>
            </w:pPr>
            <w:r>
              <w:t>Auditorias contratuais concluídas</w:t>
            </w:r>
          </w:p>
        </w:tc>
        <w:tc>
          <w:tcPr>
            <w:tcW w:type="dxa" w:w="1587"/>
            <w:shd w:val="clear" w:color="auto" w:fill="F1F6F4"/>
          </w:tcPr>
          <w:p>
            <w:pPr>
              <w:pStyle w:val="LumisTabela"/>
              <w:keepNext/>
            </w:pPr>
            <w:r>
              <w:t>Número de auditorias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  <w:keepNext/>
            </w:pPr>
            <w:r>
              <w:t>Pela DPO</w:t>
            </w:r>
          </w:p>
        </w:tc>
        <w:tc>
          <w:tcPr>
            <w:tcW w:type="dxa" w:w="2041"/>
            <w:shd w:val="clear" w:color="auto" w:fill="F1F6F4"/>
          </w:tcPr>
          <w:p>
            <w:pPr>
              <w:pStyle w:val="LumisTabela"/>
              <w:keepNext/>
            </w:pPr>
            <w:r>
              <w:t>Não. Mede atividade</w:t>
            </w:r>
          </w:p>
        </w:tc>
        <w:tc>
          <w:tcPr>
            <w:tcW w:type="dxa" w:w="1701"/>
            <w:shd w:val="clear" w:color="auto" w:fill="F1F6F4"/>
          </w:tcPr>
          <w:p>
            <w:pPr>
              <w:pStyle w:val="LumisTabela"/>
              <w:keepNext/>
            </w:pPr>
            <w:r>
              <w:t>Quantos registros estão afetados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  <w:keepNext/>
            </w:pPr>
            <w:r>
              <w:t>Pacientes únicos analisados</w:t>
            </w:r>
          </w:p>
        </w:tc>
        <w:tc>
          <w:tcPr>
            <w:tcW w:type="dxa" w:w="1587"/>
          </w:tcPr>
          <w:p>
            <w:pPr>
              <w:pStyle w:val="LumisTabela"/>
              <w:keepNext/>
            </w:pPr>
            <w:r>
              <w:t>Base sem duplicidade</w:t>
            </w:r>
          </w:p>
        </w:tc>
        <w:tc>
          <w:tcPr>
            <w:tcW w:type="dxa" w:w="1814"/>
          </w:tcPr>
          <w:p>
            <w:pPr>
              <w:pStyle w:val="LumisTabela"/>
              <w:keepNext/>
            </w:pPr>
            <w:r>
              <w:t>Pela área de Dados</w:t>
            </w:r>
          </w:p>
        </w:tc>
        <w:tc>
          <w:tcPr>
            <w:tcW w:type="dxa" w:w="2041"/>
          </w:tcPr>
          <w:p>
            <w:pPr>
              <w:pStyle w:val="LumisTabela"/>
              <w:keepNext/>
            </w:pPr>
            <w:r>
              <w:t>Não. É volume</w:t>
            </w:r>
          </w:p>
        </w:tc>
        <w:tc>
          <w:tcPr>
            <w:tcW w:type="dxa" w:w="1701"/>
          </w:tcPr>
          <w:p>
            <w:pPr>
              <w:pStyle w:val="LumisTabela"/>
              <w:keepNext/>
            </w:pPr>
            <w:r>
              <w:t>Quem foi mal atendido</w:t>
            </w:r>
          </w:p>
        </w:tc>
      </w:tr>
    </w:tbl>
    <w:p>
      <w:pPr>
        <w:pStyle w:val="Legenda"/>
      </w:pPr>
      <w:r>
        <w:t>Tabela 6. Indicadores descartados e as quatro perguntas. Fonte: análise da equipe sobre o Cap. 2, Quadros 9, 11 e 13.</w:t>
      </w:r>
    </w:p>
    <w:p>
      <w:pPr/>
      <w:r>
        <w:t>Para a revisão quinzenal ter casos suficientes, a revisão humana sobe de 2% para 10% nos grupos críticos, e um auditor confere os números a cada trimestre. O NIST pede que todo sistema de IA tenha responsável e meio definidos para ser desligado⁴.</w:t>
      </w:r>
    </w:p>
    <w:p>
      <w:pPr/>
      <w:r>
        <w:rPr>
          <w:b/>
        </w:rPr>
        <w:t>A decisão de agora.</w:t>
      </w:r>
      <w:r>
        <w:t xml:space="preserve"> Dois grupos já passam do ponto de ação do indicador 1: idosos de CEP C e de CEP D/E. Pelo nosso compromisso de Não Amplificação de Danos (C2), o uso é suspenso até a correção quando há padrão de viés. Por isso recomendamos restringir já a recomendação automática nesses grupos (D-026). Cerca de um quarto das decisões de priorização volta à triagem do próprio hospital, enquanto o modelo segue rodando em paralelo, sem decidir, para medir a correção. Quanto isso pesa em cada hospital </w:t>
      </w:r>
      <w:r>
        <w:rPr>
          <w:rStyle w:val="TagNoconsta"/>
        </w:rPr>
        <w:t>[não consta]</w:t>
      </w:r>
      <w:r>
        <w:t>, e a Entrega 3 define quem executa a restrição.</w:t>
      </w:r>
    </w:p>
    <w:p>
      <w:pPr>
        <w:pStyle w:val="Ttulo1"/>
      </w:pPr>
      <w:r>
        <w:t>6. O que isso muda na tese</w:t>
      </w:r>
    </w:p>
    <w:p>
      <w:pPr/>
      <w:r>
        <w:t>A base de clientes só vira vantagem difícil de copiar quando tiver direito de uso limpo e erro por grupo que alguém de fora consiga refazer, como a Entrega 1 já apontava. Por isso, o memorando leva três condições prévias ao aporte: regularizar os contratos antes do vencimento, tirar do mercado os números que não se sustentam e medir o erro por grupo com conferência externa.</w:t>
      </w:r>
    </w:p>
    <w:p>
      <w:pPr>
        <w:pStyle w:val="Ttulo2"/>
      </w:pPr>
      <w:r>
        <w:t>Referências</w:t>
      </w:r>
    </w:p>
    <w:p>
      <w:pPr>
        <w:pStyle w:val="LumisNota"/>
      </w:pPr>
      <w:r>
        <w:t>1. OBERMEYER, Z. et al. Dissecting racial bias in an algorithm used to manage the health of populations. Science, v. 366, n. 6464, p. 447-453, 2019.</w:t>
      </w:r>
    </w:p>
    <w:p>
      <w:pPr>
        <w:pStyle w:val="LumisNota"/>
      </w:pPr>
      <w:r>
        <w:t>2. BRASIL. Lei nº 13.709/2018 (LGPD), arts. 5º, 6º, 11 e 52. Consulta em 06/10/2026.</w:t>
      </w:r>
    </w:p>
    <w:p>
      <w:pPr>
        <w:pStyle w:val="LumisNota"/>
      </w:pPr>
      <w:r>
        <w:t>3. ANPD. Guia Orientativo para Definições dos Agentes de Tratamento de Dados Pessoais e do Encarregado. Versão 2.0, 2022.</w:t>
      </w:r>
    </w:p>
    <w:p>
      <w:pPr>
        <w:pStyle w:val="LumisNota"/>
      </w:pPr>
      <w:r>
        <w:t>4. NIST. Artificial Intelligence Risk Management Framework (AI RMF 1.0). NIST AI 100-1, 2023.</w:t>
      </w:r>
    </w:p>
    <w:p>
      <w:pPr>
        <w:pStyle w:val="LumisNota"/>
      </w:pPr>
      <w:r>
        <w:t>Dados da Lumis: Cap. 2, Anexo A. Contas e propostas são da equipe. As empresas reais citadas são análogos e não fazem parte do caso Lumis.</w:t>
      </w:r>
    </w:p>
    <w:sectPr w:rsidR="00BF58EC" w:rsidRPr="000B48B4" w:rsidSect="00034616">
      <w:headerReference w:type="default" r:id="rId13"/>
      <w:footerReference w:type="default" r:id="rId14"/>
      <w:pgSz w:w="11906" w:h="16838"/>
      <w:pgMar w:top="1417" w:right="1417" w:bottom="124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88766" w14:textId="77777777" w:rsidR="00CE6510" w:rsidRDefault="00CE6510">
      <w:pPr>
        <w:spacing w:after="0" w:line="240" w:lineRule="auto"/>
      </w:pPr>
      <w:r>
        <w:separator/>
      </w:r>
    </w:p>
  </w:endnote>
  <w:endnote w:type="continuationSeparator" w:id="0">
    <w:p w14:paraId="21CE8619" w14:textId="77777777" w:rsidR="00CE6510" w:rsidRDefault="00CE6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C2516" w14:textId="77777777" w:rsidR="00BF58EC" w:rsidRPr="000B48B4" w:rsidRDefault="00000000">
    <w:pPr>
      <w:pStyle w:val="Rodap"/>
      <w:jc w:val="right"/>
      <w:rPr>
        <w:lang w:val="pt-BR"/>
      </w:rPr>
    </w:pPr>
    <w:r w:rsidRPr="000B48B4">
      <w:rPr>
        <w:color w:val="6B7C85"/>
        <w:sz w:val="17"/>
        <w:lang w:val="pt-BR"/>
      </w:rPr>
      <w:t xml:space="preserve">Lumis Intelligence · Gestão em IA (FIAP) · página </w:t>
    </w:r>
    <w:r>
      <w:rPr>
        <w:color w:val="6B7C85"/>
        <w:sz w:val="17"/>
      </w:rPr>
      <w:fldChar w:fldCharType="begin"/>
    </w:r>
    <w:r w:rsidRPr="000B48B4">
      <w:rPr>
        <w:color w:val="6B7C85"/>
        <w:sz w:val="17"/>
        <w:lang w:val="pt-BR"/>
      </w:rPr>
      <w:instrText>PAGE</w:instrText>
    </w:r>
    <w:r w:rsidR="000B48B4">
      <w:rPr>
        <w:color w:val="6B7C85"/>
        <w:sz w:val="17"/>
      </w:rPr>
      <w:fldChar w:fldCharType="separate"/>
    </w:r>
    <w:r w:rsidR="000B48B4" w:rsidRPr="000B48B4">
      <w:rPr>
        <w:noProof/>
        <w:color w:val="6B7C85"/>
        <w:sz w:val="17"/>
        <w:lang w:val="pt-BR"/>
      </w:rPr>
      <w:t>2</w:t>
    </w:r>
    <w:r>
      <w:rPr>
        <w:color w:val="6B7C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37813" w14:textId="77777777" w:rsidR="00CE6510" w:rsidRDefault="00CE6510">
      <w:pPr>
        <w:spacing w:after="0" w:line="240" w:lineRule="auto"/>
      </w:pPr>
      <w:r>
        <w:separator/>
      </w:r>
    </w:p>
  </w:footnote>
  <w:footnote w:type="continuationSeparator" w:id="0">
    <w:p w14:paraId="1EA068D1" w14:textId="77777777" w:rsidR="00CE6510" w:rsidRDefault="00CE6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AC2F" w14:textId="77777777" w:rsidR="00BF58EC" w:rsidRDefault="00000000">
    <w:pPr>
      <w:pStyle w:val="Cabealho"/>
      <w:pBdr>
        <w:bottom w:val="single" w:sz="4" w:space="4" w:color="0F2D3A"/>
      </w:pBdr>
      <w:tabs>
        <w:tab w:val="right" w:pos="9071"/>
      </w:tabs>
    </w:pPr>
    <w:r>
      <w:rPr>
        <w:noProof/>
      </w:rPr>
      <w:drawing>
        <wp:inline distT="0" distB="0" distL="0" distR="0" wp14:anchorId="7FEFCB95" wp14:editId="2D620087">
          <wp:extent cx="1152000" cy="248123"/>
          <wp:effectExtent l="0" t="0" r="0" b="0"/>
          <wp:docPr id="10589814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umis-insight_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2481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B7C85"/>
        <w:sz w:val="17"/>
      </w:rPr>
      <w:tab/>
      <w:t>F2-E2 · Auditoria do Ativo</w:t>
    </w:r>
    <w:proofErr w:type="spellStart"/>
    <w:r>
      <w:rPr>
        <w:color w:val="6B7C85"/>
        <w:sz w:val="17"/>
      </w:rPr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685996">
    <w:abstractNumId w:val="8"/>
  </w:num>
  <w:num w:numId="2" w16cid:durableId="1505046805">
    <w:abstractNumId w:val="6"/>
  </w:num>
  <w:num w:numId="3" w16cid:durableId="1496456512">
    <w:abstractNumId w:val="5"/>
  </w:num>
  <w:num w:numId="4" w16cid:durableId="1897742686">
    <w:abstractNumId w:val="4"/>
  </w:num>
  <w:num w:numId="5" w16cid:durableId="1141658611">
    <w:abstractNumId w:val="7"/>
  </w:num>
  <w:num w:numId="6" w16cid:durableId="1654798637">
    <w:abstractNumId w:val="3"/>
  </w:num>
  <w:num w:numId="7" w16cid:durableId="670180548">
    <w:abstractNumId w:val="2"/>
  </w:num>
  <w:num w:numId="8" w16cid:durableId="390352732">
    <w:abstractNumId w:val="1"/>
  </w:num>
  <w:num w:numId="9" w16cid:durableId="1449423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8B4"/>
    <w:rsid w:val="0015074B"/>
    <w:rsid w:val="0029639D"/>
    <w:rsid w:val="00326F90"/>
    <w:rsid w:val="009E3794"/>
    <w:rsid w:val="00AA1D8D"/>
    <w:rsid w:val="00B47730"/>
    <w:rsid w:val="00BF58EC"/>
    <w:rsid w:val="00CB0664"/>
    <w:rsid w:val="00CE65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9A207A"/>
  <w14:defaultImageDpi w14:val="300"/>
  <w15:docId w15:val="{230BA697-2509-4DA5-87ED-DF7BF7974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 w:cs="Calibri"/>
      <w:color w:val="18252C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pBdr>
        <w:bottom w:val="single" w:sz="8" w:space="4" w:color="3DBE93"/>
      </w:pBdr>
      <w:spacing w:before="360" w:line="264" w:lineRule="auto"/>
      <w:outlineLvl w:val="0"/>
    </w:pPr>
    <w:rPr>
      <w:rFonts w:ascii="Georgia" w:eastAsia="Georgia" w:hAnsi="Georgia" w:cs="Georgia"/>
      <w:bCs/>
      <w:color w:val="0F2D3A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80" w:line="264" w:lineRule="auto"/>
      <w:outlineLvl w:val="1"/>
    </w:pPr>
    <w:rPr>
      <w:rFonts w:ascii="Georgia" w:eastAsia="Georgia" w:hAnsi="Georgia" w:cs="Georgia"/>
      <w:bCs/>
      <w:color w:val="0F2D3A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b/>
      <w:bCs/>
      <w:color w:val="0F2D3A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line="240" w:lineRule="auto"/>
      <w:contextualSpacing/>
    </w:pPr>
    <w:rPr>
      <w:rFonts w:ascii="Georgia" w:eastAsia="Georgia" w:hAnsi="Georgia" w:cs="Georgia"/>
      <w:color w:val="0F2D3A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spacing w:after="360"/>
    </w:pPr>
    <w:rPr>
      <w:iCs/>
      <w:color w:val="6B7C85"/>
      <w:sz w:val="2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before="80" w:after="200" w:line="240" w:lineRule="auto"/>
    </w:pPr>
    <w:rPr>
      <w:bCs/>
      <w:i/>
      <w:color w:val="6B7C85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umisDestaque">
    <w:name w:val="Lumis Destaque"/>
    <w:basedOn w:val="Normal"/>
    <w:qFormat/>
    <w:pPr>
      <w:pBdr>
        <w:left w:val="single" w:sz="24" w:space="10" w:color="3DBE93"/>
      </w:pBdr>
      <w:shd w:val="clear" w:color="auto" w:fill="EEF7F3"/>
      <w:spacing w:before="120" w:after="200" w:line="300" w:lineRule="auto"/>
      <w:ind w:left="227"/>
    </w:pPr>
    <w:rPr>
      <w:rFonts w:ascii="Georgia" w:eastAsia="Georgia" w:hAnsi="Georgia" w:cs="Georgia"/>
      <w:i/>
      <w:color w:val="0F2D3A"/>
      <w:sz w:val="24"/>
    </w:rPr>
  </w:style>
  <w:style w:type="paragraph" w:customStyle="1" w:styleId="LumisRtulo">
    <w:name w:val="Lumis Rótulo"/>
    <w:basedOn w:val="Normal"/>
    <w:qFormat/>
    <w:pPr>
      <w:spacing w:after="40" w:line="240" w:lineRule="auto"/>
    </w:pPr>
    <w:rPr>
      <w:b/>
      <w:caps/>
      <w:color w:val="1E8C6B"/>
      <w:spacing w:val="30"/>
      <w:sz w:val="18"/>
    </w:rPr>
  </w:style>
  <w:style w:type="paragraph" w:customStyle="1" w:styleId="LumisTabela">
    <w:name w:val="Lumis Tabela"/>
    <w:basedOn w:val="Normal"/>
    <w:qFormat/>
    <w:pPr>
      <w:spacing w:before="40" w:after="40" w:line="240" w:lineRule="auto"/>
    </w:pPr>
    <w:rPr>
      <w:sz w:val="19"/>
    </w:rPr>
  </w:style>
  <w:style w:type="paragraph" w:customStyle="1" w:styleId="LumisNota">
    <w:name w:val="Lumis Nota"/>
    <w:basedOn w:val="Normal"/>
    <w:qFormat/>
    <w:pPr>
      <w:spacing w:after="80" w:line="264" w:lineRule="auto"/>
    </w:pPr>
    <w:rPr>
      <w:color w:val="6B7C85"/>
      <w:sz w:val="18"/>
    </w:rPr>
  </w:style>
  <w:style w:type="character" w:customStyle="1" w:styleId="TagFonte">
    <w:name w:val="Tag Fonte"/>
    <w:qFormat/>
    <w:rPr>
      <w:rFonts w:ascii="Calibri" w:eastAsia="Calibri" w:hAnsi="Calibri" w:cs="Calibri"/>
      <w:b/>
      <w:i w:val="0"/>
      <w:color w:val="1E8C6B"/>
      <w:sz w:val="18"/>
    </w:rPr>
  </w:style>
  <w:style w:type="character" w:customStyle="1" w:styleId="TagHiptese">
    <w:name w:val="Tag Hipótese"/>
    <w:qFormat/>
    <w:rPr>
      <w:rFonts w:ascii="Calibri" w:eastAsia="Calibri" w:hAnsi="Calibri" w:cs="Calibri"/>
      <w:b/>
      <w:i w:val="0"/>
      <w:color w:val="B7791F"/>
      <w:sz w:val="18"/>
    </w:rPr>
  </w:style>
  <w:style w:type="character" w:customStyle="1" w:styleId="TagNoconsta">
    <w:name w:val="Tag Não consta"/>
    <w:qFormat/>
    <w:rPr>
      <w:rFonts w:ascii="Calibri" w:eastAsia="Calibri" w:hAnsi="Calibri" w:cs="Calibri"/>
      <w:b/>
      <w:i w:val="0"/>
      <w:color w:val="6B7C85"/>
      <w:sz w:val="18"/>
    </w:rPr>
  </w:style>
  <w:style w:type="character" w:customStyle="1" w:styleId="TagRisco">
    <w:name w:val="Tag Risco"/>
    <w:qFormat/>
    <w:rPr>
      <w:rFonts w:ascii="Calibri" w:eastAsia="Calibri" w:hAnsi="Calibri" w:cs="Calibri"/>
      <w:b/>
      <w:i w:val="0"/>
      <w:color w:val="B4442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2943</Words>
  <Characters>15898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Halfen Simon</cp:lastModifiedBy>
  <cp:revision>2</cp:revision>
  <dcterms:created xsi:type="dcterms:W3CDTF">2013-12-23T23:15:00Z</dcterms:created>
  <dcterms:modified xsi:type="dcterms:W3CDTF">2026-10-06T21:29:00Z</dcterms:modified>
  <cp:category/>
</cp:coreProperties>
</file>