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098F" w14:textId="77777777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Auditoria do Ativo</w:t>
      </w:r>
    </w:p>
    <w:p w14:paraId="7A9A890A" w14:textId="77777777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Conselho: de que é feito o ativo da Lumis e que números sobrevivem a uma auditoria independente</w:t>
      </w:r>
    </w:p>
    <w:p w14:paraId="15883986" w14:textId="77777777" w:rsidR="005B7D6E" w:rsidRPr="00EC50F7" w:rsidRDefault="00000000">
      <w:pPr>
        <w:pStyle w:val="LumisDestaque"/>
        <w:rPr>
          <w:lang w:val="pt-BR"/>
        </w:rPr>
      </w:pPr>
      <w:r w:rsidRPr="00EC50F7">
        <w:rPr>
          <w:lang w:val="pt-BR"/>
        </w:rPr>
        <w:t>Hoje o ativo da Lumis não passa numa auditoria independente. A parte da base que só a Lumis tem está sob contratos frágeis, e o modelo erra mais justamente com quem mais precisa de prioridade.</w:t>
      </w:r>
    </w:p>
    <w:p w14:paraId="56C62168" w14:textId="6E6E9FF6" w:rsidR="005B7D6E" w:rsidRPr="00EC50F7" w:rsidRDefault="00000000">
      <w:pPr>
        <w:rPr>
          <w:lang w:val="pt-BR"/>
        </w:rPr>
      </w:pPr>
      <w:r w:rsidRPr="00EC50F7">
        <w:rPr>
          <w:lang w:val="pt-BR"/>
        </w:rPr>
        <w:t>Um terço dos dados de clientes vem de contratos que não autorizam com clareza o treino do modelo, e nenhum contrato de dados foi revisado pelo jurídico. Em campo, de cada 10 idosos de CEP D/E que precisavam de prioridade, 3 ficaram para trás, e quem descobriu foi o hospital. Nenhuma das cinco afirmações que a Lumis divulga ao mercado resiste a uma auditoria do jeito que é divulgada.</w:t>
      </w:r>
    </w:p>
    <w:p w14:paraId="09FC752A" w14:textId="77777777" w:rsidR="005B7D6E" w:rsidRPr="00EC50F7" w:rsidRDefault="00000000">
      <w:pPr>
        <w:pStyle w:val="Ttulo1"/>
        <w:rPr>
          <w:lang w:val="pt-BR"/>
        </w:rPr>
      </w:pPr>
      <w:r w:rsidRPr="00EC50F7">
        <w:rPr>
          <w:lang w:val="pt-BR"/>
        </w:rPr>
        <w:t>1. De onde vêm os dados e se a Lumis pode usá-los</w:t>
      </w:r>
    </w:p>
    <w:p w14:paraId="352792B1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>Dois terços da base são do DATASUS, que é público e está aberto a qualquer concorrente. O que só a Lumis tem são os dados de clientes, pouco mais de um quarto da base, e é nessa parte que estão os problemas.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1134"/>
        <w:gridCol w:w="3175"/>
      </w:tblGrid>
      <w:tr w:rsidR="005B7D6E" w14:paraId="2F936562" w14:textId="77777777">
        <w:trPr>
          <w:cantSplit/>
          <w:tblHeader/>
          <w:jc w:val="center"/>
        </w:trPr>
        <w:tc>
          <w:tcPr>
            <w:tcW w:w="1928" w:type="dxa"/>
            <w:shd w:val="clear" w:color="auto" w:fill="0F2D3A"/>
          </w:tcPr>
          <w:p w14:paraId="4A336040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  <w:tc>
          <w:tcPr>
            <w:tcW w:w="2835" w:type="dxa"/>
            <w:shd w:val="clear" w:color="auto" w:fill="0F2D3A"/>
          </w:tcPr>
          <w:p w14:paraId="300049D3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b/>
                <w:color w:val="FFFFFF"/>
                <w:lang w:val="pt-BR"/>
              </w:rPr>
              <w:t>O que o contrato diz sobre treino</w:t>
            </w:r>
          </w:p>
        </w:tc>
        <w:tc>
          <w:tcPr>
            <w:tcW w:w="1134" w:type="dxa"/>
            <w:shd w:val="clear" w:color="auto" w:fill="0F2D3A"/>
          </w:tcPr>
          <w:p w14:paraId="161CDD93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Vence</w:t>
            </w:r>
          </w:p>
        </w:tc>
        <w:tc>
          <w:tcPr>
            <w:tcW w:w="3175" w:type="dxa"/>
            <w:shd w:val="clear" w:color="auto" w:fill="0F2D3A"/>
          </w:tcPr>
          <w:p w14:paraId="6C6D1389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Leitura da equipe</w:t>
            </w:r>
          </w:p>
        </w:tc>
      </w:tr>
      <w:tr w:rsidR="005B7D6E" w:rsidRPr="00EC50F7" w14:paraId="2815F0DF" w14:textId="77777777">
        <w:trPr>
          <w:cantSplit/>
          <w:jc w:val="center"/>
        </w:trPr>
        <w:tc>
          <w:tcPr>
            <w:tcW w:w="1928" w:type="dxa"/>
          </w:tcPr>
          <w:p w14:paraId="44A528C2" w14:textId="77777777" w:rsidR="005B7D6E" w:rsidRDefault="00000000">
            <w:pPr>
              <w:pStyle w:val="LumisTabela"/>
            </w:pPr>
            <w:r>
              <w:rPr>
                <w:b/>
              </w:rPr>
              <w:t>Seguradora Prisma</w:t>
            </w:r>
          </w:p>
        </w:tc>
        <w:tc>
          <w:tcPr>
            <w:tcW w:w="2835" w:type="dxa"/>
          </w:tcPr>
          <w:p w14:paraId="0F19713F" w14:textId="77777777" w:rsidR="005B7D6E" w:rsidRDefault="00000000">
            <w:pPr>
              <w:pStyle w:val="LumisTabela"/>
            </w:pPr>
            <w:r>
              <w:t>Nada (contrato silente)</w:t>
            </w:r>
          </w:p>
        </w:tc>
        <w:tc>
          <w:tcPr>
            <w:tcW w:w="1134" w:type="dxa"/>
          </w:tcPr>
          <w:p w14:paraId="5E1A3E66" w14:textId="77777777" w:rsidR="005B7D6E" w:rsidRDefault="00000000">
            <w:pPr>
              <w:pStyle w:val="LumisTabela"/>
            </w:pPr>
            <w:r>
              <w:t>12/2026</w:t>
            </w:r>
          </w:p>
        </w:tc>
        <w:tc>
          <w:tcPr>
            <w:tcW w:w="3175" w:type="dxa"/>
          </w:tcPr>
          <w:p w14:paraId="2FD8B7F5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Sem autorização. Vence em menos de três meses</w:t>
            </w:r>
          </w:p>
        </w:tc>
      </w:tr>
      <w:tr w:rsidR="005B7D6E" w:rsidRPr="00EC50F7" w14:paraId="2DBFDF8C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6CC65DB2" w14:textId="77777777" w:rsidR="005B7D6E" w:rsidRDefault="00000000">
            <w:pPr>
              <w:pStyle w:val="LumisTabela"/>
            </w:pPr>
            <w:r>
              <w:rPr>
                <w:b/>
              </w:rPr>
              <w:t xml:space="preserve">Hospital Vila </w:t>
            </w:r>
            <w:proofErr w:type="spellStart"/>
            <w:r>
              <w:rPr>
                <w:b/>
              </w:rPr>
              <w:t>Ipê</w:t>
            </w:r>
            <w:proofErr w:type="spellEnd"/>
          </w:p>
        </w:tc>
        <w:tc>
          <w:tcPr>
            <w:tcW w:w="2835" w:type="dxa"/>
            <w:shd w:val="clear" w:color="auto" w:fill="F1F6F4"/>
          </w:tcPr>
          <w:p w14:paraId="110568D5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Cláusula genérica: "melhoria contínua do serviço"</w:t>
            </w:r>
          </w:p>
        </w:tc>
        <w:tc>
          <w:tcPr>
            <w:tcW w:w="1134" w:type="dxa"/>
            <w:shd w:val="clear" w:color="auto" w:fill="F1F6F4"/>
          </w:tcPr>
          <w:p w14:paraId="17936DE7" w14:textId="77777777" w:rsidR="005B7D6E" w:rsidRDefault="00000000">
            <w:pPr>
              <w:pStyle w:val="LumisTabela"/>
            </w:pPr>
            <w:r>
              <w:t>03/2027</w:t>
            </w:r>
          </w:p>
        </w:tc>
        <w:tc>
          <w:tcPr>
            <w:tcW w:w="3175" w:type="dxa"/>
            <w:shd w:val="clear" w:color="auto" w:fill="F1F6F4"/>
          </w:tcPr>
          <w:p w14:paraId="0DEBE514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Autorização frágil. É também o hospital que notificou o viés</w:t>
            </w:r>
          </w:p>
        </w:tc>
      </w:tr>
      <w:tr w:rsidR="005B7D6E" w14:paraId="5606B124" w14:textId="77777777">
        <w:trPr>
          <w:cantSplit/>
          <w:jc w:val="center"/>
        </w:trPr>
        <w:tc>
          <w:tcPr>
            <w:tcW w:w="1928" w:type="dxa"/>
          </w:tcPr>
          <w:p w14:paraId="34EFC8F0" w14:textId="77777777" w:rsidR="005B7D6E" w:rsidRDefault="00000000">
            <w:pPr>
              <w:pStyle w:val="LumisTabela"/>
            </w:pPr>
            <w:r>
              <w:rPr>
                <w:b/>
              </w:rPr>
              <w:t xml:space="preserve">Rede </w:t>
            </w:r>
            <w:proofErr w:type="spellStart"/>
            <w:r>
              <w:rPr>
                <w:b/>
              </w:rPr>
              <w:t>Sanare</w:t>
            </w:r>
            <w:proofErr w:type="spellEnd"/>
          </w:p>
        </w:tc>
        <w:tc>
          <w:tcPr>
            <w:tcW w:w="2835" w:type="dxa"/>
          </w:tcPr>
          <w:p w14:paraId="6DFC792D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Sim, para uso agregado e anonimizado</w:t>
            </w:r>
          </w:p>
        </w:tc>
        <w:tc>
          <w:tcPr>
            <w:tcW w:w="1134" w:type="dxa"/>
          </w:tcPr>
          <w:p w14:paraId="09C192F6" w14:textId="77777777" w:rsidR="005B7D6E" w:rsidRDefault="00000000">
            <w:pPr>
              <w:pStyle w:val="LumisTabela"/>
            </w:pPr>
            <w:r>
              <w:t>08/2028</w:t>
            </w:r>
          </w:p>
        </w:tc>
        <w:tc>
          <w:tcPr>
            <w:tcW w:w="3175" w:type="dxa"/>
          </w:tcPr>
          <w:p w14:paraId="622F9226" w14:textId="77777777" w:rsidR="005B7D6E" w:rsidRDefault="00000000">
            <w:pPr>
              <w:pStyle w:val="LumisTabela"/>
            </w:pPr>
            <w:r>
              <w:t>Autoriza com condição.</w:t>
            </w:r>
          </w:p>
        </w:tc>
      </w:tr>
      <w:tr w:rsidR="005B7D6E" w14:paraId="3D199593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59C69D26" w14:textId="77777777" w:rsidR="005B7D6E" w:rsidRDefault="00000000">
            <w:pPr>
              <w:pStyle w:val="LumisTabela"/>
            </w:pPr>
            <w:r>
              <w:rPr>
                <w:b/>
              </w:rPr>
              <w:t>Banco Meridiano</w:t>
            </w:r>
          </w:p>
        </w:tc>
        <w:tc>
          <w:tcPr>
            <w:tcW w:w="2835" w:type="dxa"/>
            <w:shd w:val="clear" w:color="auto" w:fill="F1F6F4"/>
          </w:tcPr>
          <w:p w14:paraId="3387AA4D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Sim, com auditoria anual do cliente</w:t>
            </w:r>
          </w:p>
        </w:tc>
        <w:tc>
          <w:tcPr>
            <w:tcW w:w="1134" w:type="dxa"/>
            <w:shd w:val="clear" w:color="auto" w:fill="F1F6F4"/>
          </w:tcPr>
          <w:p w14:paraId="769D0A3C" w14:textId="77777777" w:rsidR="005B7D6E" w:rsidRDefault="00000000">
            <w:pPr>
              <w:pStyle w:val="LumisTabela"/>
            </w:pPr>
            <w:r>
              <w:t>05/2028</w:t>
            </w:r>
          </w:p>
        </w:tc>
        <w:tc>
          <w:tcPr>
            <w:tcW w:w="3175" w:type="dxa"/>
            <w:shd w:val="clear" w:color="auto" w:fill="F1F6F4"/>
          </w:tcPr>
          <w:p w14:paraId="019E9DD5" w14:textId="77777777" w:rsidR="005B7D6E" w:rsidRDefault="00000000">
            <w:pPr>
              <w:pStyle w:val="LumisTabela"/>
            </w:pPr>
            <w:r>
              <w:t>Autoriza com condição.</w:t>
            </w:r>
          </w:p>
        </w:tc>
      </w:tr>
      <w:tr w:rsidR="005B7D6E" w:rsidRPr="00EC50F7" w14:paraId="6E5F589A" w14:textId="77777777">
        <w:trPr>
          <w:cantSplit/>
          <w:jc w:val="center"/>
        </w:trPr>
        <w:tc>
          <w:tcPr>
            <w:tcW w:w="1928" w:type="dxa"/>
          </w:tcPr>
          <w:p w14:paraId="198BEDCA" w14:textId="77777777" w:rsidR="005B7D6E" w:rsidRDefault="00000000">
            <w:pPr>
              <w:pStyle w:val="LumisTabela"/>
              <w:keepNext/>
            </w:pPr>
            <w:r>
              <w:rPr>
                <w:b/>
              </w:rPr>
              <w:t>DATASUS e sintéticos</w:t>
            </w:r>
          </w:p>
        </w:tc>
        <w:tc>
          <w:tcPr>
            <w:tcW w:w="2835" w:type="dxa"/>
          </w:tcPr>
          <w:p w14:paraId="282E24F8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Uso público e geração própria</w:t>
            </w:r>
          </w:p>
        </w:tc>
        <w:tc>
          <w:tcPr>
            <w:tcW w:w="1134" w:type="dxa"/>
          </w:tcPr>
          <w:p w14:paraId="0D4CF59E" w14:textId="77777777" w:rsidR="005B7D6E" w:rsidRDefault="00000000">
            <w:pPr>
              <w:pStyle w:val="LumisTabela"/>
              <w:keepNext/>
            </w:pP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se </w:t>
            </w:r>
            <w:proofErr w:type="spellStart"/>
            <w:r>
              <w:t>aplica</w:t>
            </w:r>
            <w:proofErr w:type="spellEnd"/>
          </w:p>
        </w:tc>
        <w:tc>
          <w:tcPr>
            <w:tcW w:w="3175" w:type="dxa"/>
          </w:tcPr>
          <w:p w14:paraId="5C7778BA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Autorizados. O DATASUS é aberto a todos</w:t>
            </w:r>
          </w:p>
        </w:tc>
      </w:tr>
    </w:tbl>
    <w:p w14:paraId="5AD6EE66" w14:textId="77777777" w:rsidR="005B7D6E" w:rsidRDefault="00000000">
      <w:pPr>
        <w:pStyle w:val="Legenda"/>
      </w:pPr>
      <w:r w:rsidRPr="00EC50F7">
        <w:rPr>
          <w:lang w:val="pt-BR"/>
        </w:rPr>
        <w:t xml:space="preserve">Tabela 1. As fontes da base de treinamento, </w:t>
      </w:r>
      <w:proofErr w:type="spellStart"/>
      <w:r w:rsidRPr="00EC50F7">
        <w:rPr>
          <w:lang w:val="pt-BR"/>
        </w:rPr>
        <w:t>da</w:t>
      </w:r>
      <w:proofErr w:type="spellEnd"/>
      <w:r w:rsidRPr="00EC50F7">
        <w:rPr>
          <w:lang w:val="pt-BR"/>
        </w:rPr>
        <w:t xml:space="preserve"> mais frágil para a mais segura. </w:t>
      </w:r>
      <w:r>
        <w:t>Fonte: Cap. 2, Quadro 7; leitura da equipe.</w:t>
      </w:r>
    </w:p>
    <w:p w14:paraId="0284B2F9" w14:textId="77777777" w:rsidR="005B7D6E" w:rsidRDefault="00000000">
      <w:pPr>
        <w:pStyle w:val="Commarcadores"/>
      </w:pPr>
      <w:r w:rsidRPr="00EC50F7">
        <w:rPr>
          <w:b/>
          <w:lang w:val="pt-BR"/>
        </w:rPr>
        <w:t>Os contratos mais frágeis são os que vencem primeiro.</w:t>
      </w:r>
      <w:r w:rsidRPr="00EC50F7">
        <w:rPr>
          <w:lang w:val="pt-BR"/>
        </w:rPr>
        <w:t xml:space="preserve"> Prisma e Vila Ipê somam um terço dos dados de clientes. Nenhum dos seis contratos de dados passou por revisão jurídica, e o modelo atual já foi treinado com esses dados. </w:t>
      </w:r>
      <w:r>
        <w:t xml:space="preserve">O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hoje</w:t>
      </w:r>
      <w:proofErr w:type="spellEnd"/>
      <w:r>
        <w:t>, antes de qualquer vencimento.</w:t>
      </w:r>
    </w:p>
    <w:p w14:paraId="37D2ADDC" w14:textId="77777777" w:rsidR="005B7D6E" w:rsidRPr="00EC50F7" w:rsidRDefault="00000000">
      <w:pPr>
        <w:pStyle w:val="Commarcadores"/>
        <w:rPr>
          <w:lang w:val="pt-BR"/>
        </w:rPr>
      </w:pPr>
      <w:r w:rsidRPr="00EC50F7">
        <w:rPr>
          <w:b/>
          <w:lang w:val="pt-BR"/>
        </w:rPr>
        <w:t>Base legal.</w:t>
      </w:r>
      <w:r w:rsidRPr="00EC50F7">
        <w:rPr>
          <w:lang w:val="pt-BR"/>
        </w:rPr>
        <w:t xml:space="preserve"> Dado de saúde é dado pessoal sensível, e a LGPD pede finalidade específica e informada ao titular². Uma cláusula de "melhoria contínua do serviço" dificilmente cobre treinar um produto vendido a outros clientes. Quem trata dados em nome do cliente só pode usá-los para a finalidade definida por ele³. Ao treinar o próprio modelo, a Lumis passa a decidir uma finalidade própria e precisaria de base legal própria.</w:t>
      </w:r>
    </w:p>
    <w:p w14:paraId="28649BA1" w14:textId="77777777" w:rsidR="005B7D6E" w:rsidRPr="00EC50F7" w:rsidRDefault="00000000">
      <w:pPr>
        <w:pStyle w:val="Commarcadores"/>
        <w:rPr>
          <w:lang w:val="pt-BR"/>
        </w:rPr>
      </w:pPr>
      <w:r w:rsidRPr="00EC50F7">
        <w:rPr>
          <w:b/>
          <w:lang w:val="pt-BR"/>
        </w:rPr>
        <w:t>Dados anteriores à empresa.</w:t>
      </w:r>
      <w:r w:rsidRPr="00EC50F7">
        <w:rPr>
          <w:lang w:val="pt-BR"/>
        </w:rPr>
        <w:t xml:space="preserve"> A Lumis foi fundada em 2022, e parte dos dados de clientes começa em 2019 </w:t>
      </w:r>
      <w:r w:rsidRPr="00EC50F7">
        <w:rPr>
          <w:rStyle w:val="TagFonte"/>
          <w:lang w:val="pt-BR"/>
        </w:rPr>
        <w:t>[fonte: Cap. 2, Quadros 3 e 7]</w:t>
      </w:r>
      <w:r w:rsidRPr="00EC50F7">
        <w:rPr>
          <w:lang w:val="pt-BR"/>
        </w:rPr>
        <w:t xml:space="preserve">. Sob que cláusula esse histórico chegou </w:t>
      </w:r>
      <w:r w:rsidRPr="00EC50F7">
        <w:rPr>
          <w:rStyle w:val="TagNoconsta"/>
          <w:lang w:val="pt-BR"/>
        </w:rPr>
        <w:t>[não consta]</w:t>
      </w:r>
      <w:r w:rsidRPr="00EC50F7">
        <w:rPr>
          <w:lang w:val="pt-BR"/>
        </w:rPr>
        <w:t xml:space="preserve">. É a primeira pergunta que uma </w:t>
      </w:r>
      <w:proofErr w:type="spellStart"/>
      <w:r w:rsidRPr="00EC50F7">
        <w:rPr>
          <w:lang w:val="pt-BR"/>
        </w:rPr>
        <w:t>due</w:t>
      </w:r>
      <w:proofErr w:type="spellEnd"/>
      <w:r w:rsidRPr="00EC50F7">
        <w:rPr>
          <w:lang w:val="pt-BR"/>
        </w:rPr>
        <w:t xml:space="preserve"> </w:t>
      </w:r>
      <w:proofErr w:type="spellStart"/>
      <w:r w:rsidRPr="00EC50F7">
        <w:rPr>
          <w:lang w:val="pt-BR"/>
        </w:rPr>
        <w:t>diligence</w:t>
      </w:r>
      <w:proofErr w:type="spellEnd"/>
      <w:r w:rsidRPr="00EC50F7">
        <w:rPr>
          <w:lang w:val="pt-BR"/>
        </w:rPr>
        <w:t xml:space="preserve"> faria.</w:t>
      </w:r>
    </w:p>
    <w:p w14:paraId="36B33DA4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lastRenderedPageBreak/>
        <w:t xml:space="preserve">O que é defensável hoje são os dados da </w:t>
      </w:r>
      <w:proofErr w:type="spellStart"/>
      <w:r w:rsidRPr="00EC50F7">
        <w:rPr>
          <w:lang w:val="pt-BR"/>
        </w:rPr>
        <w:t>Sanare</w:t>
      </w:r>
      <w:proofErr w:type="spellEnd"/>
      <w:r w:rsidRPr="00EC50F7">
        <w:rPr>
          <w:lang w:val="pt-BR"/>
        </w:rPr>
        <w:t xml:space="preserve"> e do Meridiano, e mesmo eles dependem de condições que ninguém verificou. A recomendação é ter o parecer da DPO sobre os seis contratos antes do próximo treino, renegociar Prisma e Vila Ipê antes do vencimento, incluindo o histórico, e aprovar a política de dados de saúde, parada desde 2024.</w:t>
      </w:r>
    </w:p>
    <w:p w14:paraId="1550815D" w14:textId="77777777" w:rsidR="005B7D6E" w:rsidRPr="00EC50F7" w:rsidRDefault="00000000">
      <w:pPr>
        <w:pStyle w:val="Ttulo1"/>
        <w:rPr>
          <w:lang w:val="pt-BR"/>
        </w:rPr>
      </w:pPr>
      <w:r w:rsidRPr="00EC50F7">
        <w:rPr>
          <w:lang w:val="pt-BR"/>
        </w:rPr>
        <w:t>2. O que o modelo mede de fato</w:t>
      </w:r>
    </w:p>
    <w:p w14:paraId="4C7F9CE2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 xml:space="preserve">As duas variáveis que mais pesam no modelo, número de atendimentos e custo acumulado, deveriam medir necessidade de cuidado e gravidade. Na prática, medem quem conseguiu ser atendido e quanto isso custou. Quem teve menos acesso parece menos grave para o modelo. O capítulo descreve esse caso e diz que "foi exatamente isso que aconteceu no incidente da Fase 1" </w:t>
      </w:r>
      <w:r w:rsidRPr="00EC50F7">
        <w:rPr>
          <w:rStyle w:val="TagFonte"/>
          <w:lang w:val="pt-BR"/>
        </w:rPr>
        <w:t>[fonte: Cap. 2, 2.2]</w:t>
      </w:r>
      <w:r w:rsidRPr="00EC50F7">
        <w:rPr>
          <w:lang w:val="pt-BR"/>
        </w:rPr>
        <w:t>.</w:t>
      </w:r>
    </w:p>
    <w:p w14:paraId="56B26A9C" w14:textId="77777777" w:rsidR="005B7D6E" w:rsidRPr="00EC50F7" w:rsidRDefault="00000000">
      <w:pPr>
        <w:rPr>
          <w:lang w:val="pt-BR"/>
        </w:rPr>
      </w:pPr>
      <w:r w:rsidRPr="00EC50F7">
        <w:rPr>
          <w:b/>
          <w:lang w:val="pt-BR"/>
        </w:rPr>
        <w:t>Um caso real com o mesmo erro.</w:t>
      </w:r>
      <w:r w:rsidRPr="00EC50F7">
        <w:rPr>
          <w:lang w:val="pt-BR"/>
        </w:rPr>
        <w:t xml:space="preserve"> Em 2019, pesquisadores publicaram na revista Science a análise de um algoritmo comercial usado nos Estados Unidos para escolher pacientes para cuidado extra¹. O algoritmo previa quanto cada paciente ia custar, e não quão doente estava. Como pacientes negros tinham menos acesso a atendimento, gastavam menos e recebiam </w:t>
      </w:r>
      <w:proofErr w:type="gramStart"/>
      <w:r w:rsidRPr="00EC50F7">
        <w:rPr>
          <w:lang w:val="pt-BR"/>
        </w:rPr>
        <w:t>o mesmo</w:t>
      </w:r>
      <w:proofErr w:type="gramEnd"/>
      <w:r w:rsidRPr="00EC50F7">
        <w:rPr>
          <w:lang w:val="pt-BR"/>
        </w:rPr>
        <w:t xml:space="preserve"> escore que pacientes brancos mais saudáveis. Com a medida corrigida, a parcela de pacientes negros indicados para cuidado extra mais que dobraria. Na Lumis, o mecanismo é o mesmo, e quem fica para trás é quem tem menos acesso, como os idosos de CEP D/E. O caso não faz parte da história da Lumis e entra como comparação.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41"/>
        <w:gridCol w:w="2268"/>
        <w:gridCol w:w="2948"/>
      </w:tblGrid>
      <w:tr w:rsidR="005B7D6E" w14:paraId="6C42B9CA" w14:textId="77777777">
        <w:trPr>
          <w:cantSplit/>
          <w:tblHeader/>
          <w:jc w:val="center"/>
        </w:trPr>
        <w:tc>
          <w:tcPr>
            <w:tcW w:w="1814" w:type="dxa"/>
            <w:shd w:val="clear" w:color="auto" w:fill="0F2D3A"/>
          </w:tcPr>
          <w:p w14:paraId="15B0BAB7" w14:textId="77777777" w:rsidR="005B7D6E" w:rsidRDefault="00000000">
            <w:pPr>
              <w:pStyle w:val="LumisTabela"/>
              <w:keepNext/>
            </w:pPr>
            <w:proofErr w:type="spellStart"/>
            <w:r>
              <w:rPr>
                <w:b/>
                <w:color w:val="FFFFFF"/>
              </w:rPr>
              <w:t>Variável</w:t>
            </w:r>
            <w:proofErr w:type="spellEnd"/>
          </w:p>
        </w:tc>
        <w:tc>
          <w:tcPr>
            <w:tcW w:w="2041" w:type="dxa"/>
            <w:shd w:val="clear" w:color="auto" w:fill="0F2D3A"/>
          </w:tcPr>
          <w:p w14:paraId="37F7C25E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A empresa diz medir</w:t>
            </w:r>
          </w:p>
        </w:tc>
        <w:tc>
          <w:tcPr>
            <w:tcW w:w="2268" w:type="dxa"/>
            <w:shd w:val="clear" w:color="auto" w:fill="0F2D3A"/>
          </w:tcPr>
          <w:p w14:paraId="36E8595B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b/>
                <w:color w:val="FFFFFF"/>
                <w:lang w:val="pt-BR"/>
              </w:rPr>
              <w:t>O que tende a medir</w:t>
            </w:r>
          </w:p>
        </w:tc>
        <w:tc>
          <w:tcPr>
            <w:tcW w:w="2948" w:type="dxa"/>
            <w:shd w:val="clear" w:color="auto" w:fill="0F2D3A"/>
          </w:tcPr>
          <w:p w14:paraId="0AB8BD4C" w14:textId="77777777" w:rsidR="005B7D6E" w:rsidRDefault="00000000">
            <w:pPr>
              <w:pStyle w:val="LumisTabela"/>
              <w:keepNext/>
            </w:pPr>
            <w:proofErr w:type="spellStart"/>
            <w:r>
              <w:rPr>
                <w:b/>
                <w:color w:val="FFFFFF"/>
              </w:rPr>
              <w:t>Efeito</w:t>
            </w:r>
            <w:proofErr w:type="spellEnd"/>
          </w:p>
        </w:tc>
      </w:tr>
      <w:tr w:rsidR="005B7D6E" w:rsidRPr="00EC50F7" w14:paraId="06369DA4" w14:textId="77777777">
        <w:trPr>
          <w:cantSplit/>
          <w:jc w:val="center"/>
        </w:trPr>
        <w:tc>
          <w:tcPr>
            <w:tcW w:w="1814" w:type="dxa"/>
          </w:tcPr>
          <w:p w14:paraId="56DE6887" w14:textId="77777777" w:rsidR="005B7D6E" w:rsidRDefault="00000000">
            <w:pPr>
              <w:pStyle w:val="LumisTabela"/>
            </w:pPr>
            <w:r>
              <w:t>Nº de atendimentos</w:t>
            </w:r>
          </w:p>
        </w:tc>
        <w:tc>
          <w:tcPr>
            <w:tcW w:w="2041" w:type="dxa"/>
          </w:tcPr>
          <w:p w14:paraId="2D5CDD7C" w14:textId="77777777" w:rsidR="005B7D6E" w:rsidRDefault="00000000">
            <w:pPr>
              <w:pStyle w:val="LumisTabela"/>
            </w:pPr>
            <w:r>
              <w:t>Necessidade de cuidado</w:t>
            </w:r>
          </w:p>
        </w:tc>
        <w:tc>
          <w:tcPr>
            <w:tcW w:w="2268" w:type="dxa"/>
          </w:tcPr>
          <w:p w14:paraId="5EA99ABD" w14:textId="77777777" w:rsidR="005B7D6E" w:rsidRDefault="00000000">
            <w:pPr>
              <w:pStyle w:val="LumisTabela"/>
            </w:pPr>
            <w:r>
              <w:t>Quem conseguiu ser atendido</w:t>
            </w:r>
          </w:p>
        </w:tc>
        <w:tc>
          <w:tcPr>
            <w:tcW w:w="2948" w:type="dxa"/>
          </w:tcPr>
          <w:p w14:paraId="2BA22372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Quem tem menos acesso parece precisar de menos</w:t>
            </w:r>
          </w:p>
        </w:tc>
      </w:tr>
      <w:tr w:rsidR="005B7D6E" w:rsidRPr="00EC50F7" w14:paraId="17D660B9" w14:textId="77777777">
        <w:trPr>
          <w:cantSplit/>
          <w:jc w:val="center"/>
        </w:trPr>
        <w:tc>
          <w:tcPr>
            <w:tcW w:w="1814" w:type="dxa"/>
            <w:shd w:val="clear" w:color="auto" w:fill="F1F6F4"/>
          </w:tcPr>
          <w:p w14:paraId="784A4C28" w14:textId="77777777" w:rsidR="005B7D6E" w:rsidRDefault="00000000">
            <w:pPr>
              <w:pStyle w:val="LumisTabela"/>
            </w:pPr>
            <w:proofErr w:type="spellStart"/>
            <w:r>
              <w:t>Custo</w:t>
            </w:r>
            <w:proofErr w:type="spellEnd"/>
            <w:r>
              <w:t xml:space="preserve"> </w:t>
            </w:r>
            <w:proofErr w:type="spellStart"/>
            <w:r>
              <w:t>acumulado</w:t>
            </w:r>
            <w:proofErr w:type="spellEnd"/>
          </w:p>
        </w:tc>
        <w:tc>
          <w:tcPr>
            <w:tcW w:w="2041" w:type="dxa"/>
            <w:shd w:val="clear" w:color="auto" w:fill="F1F6F4"/>
          </w:tcPr>
          <w:p w14:paraId="5558817B" w14:textId="77777777" w:rsidR="005B7D6E" w:rsidRDefault="00000000">
            <w:pPr>
              <w:pStyle w:val="LumisTabela"/>
            </w:pPr>
            <w:r>
              <w:t>Gravidade</w:t>
            </w:r>
          </w:p>
        </w:tc>
        <w:tc>
          <w:tcPr>
            <w:tcW w:w="2268" w:type="dxa"/>
            <w:shd w:val="clear" w:color="auto" w:fill="F1F6F4"/>
          </w:tcPr>
          <w:p w14:paraId="3F6C3BB4" w14:textId="77777777" w:rsidR="005B7D6E" w:rsidRDefault="00000000">
            <w:pPr>
              <w:pStyle w:val="LumisTabela"/>
            </w:pPr>
            <w:r>
              <w:t>Acesso a procedimentos pagos</w:t>
            </w:r>
          </w:p>
        </w:tc>
        <w:tc>
          <w:tcPr>
            <w:tcW w:w="2948" w:type="dxa"/>
            <w:shd w:val="clear" w:color="auto" w:fill="F1F6F4"/>
          </w:tcPr>
          <w:p w14:paraId="363B3112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Quem gasta menos parece menos grave</w:t>
            </w:r>
          </w:p>
        </w:tc>
      </w:tr>
      <w:tr w:rsidR="005B7D6E" w:rsidRPr="00EC50F7" w14:paraId="70838CA2" w14:textId="77777777">
        <w:trPr>
          <w:cantSplit/>
          <w:jc w:val="center"/>
        </w:trPr>
        <w:tc>
          <w:tcPr>
            <w:tcW w:w="1814" w:type="dxa"/>
          </w:tcPr>
          <w:p w14:paraId="1649633D" w14:textId="77777777" w:rsidR="005B7D6E" w:rsidRDefault="00000000">
            <w:pPr>
              <w:pStyle w:val="LumisTabela"/>
            </w:pPr>
            <w:proofErr w:type="spellStart"/>
            <w:r>
              <w:t>Faixa</w:t>
            </w:r>
            <w:proofErr w:type="spellEnd"/>
            <w:r>
              <w:t xml:space="preserve"> de CEP</w:t>
            </w:r>
          </w:p>
        </w:tc>
        <w:tc>
          <w:tcPr>
            <w:tcW w:w="2041" w:type="dxa"/>
          </w:tcPr>
          <w:p w14:paraId="1870E052" w14:textId="77777777" w:rsidR="005B7D6E" w:rsidRDefault="00000000">
            <w:pPr>
              <w:pStyle w:val="LumisTabela"/>
            </w:pPr>
            <w:r>
              <w:t>Região de residência</w:t>
            </w:r>
          </w:p>
        </w:tc>
        <w:tc>
          <w:tcPr>
            <w:tcW w:w="2268" w:type="dxa"/>
          </w:tcPr>
          <w:p w14:paraId="3D5A765E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Renda e oferta de serviços</w:t>
            </w:r>
          </w:p>
        </w:tc>
        <w:tc>
          <w:tcPr>
            <w:tcW w:w="2948" w:type="dxa"/>
          </w:tcPr>
          <w:p w14:paraId="527BC00D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Leva a desigualdade regional para o modelo</w:t>
            </w:r>
          </w:p>
        </w:tc>
      </w:tr>
      <w:tr w:rsidR="005B7D6E" w:rsidRPr="00EC50F7" w14:paraId="0B63E1BA" w14:textId="77777777">
        <w:trPr>
          <w:cantSplit/>
          <w:jc w:val="center"/>
        </w:trPr>
        <w:tc>
          <w:tcPr>
            <w:tcW w:w="1814" w:type="dxa"/>
            <w:shd w:val="clear" w:color="auto" w:fill="F1F6F4"/>
          </w:tcPr>
          <w:p w14:paraId="01B721DC" w14:textId="77777777" w:rsidR="005B7D6E" w:rsidRDefault="00000000">
            <w:pPr>
              <w:pStyle w:val="LumisTabela"/>
              <w:keepNext/>
            </w:pPr>
            <w:r>
              <w:t>Tipo de plano</w:t>
            </w:r>
          </w:p>
        </w:tc>
        <w:tc>
          <w:tcPr>
            <w:tcW w:w="2041" w:type="dxa"/>
            <w:shd w:val="clear" w:color="auto" w:fill="F1F6F4"/>
          </w:tcPr>
          <w:p w14:paraId="699AA3E6" w14:textId="77777777" w:rsidR="005B7D6E" w:rsidRDefault="00000000">
            <w:pPr>
              <w:pStyle w:val="LumisTabela"/>
              <w:keepNext/>
            </w:pPr>
            <w:r>
              <w:t>Cobertura contratada</w:t>
            </w:r>
          </w:p>
        </w:tc>
        <w:tc>
          <w:tcPr>
            <w:tcW w:w="2268" w:type="dxa"/>
            <w:shd w:val="clear" w:color="auto" w:fill="F1F6F4"/>
          </w:tcPr>
          <w:p w14:paraId="6C8EAA7C" w14:textId="77777777" w:rsidR="005B7D6E" w:rsidRDefault="00000000">
            <w:pPr>
              <w:pStyle w:val="LumisTabela"/>
              <w:keepNext/>
            </w:pPr>
            <w:r>
              <w:t>Renda</w:t>
            </w:r>
          </w:p>
        </w:tc>
        <w:tc>
          <w:tcPr>
            <w:tcW w:w="2948" w:type="dxa"/>
            <w:shd w:val="clear" w:color="auto" w:fill="F1F6F4"/>
          </w:tcPr>
          <w:p w14:paraId="382F5886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A prioridade passa a depender do plano</w:t>
            </w:r>
          </w:p>
        </w:tc>
      </w:tr>
    </w:tbl>
    <w:p w14:paraId="11D75645" w14:textId="77777777" w:rsidR="005B7D6E" w:rsidRPr="00EC50F7" w:rsidRDefault="00000000">
      <w:pPr>
        <w:pStyle w:val="Legenda"/>
        <w:rPr>
          <w:lang w:val="pt-BR"/>
        </w:rPr>
      </w:pPr>
      <w:r w:rsidRPr="00EC50F7">
        <w:rPr>
          <w:lang w:val="pt-BR"/>
        </w:rPr>
        <w:t>Tabela 2. As variáveis que medem acesso. Juntas, são metade do peso do modelo. Fonte: Cap. 2, Quadro 8; leitura da equipe.</w:t>
      </w:r>
    </w:p>
    <w:p w14:paraId="0D15434D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 xml:space="preserve">O CEP reforça o caso: com a mesma idade, o erro cresce de A/B para D/E nas duas faixas etárias </w:t>
      </w:r>
      <w:r w:rsidRPr="00EC50F7">
        <w:rPr>
          <w:rStyle w:val="TagFonte"/>
          <w:lang w:val="pt-BR"/>
        </w:rPr>
        <w:t>[fonte: Cap. 2, Quadro 10]</w:t>
      </w:r>
      <w:r w:rsidRPr="00EC50F7">
        <w:rPr>
          <w:lang w:val="pt-BR"/>
        </w:rPr>
        <w:t>. Por que os idosos são os mais afetados o anexo não permite separar, e os testes ficam para a Fase 3.</w:t>
      </w:r>
    </w:p>
    <w:p w14:paraId="03C3973A" w14:textId="77777777" w:rsidR="005B7D6E" w:rsidRPr="00EC50F7" w:rsidRDefault="00000000">
      <w:pPr>
        <w:pStyle w:val="Ttulo1"/>
        <w:rPr>
          <w:lang w:val="pt-BR"/>
        </w:rPr>
      </w:pPr>
      <w:r w:rsidRPr="00EC50F7">
        <w:rPr>
          <w:lang w:val="pt-BR"/>
        </w:rPr>
        <w:t>3. O que acontece em campo</w:t>
      </w:r>
    </w:p>
    <w:p w14:paraId="018D2CAB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 xml:space="preserve">Os 94% de acurácia vêm de uma amostra de 2023 com dois hospitais da mesma região. Em campo, o número que importa para priorização, o paciente que precisava de prioridade e não recebeu, mais que dobrou </w:t>
      </w:r>
      <w:r w:rsidRPr="00EC50F7">
        <w:rPr>
          <w:rStyle w:val="TagFonte"/>
          <w:lang w:val="pt-BR"/>
        </w:rPr>
        <w:t>[fonte: Cap. 2, Quadro 9]</w:t>
      </w:r>
      <w:r w:rsidRPr="00EC50F7">
        <w:rPr>
          <w:lang w:val="pt-BR"/>
        </w:rPr>
        <w:t>.</w:t>
      </w:r>
    </w:p>
    <w:p w14:paraId="1FF75020" w14:textId="77777777" w:rsidR="005B7D6E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772CBD" wp14:editId="4CFC2C05">
            <wp:extent cx="5760000" cy="2127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ubgrupo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9159" w14:textId="77777777" w:rsidR="005B7D6E" w:rsidRPr="00EC50F7" w:rsidRDefault="00000000">
      <w:pPr>
        <w:pStyle w:val="Legenda"/>
        <w:rPr>
          <w:lang w:val="pt-BR"/>
        </w:rPr>
      </w:pPr>
      <w:r w:rsidRPr="00EC50F7">
        <w:rPr>
          <w:lang w:val="pt-BR"/>
        </w:rPr>
        <w:t>Figura 1. Pacientes que precisavam de prioridade e não receberam, por grupo, 1º semestre de 2026. Fonte: Cap. 2, Quadros 9 e 10.</w:t>
      </w:r>
    </w:p>
    <w:p w14:paraId="68D9F1BD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 xml:space="preserve">O erro se concentra em quem já é mais vulnerável: o modelo deixa de priorizar idosos de CEP D/E três vezes mais que adultos de CEP A/B. Foi o Hospital Vila Ipê que mediu isso, e não a Lumis. Só 2% das decisões passam por revisão humana, e as reclamações dos pacientes de CEP D/E, que são a maioria, nunca foram cruzadas com o desempenho do modelo </w:t>
      </w:r>
      <w:r w:rsidRPr="00EC50F7">
        <w:rPr>
          <w:rStyle w:val="TagFonte"/>
          <w:lang w:val="pt-BR"/>
        </w:rPr>
        <w:t>[fonte: Cap. 2, Quadros 10, 12 e 17]</w:t>
      </w:r>
      <w:r w:rsidRPr="00EC50F7">
        <w:rPr>
          <w:lang w:val="pt-BR"/>
        </w:rPr>
        <w:t>.</w:t>
      </w:r>
    </w:p>
    <w:p w14:paraId="0C1BBF32" w14:textId="77777777" w:rsidR="005B7D6E" w:rsidRPr="00EC50F7" w:rsidRDefault="00000000">
      <w:pPr>
        <w:pStyle w:val="Ttulo1"/>
        <w:rPr>
          <w:lang w:val="pt-BR"/>
        </w:rPr>
      </w:pPr>
      <w:r w:rsidRPr="00EC50F7">
        <w:rPr>
          <w:lang w:val="pt-BR"/>
        </w:rPr>
        <w:t>4. Os números que mostramos ao mercado</w:t>
      </w:r>
    </w:p>
    <w:p w14:paraId="1F82AB58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 xml:space="preserve">O Vetor Capital avisou que número que não sobrevive a uma auditoria independente vira passivo. Passamos cada afirmação do painel comercial pelas quatro perguntas que o capítulo propõe para qualquer métrica </w:t>
      </w:r>
      <w:r w:rsidRPr="00EC50F7">
        <w:rPr>
          <w:rStyle w:val="TagFonte"/>
          <w:lang w:val="pt-BR"/>
        </w:rPr>
        <w:t>[fonte: Cap. 2, 2.3]</w:t>
      </w:r>
      <w:r w:rsidRPr="00EC50F7">
        <w:rPr>
          <w:lang w:val="pt-BR"/>
        </w:rPr>
        <w:t>. Na maior parte dos casos, o número está certo e a forma de divulgar é que não se sustenta.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41"/>
        <w:gridCol w:w="1587"/>
        <w:gridCol w:w="1814"/>
        <w:gridCol w:w="1814"/>
      </w:tblGrid>
      <w:tr w:rsidR="005B7D6E" w14:paraId="6F1C3B10" w14:textId="77777777">
        <w:trPr>
          <w:cantSplit/>
          <w:tblHeader/>
          <w:jc w:val="center"/>
        </w:trPr>
        <w:tc>
          <w:tcPr>
            <w:tcW w:w="1814" w:type="dxa"/>
            <w:shd w:val="clear" w:color="auto" w:fill="0F2D3A"/>
          </w:tcPr>
          <w:p w14:paraId="72F42210" w14:textId="77777777" w:rsidR="005B7D6E" w:rsidRDefault="00000000">
            <w:pPr>
              <w:pStyle w:val="LumisTabela"/>
              <w:keepNext/>
            </w:pPr>
            <w:proofErr w:type="spellStart"/>
            <w:r>
              <w:rPr>
                <w:b/>
                <w:color w:val="FFFFFF"/>
              </w:rPr>
              <w:t>Afirmação</w:t>
            </w:r>
            <w:proofErr w:type="spellEnd"/>
          </w:p>
        </w:tc>
        <w:tc>
          <w:tcPr>
            <w:tcW w:w="2041" w:type="dxa"/>
            <w:shd w:val="clear" w:color="auto" w:fill="0F2D3A"/>
          </w:tcPr>
          <w:p w14:paraId="1ACBAA83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b/>
                <w:color w:val="FFFFFF"/>
                <w:lang w:val="pt-BR"/>
              </w:rPr>
              <w:t>Medida em quê e por quem?</w:t>
            </w:r>
          </w:p>
        </w:tc>
        <w:tc>
          <w:tcPr>
            <w:tcW w:w="1587" w:type="dxa"/>
            <w:shd w:val="clear" w:color="auto" w:fill="0F2D3A"/>
          </w:tcPr>
          <w:p w14:paraId="1259303F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 xml:space="preserve">Muda </w:t>
            </w:r>
            <w:proofErr w:type="spellStart"/>
            <w:r>
              <w:rPr>
                <w:b/>
                <w:color w:val="FFFFFF"/>
              </w:rPr>
              <w:t>alguma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decisão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  <w:tc>
          <w:tcPr>
            <w:tcW w:w="1814" w:type="dxa"/>
            <w:shd w:val="clear" w:color="auto" w:fill="0F2D3A"/>
          </w:tcPr>
          <w:p w14:paraId="029C8D66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  <w:tc>
          <w:tcPr>
            <w:tcW w:w="1814" w:type="dxa"/>
            <w:shd w:val="clear" w:color="auto" w:fill="0F2D3A"/>
          </w:tcPr>
          <w:p w14:paraId="4AE9317C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Destino</w:t>
            </w:r>
          </w:p>
        </w:tc>
      </w:tr>
      <w:tr w:rsidR="005B7D6E" w:rsidRPr="00EC50F7" w14:paraId="0D2BFABC" w14:textId="77777777">
        <w:trPr>
          <w:cantSplit/>
          <w:jc w:val="center"/>
        </w:trPr>
        <w:tc>
          <w:tcPr>
            <w:tcW w:w="1814" w:type="dxa"/>
          </w:tcPr>
          <w:p w14:paraId="2912BD90" w14:textId="77777777" w:rsidR="005B7D6E" w:rsidRDefault="00000000">
            <w:pPr>
              <w:pStyle w:val="LumisTabela"/>
            </w:pPr>
            <w:r>
              <w:t>"Acurácia de 94%"</w:t>
            </w:r>
          </w:p>
        </w:tc>
        <w:tc>
          <w:tcPr>
            <w:tcW w:w="2041" w:type="dxa"/>
          </w:tcPr>
          <w:p w14:paraId="4EFF14C1" w14:textId="77777777" w:rsidR="005B7D6E" w:rsidRDefault="00000000">
            <w:pPr>
              <w:pStyle w:val="LumisTabela"/>
            </w:pPr>
            <w:r w:rsidRPr="00EC50F7">
              <w:rPr>
                <w:lang w:val="pt-BR"/>
              </w:rPr>
              <w:t xml:space="preserve">Amostra de 2023, dois hospitais da mesma região. </w:t>
            </w:r>
            <w:r>
              <w:t xml:space="preserve">Quem </w:t>
            </w:r>
            <w:proofErr w:type="spellStart"/>
            <w:r>
              <w:t>apurou</w:t>
            </w:r>
            <w:proofErr w:type="spellEnd"/>
            <w:r>
              <w:t xml:space="preserve"> </w:t>
            </w:r>
            <w:r>
              <w:rPr>
                <w:rStyle w:val="TagNoconsta"/>
              </w:rPr>
              <w:t>[</w:t>
            </w:r>
            <w:proofErr w:type="spellStart"/>
            <w:r>
              <w:rPr>
                <w:rStyle w:val="TagNoconsta"/>
              </w:rPr>
              <w:t>não</w:t>
            </w:r>
            <w:proofErr w:type="spellEnd"/>
            <w:r>
              <w:rPr>
                <w:rStyle w:val="TagNoconsta"/>
              </w:rPr>
              <w:t xml:space="preserve"> </w:t>
            </w:r>
            <w:proofErr w:type="spellStart"/>
            <w:r>
              <w:rPr>
                <w:rStyle w:val="TagNoconsta"/>
              </w:rPr>
              <w:t>consta</w:t>
            </w:r>
            <w:proofErr w:type="spellEnd"/>
            <w:r>
              <w:rPr>
                <w:rStyle w:val="TagNoconsta"/>
              </w:rPr>
              <w:t>]</w:t>
            </w:r>
          </w:p>
        </w:tc>
        <w:tc>
          <w:tcPr>
            <w:tcW w:w="1587" w:type="dxa"/>
          </w:tcPr>
          <w:p w14:paraId="2ACC08FB" w14:textId="77777777" w:rsidR="005B7D6E" w:rsidRDefault="00000000">
            <w:pPr>
              <w:pStyle w:val="LumisTabela"/>
            </w:pPr>
            <w:r>
              <w:t>Não. Virou discurso comercial</w:t>
            </w:r>
          </w:p>
        </w:tc>
        <w:tc>
          <w:tcPr>
            <w:tcW w:w="1814" w:type="dxa"/>
          </w:tcPr>
          <w:p w14:paraId="708148FE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O erro em campo e por grupo</w:t>
            </w:r>
          </w:p>
        </w:tc>
        <w:tc>
          <w:tcPr>
            <w:tcW w:w="1814" w:type="dxa"/>
          </w:tcPr>
          <w:p w14:paraId="2ADA20E0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Trocar pelo erro em campo por grupo (indicador 1)</w:t>
            </w:r>
          </w:p>
        </w:tc>
      </w:tr>
      <w:tr w:rsidR="005B7D6E" w:rsidRPr="00EC50F7" w14:paraId="2346FED7" w14:textId="77777777">
        <w:trPr>
          <w:cantSplit/>
          <w:jc w:val="center"/>
        </w:trPr>
        <w:tc>
          <w:tcPr>
            <w:tcW w:w="1814" w:type="dxa"/>
            <w:shd w:val="clear" w:color="auto" w:fill="F1F6F4"/>
          </w:tcPr>
          <w:p w14:paraId="6B3EAB1A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"Redução de 30% no tempo de triagem"</w:t>
            </w:r>
          </w:p>
        </w:tc>
        <w:tc>
          <w:tcPr>
            <w:tcW w:w="2041" w:type="dxa"/>
            <w:shd w:val="clear" w:color="auto" w:fill="F1F6F4"/>
          </w:tcPr>
          <w:p w14:paraId="5E36F61C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Piloto de seis semanas em um hospital, sem comparação</w:t>
            </w:r>
          </w:p>
        </w:tc>
        <w:tc>
          <w:tcPr>
            <w:tcW w:w="1587" w:type="dxa"/>
            <w:shd w:val="clear" w:color="auto" w:fill="F1F6F4"/>
          </w:tcPr>
          <w:p w14:paraId="7D8C7F23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Não, porque não há com o que comparar</w:t>
            </w:r>
          </w:p>
        </w:tc>
        <w:tc>
          <w:tcPr>
            <w:tcW w:w="1814" w:type="dxa"/>
            <w:shd w:val="clear" w:color="auto" w:fill="F1F6F4"/>
          </w:tcPr>
          <w:p w14:paraId="11F6624C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Não abre por grupo nem por hospital</w:t>
            </w:r>
          </w:p>
        </w:tc>
        <w:tc>
          <w:tcPr>
            <w:tcW w:w="1814" w:type="dxa"/>
            <w:shd w:val="clear" w:color="auto" w:fill="F1F6F4"/>
          </w:tcPr>
          <w:p w14:paraId="3425A566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Retirar até haver estudo com comparação</w:t>
            </w:r>
          </w:p>
        </w:tc>
      </w:tr>
      <w:tr w:rsidR="005B7D6E" w14:paraId="16201E36" w14:textId="77777777">
        <w:trPr>
          <w:cantSplit/>
          <w:jc w:val="center"/>
        </w:trPr>
        <w:tc>
          <w:tcPr>
            <w:tcW w:w="1814" w:type="dxa"/>
          </w:tcPr>
          <w:p w14:paraId="75AB4E33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"Mais de 5 milhões de vidas analisadas"</w:t>
            </w:r>
          </w:p>
        </w:tc>
        <w:tc>
          <w:tcPr>
            <w:tcW w:w="2041" w:type="dxa"/>
          </w:tcPr>
          <w:p w14:paraId="47E40166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Processamentos, com o mesmo paciente contado mais de uma vez</w:t>
            </w:r>
          </w:p>
        </w:tc>
        <w:tc>
          <w:tcPr>
            <w:tcW w:w="1587" w:type="dxa"/>
          </w:tcPr>
          <w:p w14:paraId="11167E19" w14:textId="77777777" w:rsidR="005B7D6E" w:rsidRDefault="00000000">
            <w:pPr>
              <w:pStyle w:val="LumisTabela"/>
            </w:pP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>. É volume</w:t>
            </w:r>
          </w:p>
        </w:tc>
        <w:tc>
          <w:tcPr>
            <w:tcW w:w="1814" w:type="dxa"/>
          </w:tcPr>
          <w:p w14:paraId="26F048F8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 xml:space="preserve">Quantas pessoas únicas há </w:t>
            </w:r>
            <w:r w:rsidRPr="00EC50F7">
              <w:rPr>
                <w:rStyle w:val="TagNoconsta"/>
                <w:lang w:val="pt-BR"/>
              </w:rPr>
              <w:t>[não consta]</w:t>
            </w:r>
          </w:p>
        </w:tc>
        <w:tc>
          <w:tcPr>
            <w:tcW w:w="1814" w:type="dxa"/>
          </w:tcPr>
          <w:p w14:paraId="6B2C1B4C" w14:textId="77777777" w:rsidR="005B7D6E" w:rsidRDefault="00000000">
            <w:pPr>
              <w:pStyle w:val="LumisTabela"/>
            </w:pPr>
            <w:proofErr w:type="spellStart"/>
            <w:r>
              <w:t>Retirar</w:t>
            </w:r>
            <w:proofErr w:type="spellEnd"/>
            <w:r>
              <w:t xml:space="preserve"> </w:t>
            </w:r>
            <w:proofErr w:type="spellStart"/>
            <w:r>
              <w:t>já</w:t>
            </w:r>
            <w:proofErr w:type="spellEnd"/>
          </w:p>
        </w:tc>
      </w:tr>
      <w:tr w:rsidR="005B7D6E" w:rsidRPr="00EC50F7" w14:paraId="5B4D14FA" w14:textId="77777777">
        <w:trPr>
          <w:cantSplit/>
          <w:jc w:val="center"/>
        </w:trPr>
        <w:tc>
          <w:tcPr>
            <w:tcW w:w="1814" w:type="dxa"/>
            <w:shd w:val="clear" w:color="auto" w:fill="F1F6F4"/>
          </w:tcPr>
          <w:p w14:paraId="6933AACC" w14:textId="77777777" w:rsidR="005B7D6E" w:rsidRDefault="00000000">
            <w:pPr>
              <w:pStyle w:val="LumisTabela"/>
            </w:pPr>
            <w:r>
              <w:t>"NPS 72"</w:t>
            </w:r>
          </w:p>
        </w:tc>
        <w:tc>
          <w:tcPr>
            <w:tcW w:w="2041" w:type="dxa"/>
            <w:shd w:val="clear" w:color="auto" w:fill="F1F6F4"/>
          </w:tcPr>
          <w:p w14:paraId="7E2C4240" w14:textId="77777777" w:rsidR="005B7D6E" w:rsidRDefault="00000000">
            <w:pPr>
              <w:pStyle w:val="LumisTabela"/>
            </w:pPr>
            <w:r>
              <w:t>9 clientes escolhidos pelo comercial</w:t>
            </w:r>
          </w:p>
        </w:tc>
        <w:tc>
          <w:tcPr>
            <w:tcW w:w="1587" w:type="dxa"/>
            <w:shd w:val="clear" w:color="auto" w:fill="F1F6F4"/>
          </w:tcPr>
          <w:p w14:paraId="02F691E8" w14:textId="77777777" w:rsidR="005B7D6E" w:rsidRDefault="00000000">
            <w:pPr>
              <w:pStyle w:val="LumisTabela"/>
            </w:pPr>
            <w:r>
              <w:t>Não</w:t>
            </w:r>
          </w:p>
        </w:tc>
        <w:tc>
          <w:tcPr>
            <w:tcW w:w="1814" w:type="dxa"/>
            <w:shd w:val="clear" w:color="auto" w:fill="F1F6F4"/>
          </w:tcPr>
          <w:p w14:paraId="4848201C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O restante das 38 contas e as reclamações</w:t>
            </w:r>
          </w:p>
        </w:tc>
        <w:tc>
          <w:tcPr>
            <w:tcW w:w="1814" w:type="dxa"/>
            <w:shd w:val="clear" w:color="auto" w:fill="F1F6F4"/>
          </w:tcPr>
          <w:p w14:paraId="1204C02C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Trocar pelas reclamações por grupo (indicador 3)</w:t>
            </w:r>
          </w:p>
        </w:tc>
      </w:tr>
      <w:tr w:rsidR="005B7D6E" w14:paraId="298BA426" w14:textId="77777777">
        <w:trPr>
          <w:cantSplit/>
          <w:jc w:val="center"/>
        </w:trPr>
        <w:tc>
          <w:tcPr>
            <w:tcW w:w="1814" w:type="dxa"/>
          </w:tcPr>
          <w:p w14:paraId="372A8F1E" w14:textId="77777777" w:rsidR="005B7D6E" w:rsidRDefault="00000000">
            <w:pPr>
              <w:pStyle w:val="LumisTabela"/>
              <w:keepNext/>
            </w:pPr>
            <w:r>
              <w:t>"</w:t>
            </w:r>
            <w:proofErr w:type="spellStart"/>
            <w:r>
              <w:t>Disponibilidade</w:t>
            </w:r>
            <w:proofErr w:type="spellEnd"/>
            <w:r>
              <w:t xml:space="preserve"> de 99,9%"</w:t>
            </w:r>
          </w:p>
        </w:tc>
        <w:tc>
          <w:tcPr>
            <w:tcW w:w="2041" w:type="dxa"/>
          </w:tcPr>
          <w:p w14:paraId="76C132A2" w14:textId="77777777" w:rsidR="005B7D6E" w:rsidRDefault="00000000">
            <w:pPr>
              <w:pStyle w:val="LumisTabela"/>
              <w:keepNext/>
            </w:pPr>
            <w:r>
              <w:t>Só a interface técnica</w:t>
            </w:r>
          </w:p>
        </w:tc>
        <w:tc>
          <w:tcPr>
            <w:tcW w:w="1587" w:type="dxa"/>
          </w:tcPr>
          <w:p w14:paraId="6CC06EA7" w14:textId="77777777" w:rsidR="005B7D6E" w:rsidRDefault="00000000">
            <w:pPr>
              <w:pStyle w:val="LumisTabela"/>
              <w:keepNext/>
            </w:pPr>
            <w:r>
              <w:t>Pouco. É operacional</w:t>
            </w:r>
          </w:p>
        </w:tc>
        <w:tc>
          <w:tcPr>
            <w:tcW w:w="1814" w:type="dxa"/>
          </w:tcPr>
          <w:p w14:paraId="2D61FBF9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O serviço completo e a qualidade da resposta</w:t>
            </w:r>
          </w:p>
        </w:tc>
        <w:tc>
          <w:tcPr>
            <w:tcW w:w="1814" w:type="dxa"/>
          </w:tcPr>
          <w:p w14:paraId="230C4A50" w14:textId="77777777" w:rsidR="005B7D6E" w:rsidRDefault="00000000">
            <w:pPr>
              <w:pStyle w:val="LumisTabela"/>
              <w:keepNext/>
            </w:pPr>
            <w:proofErr w:type="spellStart"/>
            <w:r>
              <w:t>Tirar</w:t>
            </w:r>
            <w:proofErr w:type="spellEnd"/>
            <w:r>
              <w:t xml:space="preserve"> do material </w:t>
            </w:r>
            <w:proofErr w:type="spellStart"/>
            <w:r>
              <w:t>comercial</w:t>
            </w:r>
            <w:proofErr w:type="spellEnd"/>
          </w:p>
        </w:tc>
      </w:tr>
    </w:tbl>
    <w:p w14:paraId="6D250B69" w14:textId="77777777" w:rsidR="005B7D6E" w:rsidRPr="00EC50F7" w:rsidRDefault="00000000">
      <w:pPr>
        <w:pStyle w:val="Legenda"/>
        <w:rPr>
          <w:lang w:val="pt-BR"/>
        </w:rPr>
      </w:pPr>
      <w:r w:rsidRPr="00EC50F7">
        <w:rPr>
          <w:lang w:val="pt-BR"/>
        </w:rPr>
        <w:t>Tabela 3. As cinco afirmações do painel comercial e as quatro perguntas. Fonte: Cap. 2, Quadros 9, 11 e 14.</w:t>
      </w:r>
    </w:p>
    <w:p w14:paraId="4133B188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 xml:space="preserve">Os "5 milhões de vidas" são o caso mais grave: a duplicidade foi achada em janeiro, corrigida no sistema e continua no material comercial </w:t>
      </w:r>
      <w:r w:rsidRPr="00EC50F7">
        <w:rPr>
          <w:rStyle w:val="TagFonte"/>
          <w:lang w:val="pt-BR"/>
        </w:rPr>
        <w:t>[fonte: Cap. 2, Quadro 14]</w:t>
      </w:r>
      <w:r w:rsidRPr="00EC50F7">
        <w:rPr>
          <w:lang w:val="pt-BR"/>
        </w:rPr>
        <w:t xml:space="preserve">. Manter as cinco afirmações como </w:t>
      </w:r>
      <w:r w:rsidRPr="00EC50F7">
        <w:rPr>
          <w:lang w:val="pt-BR"/>
        </w:rPr>
        <w:lastRenderedPageBreak/>
        <w:t>estão contradiz o compromisso de Transparência que assumimos na Declaração de Intenção da Fase 1.</w:t>
      </w:r>
    </w:p>
    <w:p w14:paraId="772E87F1" w14:textId="77777777" w:rsidR="005B7D6E" w:rsidRPr="00EC50F7" w:rsidRDefault="00000000">
      <w:pPr>
        <w:pStyle w:val="Ttulo1"/>
        <w:rPr>
          <w:lang w:val="pt-BR"/>
        </w:rPr>
      </w:pPr>
      <w:r w:rsidRPr="00EC50F7">
        <w:rPr>
          <w:lang w:val="pt-BR"/>
        </w:rPr>
        <w:t>5. O que passamos a medir e o que decidimos agora</w:t>
      </w:r>
    </w:p>
    <w:p w14:paraId="4F222B13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 xml:space="preserve">No lugar dos números de vitrine, propomos cinco indicadores. Cada um tem um ponto de ação, uma decisão que ele dispara e um responsável. Os pontos de ação são </w:t>
      </w:r>
      <w:proofErr w:type="gramStart"/>
      <w:r w:rsidRPr="00EC50F7">
        <w:rPr>
          <w:lang w:val="pt-BR"/>
        </w:rPr>
        <w:t>proposta</w:t>
      </w:r>
      <w:proofErr w:type="gramEnd"/>
      <w:r w:rsidRPr="00EC50F7">
        <w:rPr>
          <w:lang w:val="pt-BR"/>
        </w:rPr>
        <w:t xml:space="preserve"> da equipe, e os cargos são provisórios até a Entrega 3.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2608"/>
        <w:gridCol w:w="1814"/>
      </w:tblGrid>
      <w:tr w:rsidR="005B7D6E" w14:paraId="18480874" w14:textId="77777777">
        <w:trPr>
          <w:cantSplit/>
          <w:tblHeader/>
          <w:jc w:val="center"/>
        </w:trPr>
        <w:tc>
          <w:tcPr>
            <w:tcW w:w="2381" w:type="dxa"/>
            <w:shd w:val="clear" w:color="auto" w:fill="0F2D3A"/>
          </w:tcPr>
          <w:p w14:paraId="6CDB61EC" w14:textId="77777777" w:rsidR="005B7D6E" w:rsidRDefault="00000000">
            <w:pPr>
              <w:pStyle w:val="LumisTabela"/>
              <w:keepNext/>
            </w:pPr>
            <w:proofErr w:type="spellStart"/>
            <w:r>
              <w:rPr>
                <w:b/>
                <w:color w:val="FFFFFF"/>
              </w:rPr>
              <w:t>Indicador</w:t>
            </w:r>
            <w:proofErr w:type="spellEnd"/>
          </w:p>
        </w:tc>
        <w:tc>
          <w:tcPr>
            <w:tcW w:w="2268" w:type="dxa"/>
            <w:shd w:val="clear" w:color="auto" w:fill="0F2D3A"/>
          </w:tcPr>
          <w:p w14:paraId="37489BC3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Quando age [hipótese]</w:t>
            </w:r>
          </w:p>
        </w:tc>
        <w:tc>
          <w:tcPr>
            <w:tcW w:w="2608" w:type="dxa"/>
            <w:shd w:val="clear" w:color="auto" w:fill="0F2D3A"/>
          </w:tcPr>
          <w:p w14:paraId="778C5995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O que decide</w:t>
            </w:r>
          </w:p>
        </w:tc>
        <w:tc>
          <w:tcPr>
            <w:tcW w:w="1814" w:type="dxa"/>
            <w:shd w:val="clear" w:color="auto" w:fill="0F2D3A"/>
          </w:tcPr>
          <w:p w14:paraId="5E55AFD9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Quem responde</w:t>
            </w:r>
          </w:p>
        </w:tc>
      </w:tr>
      <w:tr w:rsidR="005B7D6E" w:rsidRPr="00EC50F7" w14:paraId="15C874CD" w14:textId="77777777">
        <w:trPr>
          <w:cantSplit/>
          <w:jc w:val="center"/>
        </w:trPr>
        <w:tc>
          <w:tcPr>
            <w:tcW w:w="2381" w:type="dxa"/>
          </w:tcPr>
          <w:p w14:paraId="1E78FDD8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b/>
                <w:lang w:val="pt-BR"/>
              </w:rPr>
              <w:t>1. Erro em campo por grupo</w:t>
            </w:r>
            <w:r w:rsidRPr="00EC50F7">
              <w:rPr>
                <w:lang w:val="pt-BR"/>
              </w:rPr>
              <w:t xml:space="preserve"> (idade, CEP e cliente)</w:t>
            </w:r>
          </w:p>
        </w:tc>
        <w:tc>
          <w:tcPr>
            <w:tcW w:w="2268" w:type="dxa"/>
          </w:tcPr>
          <w:p w14:paraId="22AF07AF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Grupo com o dobro do erro do melhor grupo</w:t>
            </w:r>
          </w:p>
        </w:tc>
        <w:tc>
          <w:tcPr>
            <w:tcW w:w="2608" w:type="dxa"/>
          </w:tcPr>
          <w:p w14:paraId="2FC6919A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Suspender a recomendação automática no grupo; barrar versão que piore algum grupo</w:t>
            </w:r>
          </w:p>
        </w:tc>
        <w:tc>
          <w:tcPr>
            <w:tcW w:w="1814" w:type="dxa"/>
          </w:tcPr>
          <w:p w14:paraId="6FCC904B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Yuri Nakamura mede; a CEO decide</w:t>
            </w:r>
          </w:p>
        </w:tc>
      </w:tr>
      <w:tr w:rsidR="005B7D6E" w14:paraId="28E70EFD" w14:textId="77777777">
        <w:trPr>
          <w:cantSplit/>
          <w:jc w:val="center"/>
        </w:trPr>
        <w:tc>
          <w:tcPr>
            <w:tcW w:w="2381" w:type="dxa"/>
            <w:shd w:val="clear" w:color="auto" w:fill="F1F6F4"/>
          </w:tcPr>
          <w:p w14:paraId="46359126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b/>
                <w:lang w:val="pt-BR"/>
              </w:rPr>
              <w:t>2. Direito de uso dos dados</w:t>
            </w:r>
            <w:r w:rsidRPr="00EC50F7">
              <w:rPr>
                <w:lang w:val="pt-BR"/>
              </w:rPr>
              <w:t xml:space="preserve"> (por contrato)</w:t>
            </w:r>
          </w:p>
        </w:tc>
        <w:tc>
          <w:tcPr>
            <w:tcW w:w="2268" w:type="dxa"/>
            <w:shd w:val="clear" w:color="auto" w:fill="F1F6F4"/>
          </w:tcPr>
          <w:p w14:paraId="100E2CE2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Dado sem autorização e parecer jurídico; contrato a seis meses do fim</w:t>
            </w:r>
          </w:p>
        </w:tc>
        <w:tc>
          <w:tcPr>
            <w:tcW w:w="2608" w:type="dxa"/>
            <w:shd w:val="clear" w:color="auto" w:fill="F1F6F4"/>
          </w:tcPr>
          <w:p w14:paraId="0ADC97EC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O que entra no próximo treino; ordem de renegociação</w:t>
            </w:r>
          </w:p>
        </w:tc>
        <w:tc>
          <w:tcPr>
            <w:tcW w:w="1814" w:type="dxa"/>
            <w:shd w:val="clear" w:color="auto" w:fill="F1F6F4"/>
          </w:tcPr>
          <w:p w14:paraId="4BBCE697" w14:textId="77777777" w:rsidR="005B7D6E" w:rsidRDefault="00000000">
            <w:pPr>
              <w:pStyle w:val="LumisTabela"/>
            </w:pPr>
            <w:r>
              <w:t>Ana Beatriz Rangel (DPO)</w:t>
            </w:r>
          </w:p>
        </w:tc>
      </w:tr>
      <w:tr w:rsidR="005B7D6E" w14:paraId="422BADEF" w14:textId="77777777">
        <w:trPr>
          <w:cantSplit/>
          <w:jc w:val="center"/>
        </w:trPr>
        <w:tc>
          <w:tcPr>
            <w:tcW w:w="2381" w:type="dxa"/>
          </w:tcPr>
          <w:p w14:paraId="4336DB79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b/>
                <w:lang w:val="pt-BR"/>
              </w:rPr>
              <w:t>3. Reclamações por faixa de CEP</w:t>
            </w:r>
          </w:p>
        </w:tc>
        <w:tc>
          <w:tcPr>
            <w:tcW w:w="2268" w:type="dxa"/>
          </w:tcPr>
          <w:p w14:paraId="2A8E8973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Grupo com uma vez e meia mais reclamações do que o seu peso na base</w:t>
            </w:r>
          </w:p>
        </w:tc>
        <w:tc>
          <w:tcPr>
            <w:tcW w:w="2608" w:type="dxa"/>
          </w:tcPr>
          <w:p w14:paraId="393BC81C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Revisão clínica dos casos e análise do grupo no indicador 1</w:t>
            </w:r>
          </w:p>
        </w:tc>
        <w:tc>
          <w:tcPr>
            <w:tcW w:w="1814" w:type="dxa"/>
          </w:tcPr>
          <w:p w14:paraId="4578B104" w14:textId="77777777" w:rsidR="005B7D6E" w:rsidRDefault="00000000">
            <w:pPr>
              <w:pStyle w:val="LumisTabela"/>
            </w:pPr>
            <w:r>
              <w:t>Head of AI Management</w:t>
            </w:r>
          </w:p>
        </w:tc>
      </w:tr>
      <w:tr w:rsidR="005B7D6E" w14:paraId="3532E63B" w14:textId="77777777">
        <w:trPr>
          <w:cantSplit/>
          <w:jc w:val="center"/>
        </w:trPr>
        <w:tc>
          <w:tcPr>
            <w:tcW w:w="2381" w:type="dxa"/>
            <w:shd w:val="clear" w:color="auto" w:fill="F1F6F4"/>
          </w:tcPr>
          <w:p w14:paraId="20BC8E9B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b/>
                <w:lang w:val="pt-BR"/>
              </w:rPr>
              <w:t>4. Incidentes descobertos antes do cliente</w:t>
            </w:r>
          </w:p>
        </w:tc>
        <w:tc>
          <w:tcPr>
            <w:tcW w:w="2268" w:type="dxa"/>
            <w:shd w:val="clear" w:color="auto" w:fill="F1F6F4"/>
          </w:tcPr>
          <w:p w14:paraId="7CB78F8B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Cliente descobre primeiro, ou incidente aberto há mais de 30 dias</w:t>
            </w:r>
          </w:p>
        </w:tc>
        <w:tc>
          <w:tcPr>
            <w:tcW w:w="2608" w:type="dxa"/>
            <w:shd w:val="clear" w:color="auto" w:fill="F1F6F4"/>
          </w:tcPr>
          <w:p w14:paraId="290AD364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Rever o monitoramento; levar o caso ao conselho</w:t>
            </w:r>
          </w:p>
        </w:tc>
        <w:tc>
          <w:tcPr>
            <w:tcW w:w="1814" w:type="dxa"/>
            <w:shd w:val="clear" w:color="auto" w:fill="F1F6F4"/>
          </w:tcPr>
          <w:p w14:paraId="1F5C5B9A" w14:textId="77777777" w:rsidR="005B7D6E" w:rsidRDefault="00000000">
            <w:pPr>
              <w:pStyle w:val="LumisTabela"/>
            </w:pPr>
            <w:r>
              <w:t>Head of AI Management</w:t>
            </w:r>
          </w:p>
        </w:tc>
      </w:tr>
      <w:tr w:rsidR="005B7D6E" w:rsidRPr="00EC50F7" w14:paraId="4894EC3F" w14:textId="77777777">
        <w:trPr>
          <w:cantSplit/>
          <w:jc w:val="center"/>
        </w:trPr>
        <w:tc>
          <w:tcPr>
            <w:tcW w:w="2381" w:type="dxa"/>
          </w:tcPr>
          <w:p w14:paraId="7CB7439D" w14:textId="77777777" w:rsidR="005B7D6E" w:rsidRDefault="00000000">
            <w:pPr>
              <w:pStyle w:val="LumisTabela"/>
              <w:keepNext/>
            </w:pPr>
            <w:r>
              <w:rPr>
                <w:b/>
              </w:rPr>
              <w:t>5. Afirmações públicas auditáveis</w:t>
            </w:r>
          </w:p>
        </w:tc>
        <w:tc>
          <w:tcPr>
            <w:tcW w:w="2268" w:type="dxa"/>
          </w:tcPr>
          <w:p w14:paraId="1DA9EA9A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 xml:space="preserve">Afirmação que alguém de fora não </w:t>
            </w:r>
            <w:proofErr w:type="gramStart"/>
            <w:r w:rsidRPr="00EC50F7">
              <w:rPr>
                <w:lang w:val="pt-BR"/>
              </w:rPr>
              <w:t>consegue</w:t>
            </w:r>
            <w:proofErr w:type="gramEnd"/>
            <w:r w:rsidRPr="00EC50F7">
              <w:rPr>
                <w:lang w:val="pt-BR"/>
              </w:rPr>
              <w:t xml:space="preserve"> refazer</w:t>
            </w:r>
          </w:p>
        </w:tc>
        <w:tc>
          <w:tcPr>
            <w:tcW w:w="2608" w:type="dxa"/>
          </w:tcPr>
          <w:p w14:paraId="1A99E67F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Retirar do material antes da próxima apresentação</w:t>
            </w:r>
          </w:p>
        </w:tc>
        <w:tc>
          <w:tcPr>
            <w:tcW w:w="1814" w:type="dxa"/>
          </w:tcPr>
          <w:p w14:paraId="1D2C53BB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 xml:space="preserve">Camila Torres propõe; Head </w:t>
            </w:r>
            <w:proofErr w:type="spellStart"/>
            <w:r w:rsidRPr="00EC50F7">
              <w:rPr>
                <w:lang w:val="pt-BR"/>
              </w:rPr>
              <w:t>of</w:t>
            </w:r>
            <w:proofErr w:type="spellEnd"/>
            <w:r w:rsidRPr="00EC50F7">
              <w:rPr>
                <w:lang w:val="pt-BR"/>
              </w:rPr>
              <w:t xml:space="preserve"> AI aprova</w:t>
            </w:r>
          </w:p>
        </w:tc>
      </w:tr>
    </w:tbl>
    <w:p w14:paraId="14381963" w14:textId="77777777" w:rsidR="005B7D6E" w:rsidRPr="00EC50F7" w:rsidRDefault="00000000">
      <w:pPr>
        <w:pStyle w:val="Legenda"/>
        <w:rPr>
          <w:lang w:val="pt-BR"/>
        </w:rPr>
      </w:pPr>
      <w:r w:rsidRPr="00EC50F7">
        <w:rPr>
          <w:lang w:val="pt-BR"/>
        </w:rPr>
        <w:t>Tabela 4. Os cinco indicadores. Fonte: Cap. 2, Quadros 7, 10, 13, 14 e 17; propostas da equipe.</w:t>
      </w:r>
    </w:p>
    <w:p w14:paraId="47329F0A" w14:textId="77777777" w:rsidR="005B7D6E" w:rsidRPr="00EC50F7" w:rsidRDefault="00000000">
      <w:pPr>
        <w:keepNext/>
        <w:rPr>
          <w:lang w:val="pt-BR"/>
        </w:rPr>
      </w:pPr>
      <w:r w:rsidRPr="00EC50F7">
        <w:rPr>
          <w:lang w:val="pt-BR"/>
        </w:rPr>
        <w:t>As mesmas quatro perguntas valem para os indicadores que propomos. A pergunta "por quem?" é a mais sensível, porque a Lumis mede o erro do próprio produto. Por isso cada indicador tem alguém de fora que confere.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1928"/>
        <w:gridCol w:w="1701"/>
        <w:gridCol w:w="1814"/>
      </w:tblGrid>
      <w:tr w:rsidR="005B7D6E" w14:paraId="676E0C9C" w14:textId="77777777">
        <w:trPr>
          <w:cantSplit/>
          <w:tblHeader/>
          <w:jc w:val="center"/>
        </w:trPr>
        <w:tc>
          <w:tcPr>
            <w:tcW w:w="1928" w:type="dxa"/>
            <w:shd w:val="clear" w:color="auto" w:fill="0F2D3A"/>
          </w:tcPr>
          <w:p w14:paraId="7C0C25AF" w14:textId="77777777" w:rsidR="005B7D6E" w:rsidRDefault="00000000">
            <w:pPr>
              <w:pStyle w:val="LumisTabela"/>
              <w:keepNext/>
            </w:pPr>
            <w:proofErr w:type="spellStart"/>
            <w:r>
              <w:rPr>
                <w:b/>
                <w:color w:val="FFFFFF"/>
              </w:rPr>
              <w:t>Indicador</w:t>
            </w:r>
            <w:proofErr w:type="spellEnd"/>
            <w:r>
              <w:rPr>
                <w:b/>
                <w:color w:val="FFFFFF"/>
              </w:rPr>
              <w:t xml:space="preserve"> e </w:t>
            </w:r>
            <w:proofErr w:type="spellStart"/>
            <w:r>
              <w:rPr>
                <w:b/>
                <w:color w:val="FFFFFF"/>
              </w:rPr>
              <w:t>situação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hoje</w:t>
            </w:r>
            <w:proofErr w:type="spellEnd"/>
          </w:p>
        </w:tc>
        <w:tc>
          <w:tcPr>
            <w:tcW w:w="1701" w:type="dxa"/>
            <w:shd w:val="clear" w:color="auto" w:fill="0F2D3A"/>
          </w:tcPr>
          <w:p w14:paraId="790EAFB8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w="1928" w:type="dxa"/>
            <w:shd w:val="clear" w:color="auto" w:fill="0F2D3A"/>
          </w:tcPr>
          <w:p w14:paraId="43781D81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w="1701" w:type="dxa"/>
            <w:shd w:val="clear" w:color="auto" w:fill="0F2D3A"/>
          </w:tcPr>
          <w:p w14:paraId="7210BAD9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w="1814" w:type="dxa"/>
            <w:shd w:val="clear" w:color="auto" w:fill="0F2D3A"/>
          </w:tcPr>
          <w:p w14:paraId="06DD00A2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 w:rsidR="005B7D6E" w:rsidRPr="00EC50F7" w14:paraId="6E5FE049" w14:textId="77777777">
        <w:trPr>
          <w:cantSplit/>
          <w:jc w:val="center"/>
        </w:trPr>
        <w:tc>
          <w:tcPr>
            <w:tcW w:w="1928" w:type="dxa"/>
          </w:tcPr>
          <w:p w14:paraId="03E69AA3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1. Erro por grupo: o pior grupo tem três vezes o erro do melhor</w:t>
            </w:r>
          </w:p>
        </w:tc>
        <w:tc>
          <w:tcPr>
            <w:tcW w:w="1701" w:type="dxa"/>
          </w:tcPr>
          <w:p w14:paraId="40C70A26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Revisão humana e desfecho informado pelo cliente</w:t>
            </w:r>
          </w:p>
        </w:tc>
        <w:tc>
          <w:tcPr>
            <w:tcW w:w="1928" w:type="dxa"/>
          </w:tcPr>
          <w:p w14:paraId="2EDD30B8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Pela Lumis. O cliente e um auditor refazem a conta</w:t>
            </w:r>
          </w:p>
        </w:tc>
        <w:tc>
          <w:tcPr>
            <w:tcW w:w="1701" w:type="dxa"/>
          </w:tcPr>
          <w:p w14:paraId="76A2BF4F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Sim: restrição de grupo e liberação de versão</w:t>
            </w:r>
          </w:p>
        </w:tc>
        <w:tc>
          <w:tcPr>
            <w:tcW w:w="1814" w:type="dxa"/>
          </w:tcPr>
          <w:p w14:paraId="5C9229F1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Diferenças por cliente e grupos que o caso não abre, como sexo</w:t>
            </w:r>
          </w:p>
        </w:tc>
      </w:tr>
      <w:tr w:rsidR="005B7D6E" w:rsidRPr="00EC50F7" w14:paraId="16F9D4FD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6F2C3346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2. Direito de uso: nenhum contrato com parecer jurídico</w:t>
            </w:r>
          </w:p>
        </w:tc>
        <w:tc>
          <w:tcPr>
            <w:tcW w:w="1701" w:type="dxa"/>
            <w:shd w:val="clear" w:color="auto" w:fill="F1F6F4"/>
          </w:tcPr>
          <w:p w14:paraId="0DB7EDDB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Contratos contra a base de treino</w:t>
            </w:r>
          </w:p>
        </w:tc>
        <w:tc>
          <w:tcPr>
            <w:tcW w:w="1928" w:type="dxa"/>
            <w:shd w:val="clear" w:color="auto" w:fill="F1F6F4"/>
          </w:tcPr>
          <w:p w14:paraId="642CB3E9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Pela DPO. Um parecer externo confere</w:t>
            </w:r>
          </w:p>
        </w:tc>
        <w:tc>
          <w:tcPr>
            <w:tcW w:w="1701" w:type="dxa"/>
            <w:shd w:val="clear" w:color="auto" w:fill="F1F6F4"/>
          </w:tcPr>
          <w:p w14:paraId="21FEEB2E" w14:textId="77777777" w:rsidR="005B7D6E" w:rsidRDefault="00000000">
            <w:pPr>
              <w:pStyle w:val="LumisTabela"/>
            </w:pPr>
            <w:r>
              <w:t xml:space="preserve">Sim: </w:t>
            </w:r>
            <w:proofErr w:type="spellStart"/>
            <w:r>
              <w:t>treino</w:t>
            </w:r>
            <w:proofErr w:type="spellEnd"/>
            <w:r>
              <w:t xml:space="preserve"> e </w:t>
            </w:r>
            <w:proofErr w:type="spellStart"/>
            <w:r>
              <w:t>renegociação</w:t>
            </w:r>
            <w:proofErr w:type="spellEnd"/>
          </w:p>
        </w:tc>
        <w:tc>
          <w:tcPr>
            <w:tcW w:w="1814" w:type="dxa"/>
            <w:shd w:val="clear" w:color="auto" w:fill="F1F6F4"/>
          </w:tcPr>
          <w:p w14:paraId="4B910F03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 xml:space="preserve">A concentração na </w:t>
            </w:r>
            <w:proofErr w:type="spellStart"/>
            <w:r w:rsidRPr="00EC50F7">
              <w:rPr>
                <w:lang w:val="pt-BR"/>
              </w:rPr>
              <w:t>Sanare</w:t>
            </w:r>
            <w:proofErr w:type="spellEnd"/>
            <w:r w:rsidRPr="00EC50F7">
              <w:rPr>
                <w:lang w:val="pt-BR"/>
              </w:rPr>
              <w:t xml:space="preserve"> e o período antes do contrato</w:t>
            </w:r>
          </w:p>
        </w:tc>
      </w:tr>
      <w:tr w:rsidR="005B7D6E" w14:paraId="4E9511E4" w14:textId="77777777">
        <w:trPr>
          <w:cantSplit/>
          <w:jc w:val="center"/>
        </w:trPr>
        <w:tc>
          <w:tcPr>
            <w:tcW w:w="1928" w:type="dxa"/>
          </w:tcPr>
          <w:p w14:paraId="096C9ACC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3. Reclamações: CEP D/E reclama duas vezes e meia o seu peso</w:t>
            </w:r>
          </w:p>
        </w:tc>
        <w:tc>
          <w:tcPr>
            <w:tcW w:w="1701" w:type="dxa"/>
          </w:tcPr>
          <w:p w14:paraId="267B3005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Registro formal de reclamações, últimos 90 dias</w:t>
            </w:r>
          </w:p>
        </w:tc>
        <w:tc>
          <w:tcPr>
            <w:tcW w:w="1928" w:type="dxa"/>
          </w:tcPr>
          <w:p w14:paraId="5EEDF439" w14:textId="77777777" w:rsidR="005B7D6E" w:rsidRDefault="00000000">
            <w:pPr>
              <w:pStyle w:val="LumisTabela"/>
            </w:pPr>
            <w:r w:rsidRPr="00EC50F7">
              <w:rPr>
                <w:lang w:val="pt-BR"/>
              </w:rPr>
              <w:t xml:space="preserve">Pelo time de sucesso do cliente, cargo </w:t>
            </w:r>
            <w:r w:rsidRPr="00EC50F7">
              <w:rPr>
                <w:rStyle w:val="TagNoconsta"/>
                <w:lang w:val="pt-BR"/>
              </w:rPr>
              <w:t>[não consta]</w:t>
            </w:r>
            <w:r w:rsidRPr="00EC50F7">
              <w:rPr>
                <w:lang w:val="pt-BR"/>
              </w:rPr>
              <w:t xml:space="preserve">. </w:t>
            </w:r>
            <w:r>
              <w:t xml:space="preserve">O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confere</w:t>
            </w:r>
            <w:proofErr w:type="spellEnd"/>
          </w:p>
        </w:tc>
        <w:tc>
          <w:tcPr>
            <w:tcW w:w="1701" w:type="dxa"/>
          </w:tcPr>
          <w:p w14:paraId="69BF28B0" w14:textId="77777777" w:rsidR="005B7D6E" w:rsidRDefault="00000000">
            <w:pPr>
              <w:pStyle w:val="LumisTabela"/>
            </w:pPr>
            <w:r>
              <w:t>Sim: revisão clínica</w:t>
            </w:r>
          </w:p>
        </w:tc>
        <w:tc>
          <w:tcPr>
            <w:tcW w:w="1814" w:type="dxa"/>
          </w:tcPr>
          <w:p w14:paraId="6588DD0C" w14:textId="77777777" w:rsidR="005B7D6E" w:rsidRDefault="00000000">
            <w:pPr>
              <w:pStyle w:val="LumisTabela"/>
            </w:pPr>
            <w:r>
              <w:t>Quem não reclama</w:t>
            </w:r>
          </w:p>
        </w:tc>
      </w:tr>
      <w:tr w:rsidR="005B7D6E" w:rsidRPr="00EC50F7" w14:paraId="5EBE5BD0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47DC2D52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4. Incidentes: metade descoberta pelo cliente</w:t>
            </w:r>
          </w:p>
        </w:tc>
        <w:tc>
          <w:tcPr>
            <w:tcW w:w="1701" w:type="dxa"/>
            <w:shd w:val="clear" w:color="auto" w:fill="F1F6F4"/>
          </w:tcPr>
          <w:p w14:paraId="64C3864B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Registro de incidentes e notificações dos clientes</w:t>
            </w:r>
          </w:p>
        </w:tc>
        <w:tc>
          <w:tcPr>
            <w:tcW w:w="1928" w:type="dxa"/>
            <w:shd w:val="clear" w:color="auto" w:fill="F1F6F4"/>
          </w:tcPr>
          <w:p w14:paraId="3C03CD7A" w14:textId="77777777" w:rsidR="005B7D6E" w:rsidRDefault="00000000">
            <w:pPr>
              <w:pStyle w:val="LumisTabela"/>
            </w:pPr>
            <w:r>
              <w:t>Pelo Head of AI Management. A DPO confere</w:t>
            </w:r>
          </w:p>
        </w:tc>
        <w:tc>
          <w:tcPr>
            <w:tcW w:w="1701" w:type="dxa"/>
            <w:shd w:val="clear" w:color="auto" w:fill="F1F6F4"/>
          </w:tcPr>
          <w:p w14:paraId="78EEA02D" w14:textId="77777777" w:rsidR="005B7D6E" w:rsidRDefault="00000000">
            <w:pPr>
              <w:pStyle w:val="LumisTabela"/>
            </w:pPr>
            <w:r>
              <w:t>Sim: monitoramento e liberação</w:t>
            </w:r>
          </w:p>
        </w:tc>
        <w:tc>
          <w:tcPr>
            <w:tcW w:w="1814" w:type="dxa"/>
            <w:shd w:val="clear" w:color="auto" w:fill="F1F6F4"/>
          </w:tcPr>
          <w:p w14:paraId="7583DCE6" w14:textId="77777777" w:rsidR="005B7D6E" w:rsidRPr="00EC50F7" w:rsidRDefault="00000000">
            <w:pPr>
              <w:pStyle w:val="LumisTabela"/>
              <w:rPr>
                <w:lang w:val="pt-BR"/>
              </w:rPr>
            </w:pPr>
            <w:r w:rsidRPr="00EC50F7">
              <w:rPr>
                <w:lang w:val="pt-BR"/>
              </w:rPr>
              <w:t>A gravidade e o incidente que ninguém viu</w:t>
            </w:r>
          </w:p>
        </w:tc>
      </w:tr>
      <w:tr w:rsidR="005B7D6E" w:rsidRPr="00EC50F7" w14:paraId="5B1118B9" w14:textId="77777777">
        <w:trPr>
          <w:cantSplit/>
          <w:jc w:val="center"/>
        </w:trPr>
        <w:tc>
          <w:tcPr>
            <w:tcW w:w="1928" w:type="dxa"/>
          </w:tcPr>
          <w:p w14:paraId="47D528EF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5. Afirmações auditáveis: nenhuma das cinco</w:t>
            </w:r>
          </w:p>
        </w:tc>
        <w:tc>
          <w:tcPr>
            <w:tcW w:w="1701" w:type="dxa"/>
          </w:tcPr>
          <w:p w14:paraId="579021A7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Material público contra um checklist de relato</w:t>
            </w:r>
          </w:p>
        </w:tc>
        <w:tc>
          <w:tcPr>
            <w:tcW w:w="1928" w:type="dxa"/>
          </w:tcPr>
          <w:p w14:paraId="4F67F2C9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Por quem não vende. Cliente ou auditor refaz</w:t>
            </w:r>
          </w:p>
        </w:tc>
        <w:tc>
          <w:tcPr>
            <w:tcW w:w="1701" w:type="dxa"/>
          </w:tcPr>
          <w:p w14:paraId="61D9F12B" w14:textId="77777777" w:rsidR="005B7D6E" w:rsidRDefault="00000000">
            <w:pPr>
              <w:pStyle w:val="LumisTabela"/>
              <w:keepNext/>
            </w:pPr>
            <w:r>
              <w:t xml:space="preserve">Sim: </w:t>
            </w:r>
            <w:proofErr w:type="spellStart"/>
            <w:r>
              <w:t>publicar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retirar</w:t>
            </w:r>
            <w:proofErr w:type="spellEnd"/>
          </w:p>
        </w:tc>
        <w:tc>
          <w:tcPr>
            <w:tcW w:w="1814" w:type="dxa"/>
          </w:tcPr>
          <w:p w14:paraId="0105EAE6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O grupo que fica fora do recorte escolhido</w:t>
            </w:r>
          </w:p>
        </w:tc>
      </w:tr>
    </w:tbl>
    <w:p w14:paraId="39EE60A1" w14:textId="77777777" w:rsidR="005B7D6E" w:rsidRPr="00EC50F7" w:rsidRDefault="00000000">
      <w:pPr>
        <w:pStyle w:val="Legenda"/>
        <w:rPr>
          <w:lang w:val="pt-BR"/>
        </w:rPr>
      </w:pPr>
      <w:r w:rsidRPr="00EC50F7">
        <w:rPr>
          <w:lang w:val="pt-BR"/>
        </w:rPr>
        <w:t>Tabela 5. Os indicadores propostos e as quatro perguntas. Fonte: análise da equipe sobre o Cap. 2, Quadros 7, 10, 13, 14 e 17.</w:t>
      </w:r>
    </w:p>
    <w:p w14:paraId="08FDC341" w14:textId="77777777" w:rsidR="005B7D6E" w:rsidRPr="00EC50F7" w:rsidRDefault="00000000">
      <w:pPr>
        <w:keepNext/>
        <w:rPr>
          <w:lang w:val="pt-BR"/>
        </w:rPr>
      </w:pPr>
      <w:r w:rsidRPr="00EC50F7">
        <w:rPr>
          <w:lang w:val="pt-BR"/>
        </w:rPr>
        <w:lastRenderedPageBreak/>
        <w:t>Também passamos pelas quatro perguntas os indicadores que descartamos. Nenhum deles muda uma decisão que chegue ao conselho, ou repete um dos cinco.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1814"/>
        <w:gridCol w:w="2041"/>
        <w:gridCol w:w="1701"/>
      </w:tblGrid>
      <w:tr w:rsidR="005B7D6E" w14:paraId="16AE6B07" w14:textId="77777777">
        <w:trPr>
          <w:cantSplit/>
          <w:tblHeader/>
          <w:jc w:val="center"/>
        </w:trPr>
        <w:tc>
          <w:tcPr>
            <w:tcW w:w="1928" w:type="dxa"/>
            <w:shd w:val="clear" w:color="auto" w:fill="0F2D3A"/>
          </w:tcPr>
          <w:p w14:paraId="0A384206" w14:textId="77777777" w:rsidR="005B7D6E" w:rsidRDefault="00000000">
            <w:pPr>
              <w:pStyle w:val="LumisTabela"/>
              <w:keepNext/>
            </w:pPr>
            <w:proofErr w:type="spellStart"/>
            <w:r>
              <w:rPr>
                <w:b/>
                <w:color w:val="FFFFFF"/>
              </w:rPr>
              <w:t>Indicador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descartado</w:t>
            </w:r>
            <w:proofErr w:type="spellEnd"/>
          </w:p>
        </w:tc>
        <w:tc>
          <w:tcPr>
            <w:tcW w:w="1587" w:type="dxa"/>
            <w:shd w:val="clear" w:color="auto" w:fill="0F2D3A"/>
          </w:tcPr>
          <w:p w14:paraId="2B499681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w="1814" w:type="dxa"/>
            <w:shd w:val="clear" w:color="auto" w:fill="0F2D3A"/>
          </w:tcPr>
          <w:p w14:paraId="411FA0CA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w="2041" w:type="dxa"/>
            <w:shd w:val="clear" w:color="auto" w:fill="0F2D3A"/>
          </w:tcPr>
          <w:p w14:paraId="75683B9F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w="1701" w:type="dxa"/>
            <w:shd w:val="clear" w:color="auto" w:fill="0F2D3A"/>
          </w:tcPr>
          <w:p w14:paraId="3AC44596" w14:textId="77777777" w:rsidR="005B7D6E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 w:rsidR="005B7D6E" w:rsidRPr="00EC50F7" w14:paraId="0082204B" w14:textId="77777777">
        <w:trPr>
          <w:cantSplit/>
          <w:jc w:val="center"/>
        </w:trPr>
        <w:tc>
          <w:tcPr>
            <w:tcW w:w="1928" w:type="dxa"/>
          </w:tcPr>
          <w:p w14:paraId="3C4CB5B9" w14:textId="77777777" w:rsidR="005B7D6E" w:rsidRDefault="00000000">
            <w:pPr>
              <w:pStyle w:val="LumisTabela"/>
              <w:keepNext/>
            </w:pPr>
            <w:r>
              <w:t>Acurácia global em campo</w:t>
            </w:r>
          </w:p>
        </w:tc>
        <w:tc>
          <w:tcPr>
            <w:tcW w:w="1587" w:type="dxa"/>
          </w:tcPr>
          <w:p w14:paraId="65E44D4D" w14:textId="77777777" w:rsidR="005B7D6E" w:rsidRDefault="00000000">
            <w:pPr>
              <w:pStyle w:val="LumisTabela"/>
              <w:keepNext/>
            </w:pPr>
            <w:r>
              <w:t>Base completa</w:t>
            </w:r>
          </w:p>
        </w:tc>
        <w:tc>
          <w:tcPr>
            <w:tcW w:w="1814" w:type="dxa"/>
          </w:tcPr>
          <w:p w14:paraId="02766DAD" w14:textId="77777777" w:rsidR="005B7D6E" w:rsidRDefault="00000000">
            <w:pPr>
              <w:pStyle w:val="LumisTabela"/>
              <w:keepNext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w="2041" w:type="dxa"/>
          </w:tcPr>
          <w:p w14:paraId="145A2C24" w14:textId="77777777" w:rsidR="005B7D6E" w:rsidRDefault="00000000">
            <w:pPr>
              <w:pStyle w:val="LumisTabela"/>
              <w:keepNext/>
            </w:pPr>
            <w:r>
              <w:t>Pouco</w:t>
            </w:r>
          </w:p>
        </w:tc>
        <w:tc>
          <w:tcPr>
            <w:tcW w:w="1701" w:type="dxa"/>
          </w:tcPr>
          <w:p w14:paraId="625C0D96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O erro grave e os grupos</w:t>
            </w:r>
          </w:p>
        </w:tc>
      </w:tr>
      <w:tr w:rsidR="005B7D6E" w:rsidRPr="00EC50F7" w14:paraId="216B98B2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1B1D86D5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Comparação com a versão aprovada</w:t>
            </w:r>
          </w:p>
        </w:tc>
        <w:tc>
          <w:tcPr>
            <w:tcW w:w="1587" w:type="dxa"/>
            <w:shd w:val="clear" w:color="auto" w:fill="F1F6F4"/>
          </w:tcPr>
          <w:p w14:paraId="56CA6BF3" w14:textId="77777777" w:rsidR="005B7D6E" w:rsidRDefault="00000000">
            <w:pPr>
              <w:pStyle w:val="LumisTabela"/>
              <w:keepNext/>
            </w:pPr>
            <w:proofErr w:type="spellStart"/>
            <w:r>
              <w:t>Troca</w:t>
            </w:r>
            <w:proofErr w:type="spellEnd"/>
            <w:r>
              <w:t xml:space="preserve"> de </w:t>
            </w:r>
            <w:proofErr w:type="spellStart"/>
            <w:r>
              <w:t>versão</w:t>
            </w:r>
            <w:proofErr w:type="spellEnd"/>
          </w:p>
        </w:tc>
        <w:tc>
          <w:tcPr>
            <w:tcW w:w="1814" w:type="dxa"/>
            <w:shd w:val="clear" w:color="auto" w:fill="F1F6F4"/>
          </w:tcPr>
          <w:p w14:paraId="2E9C3510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Pelo CTO, que também libera a versão</w:t>
            </w:r>
          </w:p>
        </w:tc>
        <w:tc>
          <w:tcPr>
            <w:tcW w:w="2041" w:type="dxa"/>
            <w:shd w:val="clear" w:color="auto" w:fill="F1F6F4"/>
          </w:tcPr>
          <w:p w14:paraId="39AC78A3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Repete o indicador 1 e virou a regra de liberação dele</w:t>
            </w:r>
          </w:p>
        </w:tc>
        <w:tc>
          <w:tcPr>
            <w:tcW w:w="1701" w:type="dxa"/>
            <w:shd w:val="clear" w:color="auto" w:fill="F1F6F4"/>
          </w:tcPr>
          <w:p w14:paraId="289CC62E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O mesmo que o indicador 1</w:t>
            </w:r>
          </w:p>
        </w:tc>
      </w:tr>
      <w:tr w:rsidR="005B7D6E" w14:paraId="044F892A" w14:textId="77777777">
        <w:trPr>
          <w:cantSplit/>
          <w:jc w:val="center"/>
        </w:trPr>
        <w:tc>
          <w:tcPr>
            <w:tcW w:w="1928" w:type="dxa"/>
          </w:tcPr>
          <w:p w14:paraId="37CDB12B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Disponibilidade de ponta a ponta</w:t>
            </w:r>
          </w:p>
        </w:tc>
        <w:tc>
          <w:tcPr>
            <w:tcW w:w="1587" w:type="dxa"/>
          </w:tcPr>
          <w:p w14:paraId="6912838E" w14:textId="77777777" w:rsidR="005B7D6E" w:rsidRDefault="00000000">
            <w:pPr>
              <w:pStyle w:val="LumisTabela"/>
              <w:keepNext/>
            </w:pPr>
            <w:proofErr w:type="spellStart"/>
            <w:r>
              <w:t>Cadeia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</w:p>
        </w:tc>
        <w:tc>
          <w:tcPr>
            <w:tcW w:w="1814" w:type="dxa"/>
          </w:tcPr>
          <w:p w14:paraId="064DBCA0" w14:textId="77777777" w:rsidR="005B7D6E" w:rsidRDefault="00000000">
            <w:pPr>
              <w:pStyle w:val="LumisTabela"/>
              <w:keepNext/>
            </w:pPr>
            <w:r>
              <w:t>Pelo CTO</w:t>
            </w:r>
          </w:p>
        </w:tc>
        <w:tc>
          <w:tcPr>
            <w:tcW w:w="2041" w:type="dxa"/>
          </w:tcPr>
          <w:p w14:paraId="6F49F806" w14:textId="77777777" w:rsidR="005B7D6E" w:rsidRPr="00EC50F7" w:rsidRDefault="00000000">
            <w:pPr>
              <w:pStyle w:val="LumisTabela"/>
              <w:keepNext/>
              <w:rPr>
                <w:lang w:val="pt-BR"/>
              </w:rPr>
            </w:pPr>
            <w:r w:rsidRPr="00EC50F7">
              <w:rPr>
                <w:lang w:val="pt-BR"/>
              </w:rPr>
              <w:t>Decisão técnica, que não chega ao conselho</w:t>
            </w:r>
          </w:p>
        </w:tc>
        <w:tc>
          <w:tcPr>
            <w:tcW w:w="1701" w:type="dxa"/>
          </w:tcPr>
          <w:p w14:paraId="03BCFD56" w14:textId="77777777" w:rsidR="005B7D6E" w:rsidRDefault="00000000">
            <w:pPr>
              <w:pStyle w:val="LumisTabela"/>
              <w:keepNext/>
            </w:pP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abre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</w:p>
        </w:tc>
      </w:tr>
      <w:tr w:rsidR="005B7D6E" w14:paraId="4176E4F4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7A4DB738" w14:textId="77777777" w:rsidR="005B7D6E" w:rsidRDefault="00000000">
            <w:pPr>
              <w:pStyle w:val="LumisTabela"/>
              <w:keepNext/>
            </w:pPr>
            <w:r>
              <w:t>Auditorias contratuais concluídas</w:t>
            </w:r>
          </w:p>
        </w:tc>
        <w:tc>
          <w:tcPr>
            <w:tcW w:w="1587" w:type="dxa"/>
            <w:shd w:val="clear" w:color="auto" w:fill="F1F6F4"/>
          </w:tcPr>
          <w:p w14:paraId="127ACA92" w14:textId="77777777" w:rsidR="005B7D6E" w:rsidRDefault="00000000">
            <w:pPr>
              <w:pStyle w:val="LumisTabela"/>
              <w:keepNext/>
            </w:pPr>
            <w:r>
              <w:t>Número de auditorias</w:t>
            </w:r>
          </w:p>
        </w:tc>
        <w:tc>
          <w:tcPr>
            <w:tcW w:w="1814" w:type="dxa"/>
            <w:shd w:val="clear" w:color="auto" w:fill="F1F6F4"/>
          </w:tcPr>
          <w:p w14:paraId="0BB9F3D2" w14:textId="77777777" w:rsidR="005B7D6E" w:rsidRDefault="00000000">
            <w:pPr>
              <w:pStyle w:val="LumisTabela"/>
              <w:keepNext/>
            </w:pPr>
            <w:r>
              <w:t>Pela DPO</w:t>
            </w:r>
          </w:p>
        </w:tc>
        <w:tc>
          <w:tcPr>
            <w:tcW w:w="2041" w:type="dxa"/>
            <w:shd w:val="clear" w:color="auto" w:fill="F1F6F4"/>
          </w:tcPr>
          <w:p w14:paraId="77CB7C47" w14:textId="77777777" w:rsidR="005B7D6E" w:rsidRDefault="00000000">
            <w:pPr>
              <w:pStyle w:val="LumisTabela"/>
              <w:keepNext/>
            </w:pPr>
            <w:r>
              <w:t>Não. Mede atividade</w:t>
            </w:r>
          </w:p>
        </w:tc>
        <w:tc>
          <w:tcPr>
            <w:tcW w:w="1701" w:type="dxa"/>
            <w:shd w:val="clear" w:color="auto" w:fill="F1F6F4"/>
          </w:tcPr>
          <w:p w14:paraId="546BAA73" w14:textId="77777777" w:rsidR="005B7D6E" w:rsidRDefault="00000000">
            <w:pPr>
              <w:pStyle w:val="LumisTabela"/>
              <w:keepNext/>
            </w:pPr>
            <w:r>
              <w:t>Quantos registros estão afetados</w:t>
            </w:r>
          </w:p>
        </w:tc>
      </w:tr>
      <w:tr w:rsidR="005B7D6E" w14:paraId="2122122C" w14:textId="77777777">
        <w:trPr>
          <w:cantSplit/>
          <w:jc w:val="center"/>
        </w:trPr>
        <w:tc>
          <w:tcPr>
            <w:tcW w:w="1928" w:type="dxa"/>
          </w:tcPr>
          <w:p w14:paraId="093A430E" w14:textId="77777777" w:rsidR="005B7D6E" w:rsidRDefault="00000000">
            <w:pPr>
              <w:pStyle w:val="LumisTabela"/>
              <w:keepNext/>
            </w:pPr>
            <w:r>
              <w:t>Pacientes únicos analisados</w:t>
            </w:r>
          </w:p>
        </w:tc>
        <w:tc>
          <w:tcPr>
            <w:tcW w:w="1587" w:type="dxa"/>
          </w:tcPr>
          <w:p w14:paraId="1B2B1E78" w14:textId="77777777" w:rsidR="005B7D6E" w:rsidRDefault="00000000">
            <w:pPr>
              <w:pStyle w:val="LumisTabela"/>
              <w:keepNext/>
            </w:pPr>
            <w:r>
              <w:t>Base sem duplicidade</w:t>
            </w:r>
          </w:p>
        </w:tc>
        <w:tc>
          <w:tcPr>
            <w:tcW w:w="1814" w:type="dxa"/>
          </w:tcPr>
          <w:p w14:paraId="603CA5C7" w14:textId="77777777" w:rsidR="005B7D6E" w:rsidRDefault="00000000">
            <w:pPr>
              <w:pStyle w:val="LumisTabela"/>
              <w:keepNext/>
            </w:pPr>
            <w:r>
              <w:t>Pela área de Dados</w:t>
            </w:r>
          </w:p>
        </w:tc>
        <w:tc>
          <w:tcPr>
            <w:tcW w:w="2041" w:type="dxa"/>
          </w:tcPr>
          <w:p w14:paraId="11B0A860" w14:textId="77777777" w:rsidR="005B7D6E" w:rsidRDefault="00000000">
            <w:pPr>
              <w:pStyle w:val="LumisTabela"/>
              <w:keepNext/>
            </w:pPr>
            <w:r>
              <w:t>Não. É volume</w:t>
            </w:r>
          </w:p>
        </w:tc>
        <w:tc>
          <w:tcPr>
            <w:tcW w:w="1701" w:type="dxa"/>
          </w:tcPr>
          <w:p w14:paraId="41381FA0" w14:textId="77777777" w:rsidR="005B7D6E" w:rsidRDefault="00000000">
            <w:pPr>
              <w:pStyle w:val="LumisTabela"/>
              <w:keepNext/>
            </w:pPr>
            <w:r>
              <w:t>Quem foi mal atendido</w:t>
            </w:r>
          </w:p>
        </w:tc>
      </w:tr>
    </w:tbl>
    <w:p w14:paraId="331FDBAE" w14:textId="77777777" w:rsidR="005B7D6E" w:rsidRPr="00EC50F7" w:rsidRDefault="00000000">
      <w:pPr>
        <w:pStyle w:val="Legenda"/>
        <w:rPr>
          <w:lang w:val="pt-BR"/>
        </w:rPr>
      </w:pPr>
      <w:r w:rsidRPr="00EC50F7">
        <w:rPr>
          <w:lang w:val="pt-BR"/>
        </w:rPr>
        <w:t>Tabela 6. Indicadores descartados e as quatro perguntas. Fonte: análise da equipe sobre o Cap. 2, Quadros 9, 11 e 13.</w:t>
      </w:r>
    </w:p>
    <w:p w14:paraId="683B76CE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>Para a revisão quinzenal ter casos suficientes, a revisão humana sobe de 2% para 10% nos grupos críticos, e um auditor confere os números a cada trimestre. O NIST pede que todo sistema de IA tenha responsável e meio definidos para ser desligado⁴.</w:t>
      </w:r>
    </w:p>
    <w:p w14:paraId="4C499972" w14:textId="77777777" w:rsidR="005B7D6E" w:rsidRPr="00EC50F7" w:rsidRDefault="00000000">
      <w:pPr>
        <w:rPr>
          <w:lang w:val="pt-BR"/>
        </w:rPr>
      </w:pPr>
      <w:r w:rsidRPr="00EC50F7">
        <w:rPr>
          <w:b/>
          <w:lang w:val="pt-BR"/>
        </w:rPr>
        <w:t>A decisão de agora.</w:t>
      </w:r>
      <w:r w:rsidRPr="00EC50F7">
        <w:rPr>
          <w:lang w:val="pt-BR"/>
        </w:rPr>
        <w:t xml:space="preserve"> Dois grupos já passam do ponto de ação do indicador 1: idosos de CEP C e de CEP D/E. Pelo compromisso de Não Amplificação de Danos, da nossa Declaração de Intenção, o uso é suspenso até a correção quando há padrão de viés. Por isso recomendamos restringir já a recomendação automática nesses grupos. Cerca de um quarto das decisões de priorização volta à triagem do próprio hospital, enquanto o modelo segue rodando em paralelo, sem decidir, para medir a correção. Quanto isso pesa em cada hospital </w:t>
      </w:r>
      <w:r w:rsidRPr="00EC50F7">
        <w:rPr>
          <w:rStyle w:val="TagNoconsta"/>
          <w:lang w:val="pt-BR"/>
        </w:rPr>
        <w:t>[não consta]</w:t>
      </w:r>
      <w:r w:rsidRPr="00EC50F7">
        <w:rPr>
          <w:lang w:val="pt-BR"/>
        </w:rPr>
        <w:t>, e a Entrega 3 define quem executa a restrição.</w:t>
      </w:r>
    </w:p>
    <w:p w14:paraId="3E9097BC" w14:textId="77777777" w:rsidR="005B7D6E" w:rsidRPr="00EC50F7" w:rsidRDefault="00000000">
      <w:pPr>
        <w:pStyle w:val="Ttulo1"/>
        <w:rPr>
          <w:lang w:val="pt-BR"/>
        </w:rPr>
      </w:pPr>
      <w:r w:rsidRPr="00EC50F7">
        <w:rPr>
          <w:lang w:val="pt-BR"/>
        </w:rPr>
        <w:t>6. O que isso muda na tese</w:t>
      </w:r>
    </w:p>
    <w:p w14:paraId="4C19E1A9" w14:textId="77777777" w:rsidR="005B7D6E" w:rsidRPr="00EC50F7" w:rsidRDefault="00000000">
      <w:pPr>
        <w:rPr>
          <w:lang w:val="pt-BR"/>
        </w:rPr>
      </w:pPr>
      <w:r w:rsidRPr="00EC50F7">
        <w:rPr>
          <w:lang w:val="pt-BR"/>
        </w:rPr>
        <w:t>A base de clientes só vira vantagem difícil de copiar quando tiver direito de uso limpo e erro por grupo que alguém de fora consiga refazer, como a Entrega 1 já apontava. Por isso, o memorando leva três condições prévias ao aporte: regularizar os contratos antes do vencimento, tirar do mercado os números que não se sustentam e medir o erro por grupo com conferência externa.</w:t>
      </w:r>
    </w:p>
    <w:p w14:paraId="17F2EC7C" w14:textId="77777777" w:rsidR="005B7D6E" w:rsidRPr="00EC50F7" w:rsidRDefault="00000000">
      <w:pPr>
        <w:pStyle w:val="Ttulo2"/>
        <w:rPr>
          <w:lang w:val="pt-BR"/>
        </w:rPr>
      </w:pPr>
      <w:r w:rsidRPr="00EC50F7">
        <w:rPr>
          <w:lang w:val="pt-BR"/>
        </w:rPr>
        <w:t>Referências</w:t>
      </w:r>
    </w:p>
    <w:p w14:paraId="5D670D96" w14:textId="77777777" w:rsidR="005B7D6E" w:rsidRPr="00EC50F7" w:rsidRDefault="00000000">
      <w:pPr>
        <w:pStyle w:val="LumisNota"/>
        <w:rPr>
          <w:lang w:val="pt-BR"/>
        </w:rPr>
      </w:pPr>
      <w:r w:rsidRPr="00EC50F7">
        <w:rPr>
          <w:lang w:val="pt-BR"/>
        </w:rPr>
        <w:t xml:space="preserve">1. OBERMEYER, Z. et al. </w:t>
      </w:r>
      <w:r>
        <w:t xml:space="preserve">Dissecting </w:t>
      </w:r>
      <w:proofErr w:type="gramStart"/>
      <w:r>
        <w:t>racial bias</w:t>
      </w:r>
      <w:proofErr w:type="gramEnd"/>
      <w:r>
        <w:t xml:space="preserve"> in an algorithm used to manage the health of populations. </w:t>
      </w:r>
      <w:r w:rsidRPr="00EC50F7">
        <w:rPr>
          <w:lang w:val="pt-BR"/>
        </w:rPr>
        <w:t>Science, v. 366, n. 6464, p. 447-453, 2019.</w:t>
      </w:r>
    </w:p>
    <w:p w14:paraId="55812AB4" w14:textId="77777777" w:rsidR="005B7D6E" w:rsidRPr="00EC50F7" w:rsidRDefault="00000000">
      <w:pPr>
        <w:pStyle w:val="LumisNota"/>
        <w:rPr>
          <w:lang w:val="pt-BR"/>
        </w:rPr>
      </w:pPr>
      <w:r w:rsidRPr="00EC50F7">
        <w:rPr>
          <w:lang w:val="pt-BR"/>
        </w:rPr>
        <w:t xml:space="preserve">2. BRASIL. Lei nº 13.709/2018 (LGPD), </w:t>
      </w:r>
      <w:proofErr w:type="spellStart"/>
      <w:r w:rsidRPr="00EC50F7">
        <w:rPr>
          <w:lang w:val="pt-BR"/>
        </w:rPr>
        <w:t>arts</w:t>
      </w:r>
      <w:proofErr w:type="spellEnd"/>
      <w:r w:rsidRPr="00EC50F7">
        <w:rPr>
          <w:lang w:val="pt-BR"/>
        </w:rPr>
        <w:t>. 5º, 6º, 11 e 52. Consulta em 06/10/2026.</w:t>
      </w:r>
    </w:p>
    <w:p w14:paraId="575014DB" w14:textId="77777777" w:rsidR="005B7D6E" w:rsidRDefault="00000000">
      <w:pPr>
        <w:pStyle w:val="LumisNota"/>
      </w:pPr>
      <w:r w:rsidRPr="00EC50F7">
        <w:rPr>
          <w:lang w:val="pt-BR"/>
        </w:rPr>
        <w:t xml:space="preserve">3. ANPD. Guia Orientativo para Definições dos Agentes de Tratamento de Dados Pessoais e do Encarregado. </w:t>
      </w:r>
      <w:proofErr w:type="spellStart"/>
      <w:r>
        <w:t>Versão</w:t>
      </w:r>
      <w:proofErr w:type="spellEnd"/>
      <w:r>
        <w:t xml:space="preserve"> 2.0, 2022.</w:t>
      </w:r>
    </w:p>
    <w:p w14:paraId="363CEAC1" w14:textId="77777777" w:rsidR="005B7D6E" w:rsidRDefault="00000000">
      <w:pPr>
        <w:pStyle w:val="LumisNota"/>
      </w:pPr>
      <w:r>
        <w:t>4. NIST. Artificial Intelligence Risk Management Framework (AI RMF 1.0). NIST AI 100-1, 2023.</w:t>
      </w:r>
    </w:p>
    <w:p w14:paraId="5A06B5BE" w14:textId="77777777" w:rsidR="005B7D6E" w:rsidRPr="00EC50F7" w:rsidRDefault="00000000">
      <w:pPr>
        <w:pStyle w:val="LumisNota"/>
        <w:rPr>
          <w:lang w:val="pt-BR"/>
        </w:rPr>
      </w:pPr>
      <w:r w:rsidRPr="00EC50F7">
        <w:rPr>
          <w:lang w:val="pt-BR"/>
        </w:rPr>
        <w:t>Dados da Lumis: Cap. 2, Anexo A. Contas e propostas são da equipe. As empresas reais citadas são análogos e não fazem parte do caso Lumis.</w:t>
      </w:r>
    </w:p>
    <w:sectPr w:rsidR="005B7D6E" w:rsidRPr="00EC50F7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1F574" w14:textId="77777777" w:rsidR="002D729C" w:rsidRDefault="002D729C">
      <w:pPr>
        <w:spacing w:after="0" w:line="240" w:lineRule="auto"/>
      </w:pPr>
      <w:r>
        <w:separator/>
      </w:r>
    </w:p>
  </w:endnote>
  <w:endnote w:type="continuationSeparator" w:id="0">
    <w:p w14:paraId="6AC2A2BA" w14:textId="77777777" w:rsidR="002D729C" w:rsidRDefault="002D7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718A3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19EE" w14:textId="77777777" w:rsidR="002D729C" w:rsidRDefault="002D729C">
      <w:pPr>
        <w:spacing w:after="0" w:line="240" w:lineRule="auto"/>
      </w:pPr>
      <w:r>
        <w:separator/>
      </w:r>
    </w:p>
  </w:footnote>
  <w:footnote w:type="continuationSeparator" w:id="0">
    <w:p w14:paraId="2B246188" w14:textId="77777777" w:rsidR="002D729C" w:rsidRDefault="002D7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24F1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 xml:space="preserve">F2-E2 · Auditoria do </w:t>
    </w:r>
    <w:proofErr w:type="spellStart"/>
    <w:r>
      <w:rPr>
        <w:color w:val="6B7C85"/>
        <w:sz w:val="17"/>
      </w:rPr>
      <w:t>Ativo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2D729C"/>
    <w:rsid w:val="00326F90"/>
    <w:rsid w:val="005B7D6E"/>
    <w:rsid w:val="009E3794"/>
    <w:rsid w:val="00AA1D8D"/>
    <w:rsid w:val="00B47730"/>
    <w:rsid w:val="00BF58EC"/>
    <w:rsid w:val="00CB0664"/>
    <w:rsid w:val="00CE6510"/>
    <w:rsid w:val="00EC50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07551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18e634b-b199-4895-acc5-74b71ba09e0e}" enabled="1" method="Privileged" siteId="{f794bc2f-feca-4593-a071-8f95587a74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2038</Words>
  <Characters>11009</Characters>
  <Application>Microsoft Office Word</Application>
  <DocSecurity>0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Simon</cp:lastModifiedBy>
  <cp:revision>3</cp:revision>
  <dcterms:created xsi:type="dcterms:W3CDTF">2013-12-23T23:15:00Z</dcterms:created>
  <dcterms:modified xsi:type="dcterms:W3CDTF">2026-10-07T18:53:00Z</dcterms:modified>
  <cp:category/>
</cp:coreProperties>
</file>