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B613" w14:textId="77777777" w:rsidR="00545E03" w:rsidRPr="00545E03" w:rsidRDefault="000C0FAC" w:rsidP="00545E03">
      <w:pPr>
        <w:pStyle w:val="Rubrik1"/>
      </w:pPr>
      <w:r>
        <w:t>Dosberäkning vid Brachyterapi i prostata</w:t>
      </w:r>
      <w:r w:rsidR="007A108D">
        <w:t xml:space="preserve"> </w:t>
      </w:r>
    </w:p>
    <w:p w14:paraId="55CCB614" w14:textId="77777777" w:rsidR="003E30C8" w:rsidRPr="003E30C8" w:rsidRDefault="003E30C8" w:rsidP="000C0FAC">
      <w:pPr>
        <w:pStyle w:val="Rubrik2"/>
      </w:pPr>
      <w:r>
        <w:t>Bakgrun</w:t>
      </w:r>
      <w:r w:rsidRPr="003E30C8">
        <w:t>d</w:t>
      </w:r>
    </w:p>
    <w:p w14:paraId="55CCB615" w14:textId="77777777" w:rsidR="003E30C8" w:rsidRDefault="003E30C8" w:rsidP="004E1A97">
      <w:r>
        <w:t xml:space="preserve">De </w:t>
      </w:r>
      <w:r w:rsidRPr="00545E03">
        <w:rPr>
          <w:vertAlign w:val="superscript"/>
        </w:rPr>
        <w:t>192</w:t>
      </w:r>
      <w:r>
        <w:t>Ir källor som används för högdosrats</w:t>
      </w:r>
      <w:r w:rsidR="00545E03">
        <w:t>behandlingar</w:t>
      </w:r>
      <w:r w:rsidR="0079227A">
        <w:t xml:space="preserve"> </w:t>
      </w:r>
      <w:r w:rsidR="00EA59F6">
        <w:t>(dvs de där man har en väldigt stark källa som vid behandlingen stegas fram med möjlighet till variabel bestrålningstid i varje position),</w:t>
      </w:r>
      <w:r w:rsidR="00545E03">
        <w:t xml:space="preserve"> är </w:t>
      </w:r>
      <w:r>
        <w:t xml:space="preserve">oavsett fabrikat </w:t>
      </w:r>
      <w:r w:rsidR="00545E03">
        <w:t>snarlika i</w:t>
      </w:r>
      <w:r>
        <w:t xml:space="preserve"> design. De består av en cylinder av </w:t>
      </w:r>
      <w:r w:rsidRPr="00545E03">
        <w:rPr>
          <w:vertAlign w:val="superscript"/>
        </w:rPr>
        <w:t>192</w:t>
      </w:r>
      <w:r>
        <w:t>Ir</w:t>
      </w:r>
      <w:r w:rsidR="00545E03">
        <w:t xml:space="preserve"> som är in</w:t>
      </w:r>
      <w:r>
        <w:t>kapslad i rostfritt stål</w:t>
      </w:r>
      <w:r w:rsidR="000C0FAC">
        <w:t>. Stålinkapslingen är tjock nog</w:t>
      </w:r>
      <w:r w:rsidR="00545E03">
        <w:t xml:space="preserve"> för </w:t>
      </w:r>
      <w:r>
        <w:t xml:space="preserve">att helt stoppa de elektroner som sänds ut då </w:t>
      </w:r>
      <w:r w:rsidRPr="00545E03">
        <w:rPr>
          <w:vertAlign w:val="superscript"/>
        </w:rPr>
        <w:t>192</w:t>
      </w:r>
      <w:r>
        <w:t>Ir betasönderfaller.</w:t>
      </w:r>
      <w:r w:rsidR="00545E03">
        <w:t xml:space="preserve"> D</w:t>
      </w:r>
      <w:r w:rsidR="0009347B">
        <w:t>e</w:t>
      </w:r>
      <w:r w:rsidR="00545E03">
        <w:t xml:space="preserve"> högre fotonenergierna påverkas försumbart av stålet och det är </w:t>
      </w:r>
      <w:r w:rsidR="0009347B">
        <w:t>enbart med fotondelen</w:t>
      </w:r>
      <w:r w:rsidR="00545E03">
        <w:t xml:space="preserve"> man behandlar.</w:t>
      </w:r>
      <w:r>
        <w:t xml:space="preserve"> </w:t>
      </w:r>
    </w:p>
    <w:p w14:paraId="55CCB616" w14:textId="77777777" w:rsidR="000C0FAC" w:rsidRDefault="005630B6" w:rsidP="000C0FAC">
      <w:pPr>
        <w:keepNext/>
      </w:pPr>
      <w:r>
        <w:rPr>
          <w:noProof/>
          <w:lang w:val="en-US" w:eastAsia="zh-CN"/>
        </w:rPr>
        <w:drawing>
          <wp:inline distT="0" distB="0" distL="0" distR="0" wp14:anchorId="55CCB626" wp14:editId="55CCB627">
            <wp:extent cx="5791200" cy="285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CCB617" w14:textId="77777777" w:rsidR="00341A15" w:rsidRDefault="000C0FAC" w:rsidP="000C0FAC">
      <w:pPr>
        <w:pStyle w:val="Beskrivning"/>
        <w:rPr>
          <w:noProof/>
          <w:lang w:eastAsia="sv-SE"/>
        </w:rPr>
      </w:pPr>
      <w:proofErr w:type="spellStart"/>
      <w:r>
        <w:t>Figure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41F61">
        <w:rPr>
          <w:noProof/>
        </w:rPr>
        <w:t>1</w:t>
      </w:r>
      <w:r w:rsidR="00000000">
        <w:rPr>
          <w:noProof/>
        </w:rPr>
        <w:fldChar w:fldCharType="end"/>
      </w:r>
      <w:r w:rsidRPr="000C0FAC">
        <w:rPr>
          <w:noProof/>
          <w:sz w:val="20"/>
          <w:szCs w:val="20"/>
          <w:lang w:eastAsia="sv-SE"/>
        </w:rPr>
        <w:t xml:space="preserve"> </w:t>
      </w:r>
      <w:r w:rsidRPr="00341A15">
        <w:rPr>
          <w:noProof/>
          <w:sz w:val="20"/>
          <w:szCs w:val="20"/>
          <w:lang w:eastAsia="sv-SE"/>
        </w:rPr>
        <w:t xml:space="preserve">En bild på </w:t>
      </w:r>
      <w:r w:rsidRPr="00341A15">
        <w:rPr>
          <w:noProof/>
          <w:sz w:val="20"/>
          <w:szCs w:val="20"/>
          <w:vertAlign w:val="superscript"/>
          <w:lang w:eastAsia="sv-SE"/>
        </w:rPr>
        <w:t>192</w:t>
      </w:r>
      <w:r w:rsidRPr="00341A15">
        <w:rPr>
          <w:noProof/>
          <w:sz w:val="20"/>
          <w:szCs w:val="20"/>
          <w:lang w:eastAsia="sv-SE"/>
        </w:rPr>
        <w:t>Ir strålkällan ”mHDR-v2” från Nucetron, lånad ur Daskalov et al (1998) Med Phys vol 25 p 2200-2208.</w:t>
      </w:r>
    </w:p>
    <w:p w14:paraId="55CCB618" w14:textId="77777777" w:rsidR="00505DFB" w:rsidRPr="00505DFB" w:rsidRDefault="00505DFB" w:rsidP="000C0FAC">
      <w:pPr>
        <w:pStyle w:val="Rubrik2"/>
        <w:rPr>
          <w:noProof/>
          <w:lang w:eastAsia="sv-SE"/>
        </w:rPr>
      </w:pPr>
      <w:r>
        <w:rPr>
          <w:noProof/>
          <w:lang w:eastAsia="sv-SE"/>
        </w:rPr>
        <w:t>M</w:t>
      </w:r>
      <w:r w:rsidR="00122467">
        <w:rPr>
          <w:noProof/>
          <w:lang w:eastAsia="sv-SE"/>
        </w:rPr>
        <w:t>etod</w:t>
      </w:r>
      <w:r>
        <w:rPr>
          <w:noProof/>
          <w:lang w:eastAsia="sv-SE"/>
        </w:rPr>
        <w:t xml:space="preserve"> och data för dosberäkning</w:t>
      </w:r>
    </w:p>
    <w:p w14:paraId="55CCB619" w14:textId="77777777" w:rsidR="00930837" w:rsidRDefault="00122467" w:rsidP="004E1A97">
      <w:pPr>
        <w:rPr>
          <w:noProof/>
          <w:lang w:eastAsia="sv-SE"/>
        </w:rPr>
      </w:pPr>
      <w:r>
        <w:rPr>
          <w:noProof/>
          <w:lang w:eastAsia="sv-SE"/>
        </w:rPr>
        <w:t xml:space="preserve">För att beräkna </w:t>
      </w:r>
      <w:r w:rsidRPr="00122467">
        <w:rPr>
          <w:noProof/>
          <w:vertAlign w:val="superscript"/>
          <w:lang w:eastAsia="sv-SE"/>
        </w:rPr>
        <w:t>192</w:t>
      </w:r>
      <w:r w:rsidR="00A37CFF">
        <w:rPr>
          <w:noProof/>
          <w:lang w:eastAsia="sv-SE"/>
        </w:rPr>
        <w:t>Ir</w:t>
      </w:r>
      <w:r>
        <w:rPr>
          <w:noProof/>
          <w:lang w:eastAsia="sv-SE"/>
        </w:rPr>
        <w:t xml:space="preserve"> doser som har en för brachyterapi ganska hög medelenergi (ca 350 keV) till en prostata som ligger långt inne i kroppen och består av mjuk vävnad</w:t>
      </w:r>
      <w:r w:rsidR="00921167">
        <w:rPr>
          <w:noProof/>
          <w:lang w:eastAsia="sv-SE"/>
        </w:rPr>
        <w:t xml:space="preserve"> är det en bra approximation att anta att kroppen</w:t>
      </w:r>
      <w:r w:rsidR="000B3486">
        <w:rPr>
          <w:noProof/>
          <w:lang w:eastAsia="sv-SE"/>
        </w:rPr>
        <w:t xml:space="preserve"> består </w:t>
      </w:r>
      <w:r w:rsidR="00921167">
        <w:rPr>
          <w:noProof/>
          <w:lang w:eastAsia="sv-SE"/>
        </w:rPr>
        <w:t>enbart</w:t>
      </w:r>
      <w:r w:rsidR="000B3486">
        <w:rPr>
          <w:noProof/>
          <w:lang w:eastAsia="sv-SE"/>
        </w:rPr>
        <w:t xml:space="preserve"> av</w:t>
      </w:r>
      <w:r w:rsidR="00921167">
        <w:rPr>
          <w:noProof/>
          <w:lang w:eastAsia="sv-SE"/>
        </w:rPr>
        <w:t xml:space="preserve"> vatten. Man använder därför förberäknad information om </w:t>
      </w:r>
      <w:r w:rsidR="006E5ABB">
        <w:rPr>
          <w:noProof/>
          <w:lang w:eastAsia="sv-SE"/>
        </w:rPr>
        <w:t xml:space="preserve">hur dosen kring </w:t>
      </w:r>
      <w:r w:rsidR="006E5ABB" w:rsidRPr="006E5ABB">
        <w:rPr>
          <w:i/>
          <w:noProof/>
          <w:lang w:eastAsia="sv-SE"/>
        </w:rPr>
        <w:t>en</w:t>
      </w:r>
      <w:r w:rsidR="006E5ABB">
        <w:rPr>
          <w:noProof/>
          <w:lang w:eastAsia="sv-SE"/>
        </w:rPr>
        <w:t xml:space="preserve"> källa placerad i en stor volym vatten ser ut. Dosen har beräknats via en Monte Carlo simulering av fotoner i en geometri bestående av källan (modellerad i detalj) placerad i en stor vattenvolym. </w:t>
      </w:r>
    </w:p>
    <w:p w14:paraId="55CCB61A" w14:textId="77777777" w:rsidR="00930837" w:rsidRDefault="00E311B4" w:rsidP="004E1A97">
      <w:pPr>
        <w:rPr>
          <w:noProof/>
          <w:lang w:eastAsia="sv-SE"/>
        </w:rPr>
      </w:pPr>
      <w:r>
        <w:rPr>
          <w:noProof/>
          <w:lang w:eastAsia="sv-SE"/>
        </w:rPr>
        <w:t xml:space="preserve">Det finns olika sätt att parametrisera resultaten innan de används. </w:t>
      </w:r>
      <w:r w:rsidR="000C0FAC">
        <w:rPr>
          <w:noProof/>
          <w:lang w:eastAsia="sv-SE"/>
        </w:rPr>
        <w:t>Nedan beskrivs och bifogas</w:t>
      </w:r>
      <w:r>
        <w:rPr>
          <w:noProof/>
          <w:lang w:eastAsia="sv-SE"/>
        </w:rPr>
        <w:t xml:space="preserve"> data för en </w:t>
      </w:r>
      <w:r w:rsidR="000C0FAC">
        <w:rPr>
          <w:noProof/>
          <w:lang w:eastAsia="sv-SE"/>
        </w:rPr>
        <w:t xml:space="preserve">sådan </w:t>
      </w:r>
      <w:r>
        <w:rPr>
          <w:noProof/>
          <w:lang w:eastAsia="sv-SE"/>
        </w:rPr>
        <w:t xml:space="preserve">metod </w:t>
      </w:r>
      <w:r w:rsidR="00866CF8">
        <w:rPr>
          <w:noProof/>
          <w:lang w:eastAsia="sv-SE"/>
        </w:rPr>
        <w:t>(</w:t>
      </w:r>
      <w:r w:rsidR="000C0FAC">
        <w:rPr>
          <w:noProof/>
          <w:lang w:eastAsia="sv-SE"/>
        </w:rPr>
        <w:t xml:space="preserve">den är rekomenderad av vissa </w:t>
      </w:r>
      <w:r w:rsidR="005D1582">
        <w:rPr>
          <w:noProof/>
          <w:lang w:eastAsia="sv-SE"/>
        </w:rPr>
        <w:t xml:space="preserve">pga av att det är flexibelt om man vill gå vidare och beräkna dosen med hänsyn tagen till att patienten inte består av bara vatten. För vattendoser som </w:t>
      </w:r>
      <w:r w:rsidR="000C0FAC">
        <w:rPr>
          <w:noProof/>
          <w:lang w:eastAsia="sv-SE"/>
        </w:rPr>
        <w:t>används</w:t>
      </w:r>
      <w:r w:rsidR="005D1582">
        <w:rPr>
          <w:noProof/>
          <w:lang w:eastAsia="sv-SE"/>
        </w:rPr>
        <w:t xml:space="preserve"> här finns inga signifikanta skillnader mellan denna metod och mer traditionella</w:t>
      </w:r>
      <w:r w:rsidR="00866CF8">
        <w:rPr>
          <w:noProof/>
          <w:lang w:eastAsia="sv-SE"/>
        </w:rPr>
        <w:t>)</w:t>
      </w:r>
      <w:r w:rsidR="005D1582">
        <w:rPr>
          <w:noProof/>
          <w:lang w:eastAsia="sv-SE"/>
        </w:rPr>
        <w:t xml:space="preserve">. </w:t>
      </w:r>
      <w:r w:rsidR="000679DD">
        <w:rPr>
          <w:noProof/>
          <w:lang w:eastAsia="sv-SE"/>
        </w:rPr>
        <w:t>Den totala dosen</w:t>
      </w:r>
      <w:r w:rsidR="00C02D36">
        <w:rPr>
          <w:noProof/>
          <w:lang w:eastAsia="sv-SE"/>
        </w:rPr>
        <w:t>,</w:t>
      </w:r>
      <w:r w:rsidR="000679DD">
        <w:rPr>
          <w:noProof/>
          <w:lang w:eastAsia="sv-SE"/>
        </w:rPr>
        <w:t xml:space="preserve"> </w:t>
      </w:r>
      <w:r w:rsidR="00E34318" w:rsidRPr="00C02D36">
        <w:rPr>
          <w:noProof/>
          <w:position w:val="-12"/>
          <w:lang w:eastAsia="sv-SE"/>
        </w:rPr>
        <w:object w:dxaOrig="420" w:dyaOrig="360" w14:anchorId="55CCB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8pt" o:ole="">
            <v:imagedata r:id="rId8" o:title=""/>
          </v:shape>
          <o:OLEObject Type="Embed" ProgID="Equation.3" ShapeID="_x0000_i1025" DrawAspect="Content" ObjectID="_1761559794" r:id="rId9"/>
        </w:object>
      </w:r>
      <w:r w:rsidR="00C02D36">
        <w:rPr>
          <w:noProof/>
          <w:lang w:eastAsia="sv-SE"/>
        </w:rPr>
        <w:t xml:space="preserve">, </w:t>
      </w:r>
      <w:r w:rsidR="000679DD">
        <w:rPr>
          <w:noProof/>
          <w:lang w:eastAsia="sv-SE"/>
        </w:rPr>
        <w:t xml:space="preserve">som funktion av avståndet till källans centrum i polära koordinater, </w:t>
      </w:r>
      <w:r w:rsidR="004C6E66" w:rsidRPr="00C02D36">
        <w:rPr>
          <w:noProof/>
          <w:position w:val="-4"/>
          <w:lang w:eastAsia="sv-SE"/>
        </w:rPr>
        <w:object w:dxaOrig="180" w:dyaOrig="200" w14:anchorId="55CCB629">
          <v:shape id="_x0000_i1026" type="#_x0000_t75" style="width:9pt;height:9.75pt" o:ole="">
            <v:imagedata r:id="rId10" o:title=""/>
          </v:shape>
          <o:OLEObject Type="Embed" ProgID="Equation.3" ShapeID="_x0000_i1026" DrawAspect="Content" ObjectID="_1761559795" r:id="rId11"/>
        </w:object>
      </w:r>
      <w:r w:rsidR="00C02D36">
        <w:rPr>
          <w:noProof/>
          <w:lang w:eastAsia="sv-SE"/>
        </w:rPr>
        <w:t xml:space="preserve">och </w:t>
      </w:r>
      <w:r w:rsidR="004C6E66" w:rsidRPr="00C02D36">
        <w:rPr>
          <w:noProof/>
          <w:position w:val="-6"/>
          <w:lang w:eastAsia="sv-SE"/>
        </w:rPr>
        <w:object w:dxaOrig="200" w:dyaOrig="279" w14:anchorId="55CCB62A">
          <v:shape id="_x0000_i1027" type="#_x0000_t75" style="width:9.75pt;height:14.25pt" o:ole="">
            <v:imagedata r:id="rId12" o:title=""/>
          </v:shape>
          <o:OLEObject Type="Embed" ProgID="Equation.3" ShapeID="_x0000_i1027" DrawAspect="Content" ObjectID="_1761559796" r:id="rId13"/>
        </w:object>
      </w:r>
      <w:r w:rsidR="00A37CFF">
        <w:rPr>
          <w:noProof/>
          <w:position w:val="-6"/>
          <w:lang w:eastAsia="sv-SE"/>
        </w:rPr>
        <w:t>,</w:t>
      </w:r>
      <w:r w:rsidR="000679DD">
        <w:rPr>
          <w:noProof/>
          <w:lang w:eastAsia="sv-SE"/>
        </w:rPr>
        <w:t xml:space="preserve"> beräknas som:</w:t>
      </w:r>
    </w:p>
    <w:p w14:paraId="55CCB61B" w14:textId="77777777" w:rsidR="000679DD" w:rsidRDefault="00FF762F" w:rsidP="004C6E66">
      <w:pPr>
        <w:tabs>
          <w:tab w:val="left" w:pos="8505"/>
        </w:tabs>
        <w:rPr>
          <w:noProof/>
          <w:lang w:eastAsia="sv-SE"/>
        </w:rPr>
      </w:pPr>
      <w:r w:rsidRPr="00FF762F">
        <w:rPr>
          <w:noProof/>
          <w:position w:val="-28"/>
          <w:lang w:eastAsia="sv-SE"/>
        </w:rPr>
        <w:object w:dxaOrig="4560" w:dyaOrig="680" w14:anchorId="55CCB62B">
          <v:shape id="_x0000_i1028" type="#_x0000_t75" style="width:228pt;height:33.75pt" o:ole="">
            <v:imagedata r:id="rId14" o:title=""/>
          </v:shape>
          <o:OLEObject Type="Embed" ProgID="Equation.3" ShapeID="_x0000_i1028" DrawAspect="Content" ObjectID="_1761559797" r:id="rId15"/>
        </w:object>
      </w:r>
      <w:r w:rsidR="004C6E66">
        <w:rPr>
          <w:noProof/>
          <w:lang w:eastAsia="sv-SE"/>
        </w:rPr>
        <w:tab/>
        <w:t>(1)</w:t>
      </w:r>
    </w:p>
    <w:p w14:paraId="55CCB61C" w14:textId="77777777" w:rsidR="004C6E66" w:rsidRDefault="004C6E66" w:rsidP="004C6E66">
      <w:pPr>
        <w:tabs>
          <w:tab w:val="left" w:pos="8505"/>
        </w:tabs>
        <w:rPr>
          <w:noProof/>
          <w:lang w:eastAsia="sv-SE"/>
        </w:rPr>
      </w:pPr>
      <w:r>
        <w:rPr>
          <w:noProof/>
          <w:lang w:eastAsia="sv-SE"/>
        </w:rPr>
        <w:t>där</w:t>
      </w:r>
    </w:p>
    <w:p w14:paraId="55CCB61D" w14:textId="77777777" w:rsidR="0028327D" w:rsidRDefault="001B4B79" w:rsidP="004C6E66">
      <w:pPr>
        <w:tabs>
          <w:tab w:val="left" w:pos="8505"/>
        </w:tabs>
        <w:rPr>
          <w:noProof/>
          <w:lang w:eastAsia="sv-SE"/>
        </w:rPr>
      </w:pPr>
      <w:r w:rsidRPr="00C15267">
        <w:rPr>
          <w:noProof/>
          <w:position w:val="-24"/>
          <w:lang w:eastAsia="sv-SE"/>
        </w:rPr>
        <w:object w:dxaOrig="4520" w:dyaOrig="620" w14:anchorId="55CCB62C">
          <v:shape id="_x0000_i1029" type="#_x0000_t75" style="width:225.75pt;height:30.75pt" o:ole="">
            <v:imagedata r:id="rId16" o:title=""/>
          </v:shape>
          <o:OLEObject Type="Embed" ProgID="Equation.3" ShapeID="_x0000_i1029" DrawAspect="Content" ObjectID="_1761559798" r:id="rId17"/>
        </w:object>
      </w:r>
      <w:r w:rsidR="004C6E66">
        <w:rPr>
          <w:noProof/>
          <w:lang w:eastAsia="sv-SE"/>
        </w:rPr>
        <w:tab/>
        <w:t>(2)</w:t>
      </w:r>
    </w:p>
    <w:p w14:paraId="55CCB61E" w14:textId="77777777" w:rsidR="004C6E66" w:rsidRDefault="004C6E66" w:rsidP="004C6E66">
      <w:pPr>
        <w:tabs>
          <w:tab w:val="left" w:pos="8505"/>
        </w:tabs>
        <w:rPr>
          <w:noProof/>
          <w:lang w:eastAsia="sv-SE"/>
        </w:rPr>
      </w:pPr>
      <w:r>
        <w:rPr>
          <w:noProof/>
          <w:lang w:eastAsia="sv-SE"/>
        </w:rPr>
        <w:t>och</w:t>
      </w:r>
    </w:p>
    <w:p w14:paraId="55CCB61F" w14:textId="77777777" w:rsidR="000B3486" w:rsidRDefault="008E61D1" w:rsidP="004C6E66">
      <w:pPr>
        <w:tabs>
          <w:tab w:val="left" w:pos="8505"/>
        </w:tabs>
        <w:rPr>
          <w:noProof/>
          <w:lang w:eastAsia="sv-SE"/>
        </w:rPr>
      </w:pPr>
      <w:r w:rsidRPr="00C15267">
        <w:rPr>
          <w:noProof/>
          <w:position w:val="-24"/>
          <w:sz w:val="22"/>
          <w:lang w:eastAsia="sv-SE"/>
        </w:rPr>
        <w:object w:dxaOrig="6240" w:dyaOrig="620" w14:anchorId="55CCB62D">
          <v:shape id="_x0000_i1030" type="#_x0000_t75" style="width:312pt;height:30.75pt" o:ole="">
            <v:imagedata r:id="rId18" o:title=""/>
          </v:shape>
          <o:OLEObject Type="Embed" ProgID="Equation.3" ShapeID="_x0000_i1030" DrawAspect="Content" ObjectID="_1761559799" r:id="rId19"/>
        </w:object>
      </w:r>
      <w:r w:rsidR="004C6E66">
        <w:rPr>
          <w:noProof/>
          <w:lang w:eastAsia="sv-SE"/>
        </w:rPr>
        <w:tab/>
        <w:t>(3)</w:t>
      </w:r>
    </w:p>
    <w:p w14:paraId="55CCB620" w14:textId="3F082EC8" w:rsidR="00323E46" w:rsidRDefault="00ED4E7F" w:rsidP="004E1A97">
      <w:pPr>
        <w:rPr>
          <w:noProof/>
          <w:lang w:eastAsia="sv-SE"/>
        </w:rPr>
      </w:pPr>
      <w:r>
        <w:rPr>
          <w:noProof/>
          <w:lang w:eastAsia="sv-SE"/>
        </w:rPr>
        <w:t>Radien anges i centimeter oc p</w:t>
      </w:r>
      <w:r w:rsidR="00237084">
        <w:rPr>
          <w:noProof/>
          <w:lang w:eastAsia="sv-SE"/>
        </w:rPr>
        <w:t xml:space="preserve">arametrarna </w:t>
      </w:r>
      <w:r w:rsidR="00FA0F02" w:rsidRPr="00FC20FD">
        <w:rPr>
          <w:noProof/>
          <w:position w:val="-10"/>
          <w:lang w:eastAsia="sv-SE"/>
        </w:rPr>
        <w:object w:dxaOrig="260" w:dyaOrig="340" w14:anchorId="55CCB62E">
          <v:shape id="_x0000_i1031" type="#_x0000_t75" style="width:12.75pt;height:15pt" o:ole="">
            <v:imagedata r:id="rId20" o:title=""/>
          </v:shape>
          <o:OLEObject Type="Embed" ProgID="Equation.3" ShapeID="_x0000_i1031" DrawAspect="Content" ObjectID="_1761559800" r:id="rId21"/>
        </w:object>
      </w:r>
      <w:r w:rsidR="00FC20FD">
        <w:rPr>
          <w:noProof/>
          <w:lang w:eastAsia="sv-SE"/>
        </w:rPr>
        <w:t xml:space="preserve">, </w:t>
      </w:r>
      <w:r w:rsidR="00AA73F9" w:rsidRPr="00FC20FD">
        <w:rPr>
          <w:noProof/>
          <w:position w:val="-10"/>
          <w:lang w:eastAsia="sv-SE"/>
        </w:rPr>
        <w:object w:dxaOrig="279" w:dyaOrig="340" w14:anchorId="55CCB62F">
          <v:shape id="_x0000_i1032" type="#_x0000_t75" style="width:14.25pt;height:17.25pt" o:ole="">
            <v:imagedata r:id="rId22" o:title=""/>
          </v:shape>
          <o:OLEObject Type="Embed" ProgID="Equation.3" ShapeID="_x0000_i1032" DrawAspect="Content" ObjectID="_1761559801" r:id="rId23"/>
        </w:object>
      </w:r>
      <w:r w:rsidR="00FC20FD">
        <w:rPr>
          <w:noProof/>
          <w:lang w:eastAsia="sv-SE"/>
        </w:rPr>
        <w:t>,</w:t>
      </w:r>
      <w:r w:rsidR="00A37CFF">
        <w:rPr>
          <w:noProof/>
          <w:lang w:eastAsia="sv-SE"/>
        </w:rPr>
        <w:t xml:space="preserve"> </w:t>
      </w:r>
      <w:r w:rsidR="00AA73F9" w:rsidRPr="00AA73F9">
        <w:rPr>
          <w:noProof/>
          <w:position w:val="-12"/>
          <w:lang w:eastAsia="sv-SE"/>
        </w:rPr>
        <w:object w:dxaOrig="279" w:dyaOrig="360" w14:anchorId="55CCB630">
          <v:shape id="_x0000_i1033" type="#_x0000_t75" style="width:14.25pt;height:18pt" o:ole="">
            <v:imagedata r:id="rId24" o:title=""/>
          </v:shape>
          <o:OLEObject Type="Embed" ProgID="Equation.3" ShapeID="_x0000_i1033" DrawAspect="Content" ObjectID="_1761559802" r:id="rId25"/>
        </w:object>
      </w:r>
      <w:r w:rsidR="00FC20FD">
        <w:rPr>
          <w:noProof/>
          <w:lang w:eastAsia="sv-SE"/>
        </w:rPr>
        <w:t>,</w:t>
      </w:r>
      <w:r w:rsidR="00A37CFF">
        <w:rPr>
          <w:noProof/>
          <w:lang w:eastAsia="sv-SE"/>
        </w:rPr>
        <w:t xml:space="preserve"> </w:t>
      </w:r>
      <w:r w:rsidR="00237084" w:rsidRPr="00FC20FD">
        <w:rPr>
          <w:noProof/>
          <w:position w:val="-10"/>
          <w:lang w:eastAsia="sv-SE"/>
        </w:rPr>
        <w:object w:dxaOrig="240" w:dyaOrig="340" w14:anchorId="55CCB631">
          <v:shape id="_x0000_i1034" type="#_x0000_t75" style="width:12pt;height:17.25pt" o:ole="">
            <v:imagedata r:id="rId26" o:title=""/>
          </v:shape>
          <o:OLEObject Type="Embed" ProgID="Equation.3" ShapeID="_x0000_i1034" DrawAspect="Content" ObjectID="_1761559803" r:id="rId27"/>
        </w:object>
      </w:r>
      <w:r w:rsidR="00FC20FD">
        <w:rPr>
          <w:noProof/>
          <w:lang w:eastAsia="sv-SE"/>
        </w:rPr>
        <w:t>,</w:t>
      </w:r>
      <w:r w:rsidR="00AA73F9">
        <w:rPr>
          <w:noProof/>
          <w:lang w:eastAsia="sv-SE"/>
        </w:rPr>
        <w:t xml:space="preserve"> </w:t>
      </w:r>
      <w:r w:rsidR="00237084" w:rsidRPr="00FC20FD">
        <w:rPr>
          <w:noProof/>
          <w:position w:val="-10"/>
          <w:lang w:eastAsia="sv-SE"/>
        </w:rPr>
        <w:object w:dxaOrig="260" w:dyaOrig="340" w14:anchorId="55CCB632">
          <v:shape id="_x0000_i1035" type="#_x0000_t75" style="width:12.75pt;height:17.25pt" o:ole="">
            <v:imagedata r:id="rId28" o:title=""/>
          </v:shape>
          <o:OLEObject Type="Embed" ProgID="Equation.3" ShapeID="_x0000_i1035" DrawAspect="Content" ObjectID="_1761559804" r:id="rId29"/>
        </w:object>
      </w:r>
      <w:r w:rsidR="00AA73F9">
        <w:rPr>
          <w:noProof/>
          <w:lang w:eastAsia="sv-SE"/>
        </w:rPr>
        <w:t>,</w:t>
      </w:r>
      <w:r w:rsidR="00A37CFF">
        <w:rPr>
          <w:noProof/>
          <w:lang w:eastAsia="sv-SE"/>
        </w:rPr>
        <w:t xml:space="preserve"> </w:t>
      </w:r>
      <w:r w:rsidR="00237084" w:rsidRPr="00AA73F9">
        <w:rPr>
          <w:noProof/>
          <w:position w:val="-12"/>
          <w:lang w:eastAsia="sv-SE"/>
        </w:rPr>
        <w:object w:dxaOrig="260" w:dyaOrig="360" w14:anchorId="55CCB633">
          <v:shape id="_x0000_i1036" type="#_x0000_t75" style="width:12.75pt;height:18pt" o:ole="">
            <v:imagedata r:id="rId30" o:title=""/>
          </v:shape>
          <o:OLEObject Type="Embed" ProgID="Equation.3" ShapeID="_x0000_i1036" DrawAspect="Content" ObjectID="_1761559805" r:id="rId31"/>
        </w:object>
      </w:r>
      <w:r w:rsidR="00AA73F9">
        <w:rPr>
          <w:noProof/>
          <w:lang w:eastAsia="sv-SE"/>
        </w:rPr>
        <w:t>,</w:t>
      </w:r>
      <w:r w:rsidR="00A37CFF">
        <w:rPr>
          <w:noProof/>
          <w:lang w:eastAsia="sv-SE"/>
        </w:rPr>
        <w:t xml:space="preserve"> </w:t>
      </w:r>
      <w:r w:rsidR="00237084" w:rsidRPr="00FC20FD">
        <w:rPr>
          <w:noProof/>
          <w:position w:val="-10"/>
          <w:lang w:eastAsia="sv-SE"/>
        </w:rPr>
        <w:object w:dxaOrig="260" w:dyaOrig="340" w14:anchorId="55CCB634">
          <v:shape id="_x0000_i1037" type="#_x0000_t75" style="width:12.75pt;height:17.25pt" o:ole="">
            <v:imagedata r:id="rId32" o:title=""/>
          </v:shape>
          <o:OLEObject Type="Embed" ProgID="Equation.3" ShapeID="_x0000_i1037" DrawAspect="Content" ObjectID="_1761559806" r:id="rId33"/>
        </w:object>
      </w:r>
      <w:r w:rsidR="00237084">
        <w:rPr>
          <w:noProof/>
          <w:lang w:eastAsia="sv-SE"/>
        </w:rPr>
        <w:t xml:space="preserve"> som funktion av </w:t>
      </w:r>
      <w:r w:rsidR="00237084" w:rsidRPr="00C02D36">
        <w:rPr>
          <w:noProof/>
          <w:position w:val="-6"/>
          <w:lang w:eastAsia="sv-SE"/>
        </w:rPr>
        <w:object w:dxaOrig="200" w:dyaOrig="279" w14:anchorId="55CCB635">
          <v:shape id="_x0000_i1038" type="#_x0000_t75" style="width:9.75pt;height:14.25pt" o:ole="">
            <v:imagedata r:id="rId12" o:title=""/>
          </v:shape>
          <o:OLEObject Type="Embed" ProgID="Equation.3" ShapeID="_x0000_i1038" DrawAspect="Content" ObjectID="_1761559807" r:id="rId34"/>
        </w:object>
      </w:r>
      <w:r w:rsidR="00237084">
        <w:rPr>
          <w:noProof/>
          <w:lang w:eastAsia="sv-SE"/>
        </w:rPr>
        <w:t xml:space="preserve"> ges i bifogad tabell.</w:t>
      </w:r>
      <w:r w:rsidR="00485AAE">
        <w:rPr>
          <w:noProof/>
          <w:lang w:eastAsia="sv-SE"/>
        </w:rPr>
        <w:t xml:space="preserve"> </w:t>
      </w:r>
      <w:r w:rsidR="00E34318">
        <w:rPr>
          <w:noProof/>
          <w:lang w:eastAsia="sv-SE"/>
        </w:rPr>
        <w:t xml:space="preserve">Index </w:t>
      </w:r>
      <w:r w:rsidR="00E34318" w:rsidRPr="00E34318">
        <w:rPr>
          <w:i/>
          <w:noProof/>
          <w:lang w:eastAsia="sv-SE"/>
        </w:rPr>
        <w:t>MC</w:t>
      </w:r>
      <w:r w:rsidR="00E34318">
        <w:rPr>
          <w:noProof/>
          <w:lang w:eastAsia="sv-SE"/>
        </w:rPr>
        <w:t xml:space="preserve"> i ekv 1-3 anger att detta inte är doser i absoluta termer utan doser per Monte Carlo simulerad foton</w:t>
      </w:r>
      <w:r w:rsidR="0058160E">
        <w:rPr>
          <w:noProof/>
          <w:lang w:eastAsia="sv-SE"/>
        </w:rPr>
        <w:t xml:space="preserve">. Styrkan hos </w:t>
      </w:r>
      <w:r w:rsidR="006231FA">
        <w:rPr>
          <w:noProof/>
          <w:lang w:eastAsia="sv-SE"/>
        </w:rPr>
        <w:t>en verklig källa ute på sjukhuset</w:t>
      </w:r>
      <w:r w:rsidR="00A37CFF">
        <w:rPr>
          <w:noProof/>
          <w:lang w:eastAsia="sv-SE"/>
        </w:rPr>
        <w:t xml:space="preserve"> bestäms </w:t>
      </w:r>
      <w:r w:rsidR="0058160E">
        <w:rPr>
          <w:noProof/>
          <w:lang w:eastAsia="sv-SE"/>
        </w:rPr>
        <w:t xml:space="preserve">i storheten referensluftkermarat, </w:t>
      </w:r>
      <w:r w:rsidR="0058160E" w:rsidRPr="0058160E">
        <w:rPr>
          <w:i/>
          <w:noProof/>
          <w:lang w:eastAsia="sv-SE"/>
        </w:rPr>
        <w:t>RAKR</w:t>
      </w:r>
      <w:r w:rsidR="006231FA">
        <w:rPr>
          <w:noProof/>
          <w:lang w:eastAsia="sv-SE"/>
        </w:rPr>
        <w:t xml:space="preserve">, något som mäts in explicit för varje </w:t>
      </w:r>
      <w:r w:rsidR="0058160E">
        <w:rPr>
          <w:noProof/>
          <w:lang w:eastAsia="sv-SE"/>
        </w:rPr>
        <w:t xml:space="preserve">källa med hjälp av ett instrument som kallas håljonkammare. </w:t>
      </w:r>
      <w:r w:rsidR="00594726">
        <w:rPr>
          <w:noProof/>
          <w:lang w:eastAsia="sv-SE"/>
        </w:rPr>
        <w:t xml:space="preserve">För att koppla dosfördelningar </w:t>
      </w:r>
      <w:r w:rsidR="0058160E">
        <w:rPr>
          <w:noProof/>
          <w:lang w:eastAsia="sv-SE"/>
        </w:rPr>
        <w:t>framtagna via Monte Carlo simul</w:t>
      </w:r>
      <w:r w:rsidR="00313A72">
        <w:rPr>
          <w:noProof/>
          <w:lang w:eastAsia="sv-SE"/>
        </w:rPr>
        <w:t xml:space="preserve">eringar </w:t>
      </w:r>
      <w:r w:rsidR="00594726">
        <w:rPr>
          <w:noProof/>
          <w:lang w:eastAsia="sv-SE"/>
        </w:rPr>
        <w:t>(ova</w:t>
      </w:r>
      <w:r w:rsidR="00C62855">
        <w:rPr>
          <w:noProof/>
          <w:lang w:eastAsia="sv-SE"/>
        </w:rPr>
        <w:t xml:space="preserve">n) </w:t>
      </w:r>
      <w:r w:rsidR="00313A72">
        <w:rPr>
          <w:noProof/>
          <w:lang w:eastAsia="sv-SE"/>
        </w:rPr>
        <w:t>till de från en verklig</w:t>
      </w:r>
      <w:r w:rsidR="0058160E">
        <w:rPr>
          <w:noProof/>
          <w:lang w:eastAsia="sv-SE"/>
        </w:rPr>
        <w:t xml:space="preserve"> källa görs även en simulering där </w:t>
      </w:r>
      <w:r w:rsidR="00FC08FA" w:rsidRPr="00C62855">
        <w:rPr>
          <w:noProof/>
          <w:position w:val="-10"/>
          <w:lang w:eastAsia="sv-SE"/>
        </w:rPr>
        <w:object w:dxaOrig="1040" w:dyaOrig="340" w14:anchorId="55CCB636">
          <v:shape id="_x0000_i1039" type="#_x0000_t75" style="width:51.75pt;height:17.25pt" o:ole="">
            <v:imagedata r:id="rId35" o:title=""/>
          </v:shape>
          <o:OLEObject Type="Embed" ProgID="Equation.3" ShapeID="_x0000_i1039" DrawAspect="Content" ObjectID="_1761559808" r:id="rId36"/>
        </w:object>
      </w:r>
      <w:r w:rsidR="003A4D5D">
        <w:rPr>
          <w:noProof/>
          <w:lang w:eastAsia="sv-SE"/>
        </w:rPr>
        <w:t xml:space="preserve"> dvs</w:t>
      </w:r>
      <w:r w:rsidR="00E713B0">
        <w:rPr>
          <w:noProof/>
          <w:lang w:eastAsia="sv-SE"/>
        </w:rPr>
        <w:t xml:space="preserve"> av</w:t>
      </w:r>
      <w:r w:rsidR="003A4D5D">
        <w:rPr>
          <w:noProof/>
          <w:lang w:eastAsia="sv-SE"/>
        </w:rPr>
        <w:t xml:space="preserve"> </w:t>
      </w:r>
      <w:r w:rsidR="0058160E">
        <w:rPr>
          <w:noProof/>
          <w:lang w:eastAsia="sv-SE"/>
        </w:rPr>
        <w:t xml:space="preserve">källans </w:t>
      </w:r>
      <w:r w:rsidR="0058160E" w:rsidRPr="00313A72">
        <w:rPr>
          <w:i/>
          <w:noProof/>
          <w:lang w:eastAsia="sv-SE"/>
        </w:rPr>
        <w:t>RAKR</w:t>
      </w:r>
      <w:r w:rsidR="0058160E">
        <w:rPr>
          <w:noProof/>
          <w:lang w:eastAsia="sv-SE"/>
        </w:rPr>
        <w:t xml:space="preserve"> per </w:t>
      </w:r>
      <w:r w:rsidR="003A4D5D">
        <w:rPr>
          <w:noProof/>
          <w:lang w:eastAsia="sv-SE"/>
        </w:rPr>
        <w:t>simulerad foton</w:t>
      </w:r>
      <w:r w:rsidR="00C06D77">
        <w:rPr>
          <w:noProof/>
          <w:lang w:eastAsia="sv-SE"/>
        </w:rPr>
        <w:t xml:space="preserve"> bestäms</w:t>
      </w:r>
      <w:r w:rsidR="003A4D5D">
        <w:rPr>
          <w:noProof/>
          <w:lang w:eastAsia="sv-SE"/>
        </w:rPr>
        <w:t>. För den</w:t>
      </w:r>
      <w:r w:rsidR="00BB3052">
        <w:rPr>
          <w:noProof/>
          <w:lang w:eastAsia="sv-SE"/>
        </w:rPr>
        <w:t>na</w:t>
      </w:r>
      <w:r w:rsidR="003A4D5D">
        <w:rPr>
          <w:noProof/>
          <w:lang w:eastAsia="sv-SE"/>
        </w:rPr>
        <w:t xml:space="preserve"> källa </w:t>
      </w:r>
      <w:r w:rsidR="00BB3052">
        <w:rPr>
          <w:noProof/>
          <w:lang w:eastAsia="sv-SE"/>
        </w:rPr>
        <w:t>gäller</w:t>
      </w:r>
      <w:r w:rsidR="003A4D5D">
        <w:rPr>
          <w:noProof/>
          <w:lang w:eastAsia="sv-SE"/>
        </w:rPr>
        <w:t xml:space="preserve"> att </w:t>
      </w:r>
      <w:r w:rsidR="00C128E1" w:rsidRPr="00FC08FA">
        <w:rPr>
          <w:noProof/>
          <w:position w:val="-10"/>
          <w:lang w:eastAsia="sv-SE"/>
        </w:rPr>
        <w:object w:dxaOrig="2120" w:dyaOrig="360" w14:anchorId="55CCB637">
          <v:shape id="_x0000_i1040" type="#_x0000_t75" style="width:105.75pt;height:18pt" o:ole="">
            <v:imagedata r:id="rId37" o:title=""/>
          </v:shape>
          <o:OLEObject Type="Embed" ProgID="Equation.3" ShapeID="_x0000_i1040" DrawAspect="Content" ObjectID="_1761559809" r:id="rId38"/>
        </w:object>
      </w:r>
      <w:r w:rsidR="00A460BD">
        <w:rPr>
          <w:noProof/>
          <w:position w:val="-10"/>
          <w:lang w:eastAsia="sv-SE"/>
        </w:rPr>
        <w:t xml:space="preserve"> Gy/s</w:t>
      </w:r>
      <w:r w:rsidR="00BB3052">
        <w:rPr>
          <w:noProof/>
          <w:lang w:eastAsia="sv-SE"/>
        </w:rPr>
        <w:t>.</w:t>
      </w:r>
      <w:r w:rsidR="00323E46">
        <w:rPr>
          <w:noProof/>
          <w:lang w:eastAsia="sv-SE"/>
        </w:rPr>
        <w:t xml:space="preserve"> </w:t>
      </w:r>
      <w:r w:rsidR="00C128E1">
        <w:rPr>
          <w:noProof/>
          <w:lang w:eastAsia="sv-SE"/>
        </w:rPr>
        <w:t>Dosfördelningen</w:t>
      </w:r>
      <w:r w:rsidR="00323E46">
        <w:rPr>
          <w:noProof/>
          <w:lang w:eastAsia="sv-SE"/>
        </w:rPr>
        <w:t xml:space="preserve"> för en verklig källa </w:t>
      </w:r>
      <w:r w:rsidR="00C128E1">
        <w:rPr>
          <w:noProof/>
          <w:lang w:eastAsia="sv-SE"/>
        </w:rPr>
        <w:t>får man sedan som</w:t>
      </w:r>
      <w:r w:rsidR="00323E46">
        <w:rPr>
          <w:noProof/>
          <w:lang w:eastAsia="sv-SE"/>
        </w:rPr>
        <w:t>:</w:t>
      </w:r>
    </w:p>
    <w:p w14:paraId="55CCB621" w14:textId="77777777" w:rsidR="00323E46" w:rsidRDefault="005E2553" w:rsidP="004E1A97">
      <w:pPr>
        <w:rPr>
          <w:noProof/>
          <w:lang w:eastAsia="sv-SE"/>
        </w:rPr>
      </w:pPr>
      <w:r w:rsidRPr="00C128E1">
        <w:rPr>
          <w:noProof/>
          <w:position w:val="-30"/>
          <w:lang w:eastAsia="sv-SE"/>
        </w:rPr>
        <w:object w:dxaOrig="4280" w:dyaOrig="720" w14:anchorId="55CCB638">
          <v:shape id="_x0000_i1041" type="#_x0000_t75" style="width:213.75pt;height:36pt" o:ole="">
            <v:imagedata r:id="rId39" o:title=""/>
          </v:shape>
          <o:OLEObject Type="Embed" ProgID="Equation.3" ShapeID="_x0000_i1041" DrawAspect="Content" ObjectID="_1761559810" r:id="rId40"/>
        </w:object>
      </w:r>
    </w:p>
    <w:p w14:paraId="55CCB622" w14:textId="77777777" w:rsidR="00BB3052" w:rsidRDefault="00BB3052" w:rsidP="004E1A97">
      <w:pPr>
        <w:rPr>
          <w:noProof/>
          <w:lang w:eastAsia="sv-SE"/>
        </w:rPr>
      </w:pPr>
      <w:r>
        <w:rPr>
          <w:noProof/>
          <w:lang w:eastAsia="sv-SE"/>
        </w:rPr>
        <w:t xml:space="preserve"> Ett vettigt värde</w:t>
      </w:r>
      <w:r w:rsidR="008C5291" w:rsidRPr="008C5291">
        <w:rPr>
          <w:noProof/>
          <w:vertAlign w:val="superscript"/>
          <w:lang w:eastAsia="sv-SE"/>
        </w:rPr>
        <w:t>*)</w:t>
      </w:r>
      <w:r>
        <w:rPr>
          <w:noProof/>
          <w:lang w:eastAsia="sv-SE"/>
        </w:rPr>
        <w:t xml:space="preserve"> för </w:t>
      </w:r>
      <w:r w:rsidR="005E2553" w:rsidRPr="005E2553">
        <w:rPr>
          <w:noProof/>
          <w:position w:val="-14"/>
          <w:lang w:eastAsia="sv-SE"/>
        </w:rPr>
        <w:object w:dxaOrig="1260" w:dyaOrig="380" w14:anchorId="55CCB639">
          <v:shape id="_x0000_i1042" type="#_x0000_t75" style="width:63pt;height:18.75pt" o:ole="">
            <v:imagedata r:id="rId41" o:title=""/>
          </v:shape>
          <o:OLEObject Type="Embed" ProgID="Equation.3" ShapeID="_x0000_i1042" DrawAspect="Content" ObjectID="_1761559811" r:id="rId42"/>
        </w:object>
      </w:r>
      <w:r>
        <w:rPr>
          <w:noProof/>
          <w:lang w:eastAsia="sv-SE"/>
        </w:rPr>
        <w:t xml:space="preserve"> </w:t>
      </w:r>
      <w:r w:rsidR="005E2553">
        <w:rPr>
          <w:noProof/>
          <w:lang w:eastAsia="sv-SE"/>
        </w:rPr>
        <w:t xml:space="preserve">är 30 mGy/h </w:t>
      </w:r>
      <w:r w:rsidR="000C0FAC">
        <w:rPr>
          <w:noProof/>
          <w:lang w:eastAsia="sv-SE"/>
        </w:rPr>
        <w:t xml:space="preserve">vilket är detsamma som </w:t>
      </w:r>
      <w:r w:rsidR="008C5291" w:rsidRPr="005E2553">
        <w:rPr>
          <w:noProof/>
          <w:position w:val="-6"/>
          <w:lang w:eastAsia="sv-SE"/>
        </w:rPr>
        <w:object w:dxaOrig="859" w:dyaOrig="320" w14:anchorId="55CCB63A">
          <v:shape id="_x0000_i1043" type="#_x0000_t75" style="width:42.75pt;height:15.75pt" o:ole="">
            <v:imagedata r:id="rId43" o:title=""/>
          </v:shape>
          <o:OLEObject Type="Embed" ProgID="Equation.3" ShapeID="_x0000_i1043" DrawAspect="Content" ObjectID="_1761559812" r:id="rId44"/>
        </w:object>
      </w:r>
      <w:r w:rsidR="005E2553">
        <w:rPr>
          <w:noProof/>
          <w:lang w:eastAsia="sv-SE"/>
        </w:rPr>
        <w:t xml:space="preserve"> Gy/s.</w:t>
      </w:r>
    </w:p>
    <w:p w14:paraId="55CCB623" w14:textId="77777777" w:rsidR="00485AAE" w:rsidRDefault="008C5291" w:rsidP="004E1A97">
      <w:pPr>
        <w:rPr>
          <w:noProof/>
          <w:lang w:eastAsia="sv-SE"/>
        </w:rPr>
      </w:pPr>
      <w:r w:rsidRPr="008C5291">
        <w:rPr>
          <w:noProof/>
          <w:vertAlign w:val="superscript"/>
          <w:lang w:eastAsia="sv-SE"/>
        </w:rPr>
        <w:t>*)</w:t>
      </w:r>
      <w:r>
        <w:rPr>
          <w:noProof/>
          <w:lang w:eastAsia="sv-SE"/>
        </w:rPr>
        <w:t xml:space="preserve">Högdosratskällorna levereras ofta med styrkan </w:t>
      </w:r>
      <w:r w:rsidR="00193782">
        <w:rPr>
          <w:noProof/>
          <w:lang w:eastAsia="sv-SE"/>
        </w:rPr>
        <w:t>40-50 mGy/h och används till de</w:t>
      </w:r>
      <w:r>
        <w:rPr>
          <w:noProof/>
          <w:lang w:eastAsia="sv-SE"/>
        </w:rPr>
        <w:t xml:space="preserve">ss att de halverats i styrka vilket tar ca 3 månader för </w:t>
      </w:r>
      <w:r w:rsidRPr="008C5291">
        <w:rPr>
          <w:noProof/>
          <w:vertAlign w:val="superscript"/>
          <w:lang w:eastAsia="sv-SE"/>
        </w:rPr>
        <w:t>192</w:t>
      </w:r>
      <w:r w:rsidR="00193782">
        <w:rPr>
          <w:noProof/>
          <w:lang w:eastAsia="sv-SE"/>
        </w:rPr>
        <w:t>Ir (74 dagars halveringstid, exponentiellt sönderfall</w:t>
      </w:r>
      <w:r>
        <w:rPr>
          <w:noProof/>
          <w:lang w:eastAsia="sv-SE"/>
        </w:rPr>
        <w:t>).</w:t>
      </w:r>
    </w:p>
    <w:p w14:paraId="55CCB624" w14:textId="77777777" w:rsidR="000C0FAC" w:rsidRDefault="005630B6" w:rsidP="000C0FAC">
      <w:pPr>
        <w:keepNext/>
      </w:pPr>
      <w:r>
        <w:rPr>
          <w:noProof/>
          <w:lang w:val="en-US" w:eastAsia="zh-CN"/>
        </w:rPr>
        <w:drawing>
          <wp:inline distT="0" distB="0" distL="0" distR="0" wp14:anchorId="55CCB63B" wp14:editId="55CCB63C">
            <wp:extent cx="1108329" cy="1524000"/>
            <wp:effectExtent l="6096" t="0" r="0" b="0"/>
            <wp:docPr id="21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09649" cy="1524018"/>
                      <a:chOff x="2471751" y="1790700"/>
                      <a:chExt cx="1109649" cy="1524018"/>
                    </a:xfrm>
                  </a:grpSpPr>
                  <a:grpSp>
                    <a:nvGrpSpPr>
                      <a:cNvPr id="22" name="Group 21"/>
                      <a:cNvGrpSpPr/>
                    </a:nvGrpSpPr>
                    <a:grpSpPr>
                      <a:xfrm>
                        <a:off x="2471751" y="1790700"/>
                        <a:ext cx="1109649" cy="1524018"/>
                        <a:chOff x="2471751" y="1790700"/>
                        <a:chExt cx="1109649" cy="1524018"/>
                      </a:xfrm>
                    </a:grpSpPr>
                    <a:sp>
                      <a:nvSpPr>
                        <a:cNvPr id="5" name="Rectangle 4"/>
                        <a:cNvSpPr/>
                      </a:nvSpPr>
                      <a:spPr>
                        <a:xfrm rot="10800000">
                          <a:off x="2471751" y="2671776"/>
                          <a:ext cx="176198" cy="642942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508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sv-S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v-SE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 rot="10800000">
                          <a:off x="2528887" y="1790700"/>
                          <a:ext cx="57160" cy="876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sv-S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sv-SE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Straight Arrow Connector 7"/>
                        <a:cNvCxnSpPr/>
                      </a:nvCxnSpPr>
                      <a:spPr>
                        <a:xfrm rot="10800000" flipH="1" flipV="1">
                          <a:off x="2562225" y="2976564"/>
                          <a:ext cx="1019175" cy="7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Arrow Connector 9"/>
                        <a:cNvCxnSpPr/>
                      </a:nvCxnSpPr>
                      <a:spPr>
                        <a:xfrm rot="16200000" flipV="1">
                          <a:off x="2071684" y="2486025"/>
                          <a:ext cx="9810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2762250" y="1981200"/>
                          <a:ext cx="67627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sv-SE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v-SE" i="1" dirty="0" smtClean="0"/>
                              <a:t>(</a:t>
                            </a:r>
                            <a:r>
                              <a:rPr lang="sv-SE" i="1" dirty="0" smtClean="0">
                                <a:solidFill>
                                  <a:schemeClr val="accent1"/>
                                </a:solidFill>
                              </a:rPr>
                              <a:t>r,</a:t>
                            </a:r>
                            <a:r>
                              <a:rPr lang="sv-SE" i="1" dirty="0" smtClean="0">
                                <a:solidFill>
                                  <a:schemeClr val="accent1"/>
                                </a:solidFill>
                                <a:latin typeface="Symbol" pitchFamily="18" charset="2"/>
                              </a:rPr>
                              <a:t>q</a:t>
                            </a:r>
                            <a:r>
                              <a:rPr lang="sv-SE" i="1" dirty="0" smtClean="0"/>
                              <a:t>)</a:t>
                            </a:r>
                            <a:endParaRPr lang="sv-SE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" name="Straight Arrow Connector 15"/>
                        <a:cNvCxnSpPr/>
                      </a:nvCxnSpPr>
                      <a:spPr>
                        <a:xfrm rot="10800000" flipH="1">
                          <a:off x="2590800" y="2343151"/>
                          <a:ext cx="990600" cy="621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Curved Connector 17"/>
                        <a:cNvCxnSpPr/>
                      </a:nvCxnSpPr>
                      <a:spPr>
                        <a:xfrm>
                          <a:off x="2571750" y="2524125"/>
                          <a:ext cx="438150" cy="209550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14:paraId="55CCB625" w14:textId="77777777" w:rsidR="00404D7F" w:rsidRDefault="000C0FAC" w:rsidP="000C0FAC">
      <w:pPr>
        <w:pStyle w:val="Beskrivning"/>
      </w:pPr>
      <w:proofErr w:type="spellStart"/>
      <w:r>
        <w:t>Figure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341F61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En skiss av källan på sin kabel. Polära koordinater med cylindersymnmetri kring </w:t>
      </w:r>
      <w:r w:rsidRPr="00E41216">
        <w:rPr>
          <w:rFonts w:ascii="Symbol" w:hAnsi="Symbol"/>
          <w:i/>
        </w:rPr>
        <w:t></w:t>
      </w:r>
      <w:r>
        <w:t xml:space="preserve">. I tabellen med parametrar </w:t>
      </w:r>
      <w:r w:rsidRPr="00D11380">
        <w:rPr>
          <w:i/>
        </w:rPr>
        <w:t>a</w:t>
      </w:r>
      <w:r>
        <w:t xml:space="preserve"> och </w:t>
      </w:r>
      <w:r w:rsidRPr="00D11380">
        <w:rPr>
          <w:i/>
        </w:rPr>
        <w:t>b</w:t>
      </w:r>
      <w:r>
        <w:t xml:space="preserve"> är källan vänd på så sätt att </w:t>
      </w:r>
      <w:r w:rsidRPr="00D11380">
        <w:rPr>
          <w:rFonts w:ascii="Symbol" w:hAnsi="Symbol"/>
          <w:i/>
        </w:rPr>
        <w:t></w:t>
      </w:r>
      <w:r>
        <w:t>=</w:t>
      </w:r>
      <w:proofErr w:type="gramStart"/>
      <w:r>
        <w:t>0  där</w:t>
      </w:r>
      <w:proofErr w:type="gramEnd"/>
      <w:r>
        <w:t xml:space="preserve"> kabeln kommer in (”uppåt” i den här figuren).</w:t>
      </w:r>
    </w:p>
    <w:sectPr w:rsidR="00404D7F" w:rsidSect="00CF6B99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A2A81" w14:textId="77777777" w:rsidR="00F25E67" w:rsidRDefault="00F25E67" w:rsidP="004B063B">
      <w:pPr>
        <w:spacing w:after="0" w:line="240" w:lineRule="auto"/>
      </w:pPr>
      <w:r>
        <w:separator/>
      </w:r>
    </w:p>
  </w:endnote>
  <w:endnote w:type="continuationSeparator" w:id="0">
    <w:p w14:paraId="5632E3AB" w14:textId="77777777" w:rsidR="00F25E67" w:rsidRDefault="00F25E67" w:rsidP="004B0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B641" w14:textId="77777777" w:rsidR="000C0FAC" w:rsidRDefault="00000000">
    <w:pPr>
      <w:pStyle w:val="Sidfot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F762F">
      <w:rPr>
        <w:noProof/>
      </w:rPr>
      <w:t>2</w:t>
    </w:r>
    <w:r>
      <w:rPr>
        <w:noProof/>
      </w:rPr>
      <w:fldChar w:fldCharType="end"/>
    </w:r>
  </w:p>
  <w:p w14:paraId="55CCB642" w14:textId="77777777" w:rsidR="000C0FAC" w:rsidRDefault="000C0FA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368D0" w14:textId="77777777" w:rsidR="00F25E67" w:rsidRDefault="00F25E67" w:rsidP="004B063B">
      <w:pPr>
        <w:spacing w:after="0" w:line="240" w:lineRule="auto"/>
      </w:pPr>
      <w:r>
        <w:separator/>
      </w:r>
    </w:p>
  </w:footnote>
  <w:footnote w:type="continuationSeparator" w:id="0">
    <w:p w14:paraId="3CD98333" w14:textId="77777777" w:rsidR="00F25E67" w:rsidRDefault="00F25E67" w:rsidP="004B0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B48"/>
    <w:rsid w:val="00000A07"/>
    <w:rsid w:val="00040181"/>
    <w:rsid w:val="000563F8"/>
    <w:rsid w:val="00066048"/>
    <w:rsid w:val="000679DD"/>
    <w:rsid w:val="0009347B"/>
    <w:rsid w:val="000A132B"/>
    <w:rsid w:val="000A5B26"/>
    <w:rsid w:val="000B0894"/>
    <w:rsid w:val="000B3486"/>
    <w:rsid w:val="000B5EE7"/>
    <w:rsid w:val="000C0FAC"/>
    <w:rsid w:val="00114B2D"/>
    <w:rsid w:val="00122467"/>
    <w:rsid w:val="001507E2"/>
    <w:rsid w:val="00152945"/>
    <w:rsid w:val="00175A74"/>
    <w:rsid w:val="00182ABE"/>
    <w:rsid w:val="00191582"/>
    <w:rsid w:val="00193782"/>
    <w:rsid w:val="001A76A4"/>
    <w:rsid w:val="001B2CE8"/>
    <w:rsid w:val="001B3453"/>
    <w:rsid w:val="001B4B79"/>
    <w:rsid w:val="001D38B5"/>
    <w:rsid w:val="001F21AC"/>
    <w:rsid w:val="001F6FDB"/>
    <w:rsid w:val="00213749"/>
    <w:rsid w:val="00215B0F"/>
    <w:rsid w:val="0022525A"/>
    <w:rsid w:val="00237084"/>
    <w:rsid w:val="00241778"/>
    <w:rsid w:val="00250D87"/>
    <w:rsid w:val="00280A5B"/>
    <w:rsid w:val="0028327D"/>
    <w:rsid w:val="002B6029"/>
    <w:rsid w:val="002C50CE"/>
    <w:rsid w:val="002C57C4"/>
    <w:rsid w:val="002D6163"/>
    <w:rsid w:val="002F7BF8"/>
    <w:rsid w:val="00303383"/>
    <w:rsid w:val="00304B84"/>
    <w:rsid w:val="00313A72"/>
    <w:rsid w:val="00323E46"/>
    <w:rsid w:val="00340D4F"/>
    <w:rsid w:val="00341A15"/>
    <w:rsid w:val="00341F61"/>
    <w:rsid w:val="00347960"/>
    <w:rsid w:val="003504D5"/>
    <w:rsid w:val="00352F3D"/>
    <w:rsid w:val="00361D7A"/>
    <w:rsid w:val="00373FFE"/>
    <w:rsid w:val="00396E75"/>
    <w:rsid w:val="003A4D5D"/>
    <w:rsid w:val="003B49CD"/>
    <w:rsid w:val="003C4BB4"/>
    <w:rsid w:val="003D3AE0"/>
    <w:rsid w:val="003E30C8"/>
    <w:rsid w:val="003F3F3A"/>
    <w:rsid w:val="00404D7F"/>
    <w:rsid w:val="00424477"/>
    <w:rsid w:val="00452244"/>
    <w:rsid w:val="0045323F"/>
    <w:rsid w:val="00453B8D"/>
    <w:rsid w:val="004702A4"/>
    <w:rsid w:val="0048019F"/>
    <w:rsid w:val="00485AAE"/>
    <w:rsid w:val="00496F01"/>
    <w:rsid w:val="004A05A5"/>
    <w:rsid w:val="004B063B"/>
    <w:rsid w:val="004B4503"/>
    <w:rsid w:val="004C204A"/>
    <w:rsid w:val="004C29C4"/>
    <w:rsid w:val="004C6D53"/>
    <w:rsid w:val="004C6E66"/>
    <w:rsid w:val="004C74BE"/>
    <w:rsid w:val="004D5D65"/>
    <w:rsid w:val="004E1A97"/>
    <w:rsid w:val="004F432C"/>
    <w:rsid w:val="004F4DD3"/>
    <w:rsid w:val="00500EAB"/>
    <w:rsid w:val="00505302"/>
    <w:rsid w:val="00505DFB"/>
    <w:rsid w:val="00513DAC"/>
    <w:rsid w:val="0052564A"/>
    <w:rsid w:val="00545E03"/>
    <w:rsid w:val="00546835"/>
    <w:rsid w:val="005532CF"/>
    <w:rsid w:val="0055430A"/>
    <w:rsid w:val="00555B20"/>
    <w:rsid w:val="005615DA"/>
    <w:rsid w:val="005630B6"/>
    <w:rsid w:val="00566960"/>
    <w:rsid w:val="0057637D"/>
    <w:rsid w:val="0058160E"/>
    <w:rsid w:val="00594726"/>
    <w:rsid w:val="005A6285"/>
    <w:rsid w:val="005C0737"/>
    <w:rsid w:val="005C21A5"/>
    <w:rsid w:val="005D1582"/>
    <w:rsid w:val="005E2553"/>
    <w:rsid w:val="005E4890"/>
    <w:rsid w:val="00603085"/>
    <w:rsid w:val="006122D8"/>
    <w:rsid w:val="00615079"/>
    <w:rsid w:val="006231FA"/>
    <w:rsid w:val="0062701C"/>
    <w:rsid w:val="0065202F"/>
    <w:rsid w:val="006568F1"/>
    <w:rsid w:val="006806C1"/>
    <w:rsid w:val="006A005D"/>
    <w:rsid w:val="006A3693"/>
    <w:rsid w:val="006B03CA"/>
    <w:rsid w:val="006B1CA9"/>
    <w:rsid w:val="006E38FA"/>
    <w:rsid w:val="006E5ABB"/>
    <w:rsid w:val="007112BE"/>
    <w:rsid w:val="007438D8"/>
    <w:rsid w:val="00747413"/>
    <w:rsid w:val="007500E7"/>
    <w:rsid w:val="007600B5"/>
    <w:rsid w:val="00774F44"/>
    <w:rsid w:val="00777951"/>
    <w:rsid w:val="00780C0D"/>
    <w:rsid w:val="00786B95"/>
    <w:rsid w:val="007911F6"/>
    <w:rsid w:val="0079227A"/>
    <w:rsid w:val="007A108D"/>
    <w:rsid w:val="007B6318"/>
    <w:rsid w:val="007B673A"/>
    <w:rsid w:val="007C7A85"/>
    <w:rsid w:val="00813963"/>
    <w:rsid w:val="00814E02"/>
    <w:rsid w:val="00815483"/>
    <w:rsid w:val="008258C1"/>
    <w:rsid w:val="008269CC"/>
    <w:rsid w:val="00855EA8"/>
    <w:rsid w:val="00866CF8"/>
    <w:rsid w:val="00867908"/>
    <w:rsid w:val="00885899"/>
    <w:rsid w:val="008B0519"/>
    <w:rsid w:val="008B234A"/>
    <w:rsid w:val="008B388F"/>
    <w:rsid w:val="008C5291"/>
    <w:rsid w:val="008D475D"/>
    <w:rsid w:val="008E20EC"/>
    <w:rsid w:val="008E61D1"/>
    <w:rsid w:val="009106B8"/>
    <w:rsid w:val="00916D84"/>
    <w:rsid w:val="00921167"/>
    <w:rsid w:val="00930837"/>
    <w:rsid w:val="00935EC4"/>
    <w:rsid w:val="00952E05"/>
    <w:rsid w:val="00955FE0"/>
    <w:rsid w:val="00966096"/>
    <w:rsid w:val="0097185B"/>
    <w:rsid w:val="009818AE"/>
    <w:rsid w:val="00990B55"/>
    <w:rsid w:val="0099261D"/>
    <w:rsid w:val="009D55CD"/>
    <w:rsid w:val="009F1FBD"/>
    <w:rsid w:val="009F6468"/>
    <w:rsid w:val="00A36860"/>
    <w:rsid w:val="00A37CFF"/>
    <w:rsid w:val="00A426F7"/>
    <w:rsid w:val="00A460BD"/>
    <w:rsid w:val="00A517FF"/>
    <w:rsid w:val="00A54CDF"/>
    <w:rsid w:val="00A71C00"/>
    <w:rsid w:val="00AA73F9"/>
    <w:rsid w:val="00AA751E"/>
    <w:rsid w:val="00AC0799"/>
    <w:rsid w:val="00AC2BBF"/>
    <w:rsid w:val="00AC7AE4"/>
    <w:rsid w:val="00AD4FE9"/>
    <w:rsid w:val="00AE46E5"/>
    <w:rsid w:val="00AF04B6"/>
    <w:rsid w:val="00AF1146"/>
    <w:rsid w:val="00B11B14"/>
    <w:rsid w:val="00B13EA0"/>
    <w:rsid w:val="00B1674D"/>
    <w:rsid w:val="00B17D3A"/>
    <w:rsid w:val="00B24BC1"/>
    <w:rsid w:val="00B84EF7"/>
    <w:rsid w:val="00B876D3"/>
    <w:rsid w:val="00BA580D"/>
    <w:rsid w:val="00BB3052"/>
    <w:rsid w:val="00BC12E1"/>
    <w:rsid w:val="00BC2318"/>
    <w:rsid w:val="00BD795D"/>
    <w:rsid w:val="00BF2878"/>
    <w:rsid w:val="00C02D36"/>
    <w:rsid w:val="00C06D77"/>
    <w:rsid w:val="00C128E1"/>
    <w:rsid w:val="00C143E1"/>
    <w:rsid w:val="00C15267"/>
    <w:rsid w:val="00C21C15"/>
    <w:rsid w:val="00C22CE4"/>
    <w:rsid w:val="00C36424"/>
    <w:rsid w:val="00C570B2"/>
    <w:rsid w:val="00C62855"/>
    <w:rsid w:val="00C67F79"/>
    <w:rsid w:val="00C82B48"/>
    <w:rsid w:val="00C83E06"/>
    <w:rsid w:val="00C90B26"/>
    <w:rsid w:val="00CA0556"/>
    <w:rsid w:val="00CC12AE"/>
    <w:rsid w:val="00CE7A12"/>
    <w:rsid w:val="00CF0609"/>
    <w:rsid w:val="00CF6B99"/>
    <w:rsid w:val="00CF73E3"/>
    <w:rsid w:val="00D004BE"/>
    <w:rsid w:val="00D06395"/>
    <w:rsid w:val="00D11380"/>
    <w:rsid w:val="00D4265F"/>
    <w:rsid w:val="00D429F2"/>
    <w:rsid w:val="00D85D34"/>
    <w:rsid w:val="00E07A54"/>
    <w:rsid w:val="00E10CB6"/>
    <w:rsid w:val="00E265D2"/>
    <w:rsid w:val="00E311B4"/>
    <w:rsid w:val="00E34318"/>
    <w:rsid w:val="00E3564E"/>
    <w:rsid w:val="00E37DE3"/>
    <w:rsid w:val="00E41216"/>
    <w:rsid w:val="00E47929"/>
    <w:rsid w:val="00E713B0"/>
    <w:rsid w:val="00E7691B"/>
    <w:rsid w:val="00EA0CC1"/>
    <w:rsid w:val="00EA59F6"/>
    <w:rsid w:val="00EA7E24"/>
    <w:rsid w:val="00EC053E"/>
    <w:rsid w:val="00EC372D"/>
    <w:rsid w:val="00ED4E7F"/>
    <w:rsid w:val="00EF2C27"/>
    <w:rsid w:val="00F158B2"/>
    <w:rsid w:val="00F17EB6"/>
    <w:rsid w:val="00F20FB0"/>
    <w:rsid w:val="00F25E67"/>
    <w:rsid w:val="00F33F04"/>
    <w:rsid w:val="00F40D57"/>
    <w:rsid w:val="00F4192D"/>
    <w:rsid w:val="00F45DFA"/>
    <w:rsid w:val="00F55FDD"/>
    <w:rsid w:val="00F62A2E"/>
    <w:rsid w:val="00F859ED"/>
    <w:rsid w:val="00F9689D"/>
    <w:rsid w:val="00FA0F02"/>
    <w:rsid w:val="00FC08FA"/>
    <w:rsid w:val="00FC20FD"/>
    <w:rsid w:val="00FD29CE"/>
    <w:rsid w:val="00FD5F38"/>
    <w:rsid w:val="00FF762F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B613"/>
  <w15:docId w15:val="{89962E82-41C8-42AC-ABE9-6AF8A2D9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35"/>
    <w:pPr>
      <w:spacing w:after="200" w:line="276" w:lineRule="auto"/>
    </w:pPr>
    <w:rPr>
      <w:rFonts w:ascii="Times New Roman" w:hAnsi="Times New Roman"/>
      <w:sz w:val="24"/>
      <w:szCs w:val="22"/>
      <w:lang w:val="sv-SE"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546835"/>
    <w:pPr>
      <w:keepNext/>
      <w:keepLines/>
      <w:spacing w:before="480" w:after="0"/>
      <w:outlineLvl w:val="0"/>
    </w:pPr>
    <w:rPr>
      <w:rFonts w:ascii="Arial" w:eastAsia="Times New Roman" w:hAnsi="Arial"/>
      <w:b/>
      <w:bCs/>
      <w:color w:val="00000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46835"/>
    <w:pPr>
      <w:keepNext/>
      <w:keepLines/>
      <w:spacing w:before="200" w:after="0"/>
      <w:outlineLvl w:val="1"/>
    </w:pPr>
    <w:rPr>
      <w:rFonts w:ascii="Arial" w:eastAsia="Times New Roman" w:hAnsi="Arial"/>
      <w:b/>
      <w:bCs/>
      <w:color w:val="000000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46835"/>
    <w:pPr>
      <w:keepNext/>
      <w:keepLines/>
      <w:spacing w:before="200" w:after="0"/>
      <w:outlineLvl w:val="2"/>
    </w:pPr>
    <w:rPr>
      <w:rFonts w:ascii="Arial" w:eastAsia="Times New Roman" w:hAnsi="Arial"/>
      <w:b/>
      <w:bCs/>
      <w:i/>
      <w:color w:val="00000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4683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46835"/>
    <w:rPr>
      <w:rFonts w:ascii="Arial" w:eastAsia="Times New Roman" w:hAnsi="Arial" w:cs="Times New Roman"/>
      <w:b/>
      <w:bCs/>
      <w:color w:val="000000"/>
      <w:sz w:val="28"/>
      <w:szCs w:val="28"/>
    </w:rPr>
  </w:style>
  <w:style w:type="paragraph" w:customStyle="1" w:styleId="Style1">
    <w:name w:val="Style1"/>
    <w:basedOn w:val="Rubrik1"/>
    <w:rsid w:val="00546835"/>
  </w:style>
  <w:style w:type="character" w:customStyle="1" w:styleId="Rubrik2Char">
    <w:name w:val="Rubrik 2 Char"/>
    <w:basedOn w:val="Standardstycketeckensnitt"/>
    <w:link w:val="Rubrik2"/>
    <w:uiPriority w:val="9"/>
    <w:rsid w:val="00546835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546835"/>
    <w:rPr>
      <w:rFonts w:ascii="Arial" w:eastAsia="Times New Roman" w:hAnsi="Arial" w:cs="Times New Roman"/>
      <w:b/>
      <w:bCs/>
      <w:i/>
      <w:color w:val="000000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46835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styleId="Sidhuvud">
    <w:name w:val="header"/>
    <w:basedOn w:val="Normal"/>
    <w:link w:val="SidhuvudChar"/>
    <w:uiPriority w:val="99"/>
    <w:semiHidden/>
    <w:unhideWhenUsed/>
    <w:rsid w:val="004B063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4B063B"/>
    <w:rPr>
      <w:rFonts w:ascii="Times New Roman" w:hAnsi="Times New Roman"/>
      <w:sz w:val="24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4B063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B063B"/>
    <w:rPr>
      <w:rFonts w:ascii="Times New Roman" w:hAnsi="Times New Roman"/>
      <w:sz w:val="24"/>
      <w:szCs w:val="22"/>
      <w:lang w:eastAsia="en-US"/>
    </w:rPr>
  </w:style>
  <w:style w:type="table" w:styleId="Tabellrutnt">
    <w:name w:val="Table Grid"/>
    <w:basedOn w:val="Normaltabell"/>
    <w:uiPriority w:val="59"/>
    <w:rsid w:val="006150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0C0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C0FAC"/>
    <w:rPr>
      <w:rFonts w:ascii="Tahoma" w:hAnsi="Tahoma" w:cs="Tahoma"/>
      <w:sz w:val="16"/>
      <w:szCs w:val="16"/>
      <w:lang w:val="sv-SE" w:eastAsia="en-US"/>
    </w:rPr>
  </w:style>
  <w:style w:type="paragraph" w:styleId="Beskrivning">
    <w:name w:val="caption"/>
    <w:basedOn w:val="Normal"/>
    <w:next w:val="Normal"/>
    <w:uiPriority w:val="35"/>
    <w:unhideWhenUsed/>
    <w:qFormat/>
    <w:rsid w:val="000C0F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31953-D0D4-41AF-9F5C-10B7FC0B3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IMV LIU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Tedgren</dc:creator>
  <cp:keywords/>
  <dc:description/>
  <cp:lastModifiedBy>Lukas Eveborn</cp:lastModifiedBy>
  <cp:revision>9</cp:revision>
  <cp:lastPrinted>2010-09-08T14:15:00Z</cp:lastPrinted>
  <dcterms:created xsi:type="dcterms:W3CDTF">2010-09-08T14:04:00Z</dcterms:created>
  <dcterms:modified xsi:type="dcterms:W3CDTF">2023-11-15T12:23:00Z</dcterms:modified>
</cp:coreProperties>
</file>