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ind w:firstLine="0"/>
        <w:jc w:val="center"/>
      </w:pPr>
      <w:r>
        <w:rPr>
          <w:b w:val="0"/>
          <w:sz w:val="28"/>
        </w:rPr>
        <w:t>Новосибирский политехнический колледж</w:t>
      </w:r>
    </w:p>
    <w:p>
      <w:pPr>
        <w:spacing w:before="560" w:after="120"/>
        <w:ind w:firstLine="0"/>
        <w:jc w:val="center"/>
      </w:pPr>
      <w:r>
        <w:rPr>
          <w:b/>
          <w:sz w:val="28"/>
        </w:rPr>
        <w:t>УТВЕРЖДАЮ</w:t>
      </w:r>
    </w:p>
    <w:p>
      <w:pPr>
        <w:spacing w:before="0" w:after="120"/>
        <w:ind w:firstLine="0"/>
        <w:jc w:val="center"/>
      </w:pPr>
      <w:r>
        <w:rPr>
          <w:b w:val="0"/>
          <w:sz w:val="28"/>
        </w:rPr>
        <w:t>[Должность утверждающего]</w:t>
      </w:r>
    </w:p>
    <w:p>
      <w:pPr>
        <w:spacing w:before="0" w:after="120"/>
        <w:ind w:firstLine="0"/>
        <w:jc w:val="center"/>
      </w:pPr>
      <w:r>
        <w:rPr>
          <w:b w:val="0"/>
          <w:sz w:val="28"/>
        </w:rPr>
        <w:t>______________ [ФИО]</w:t>
      </w:r>
    </w:p>
    <w:p>
      <w:pPr>
        <w:spacing w:before="0" w:after="120"/>
        <w:ind w:firstLine="0"/>
        <w:jc w:val="center"/>
      </w:pPr>
      <w:r>
        <w:rPr>
          <w:b w:val="0"/>
          <w:sz w:val="28"/>
        </w:rPr>
        <w:t>«____» ______________ 20____ г.</w:t>
      </w:r>
    </w:p>
    <w:p>
      <w:pPr>
        <w:spacing w:before="840" w:after="120"/>
        <w:ind w:firstLine="0"/>
        <w:jc w:val="center"/>
      </w:pPr>
      <w:r>
        <w:rPr>
          <w:b/>
          <w:sz w:val="28"/>
        </w:rPr>
        <w:t>Ноутбук HONOR BRI-XX</w:t>
      </w:r>
    </w:p>
    <w:p>
      <w:pPr>
        <w:spacing w:before="0" w:after="120"/>
        <w:ind w:firstLine="0"/>
        <w:jc w:val="center"/>
      </w:pPr>
      <w:r>
        <w:rPr>
          <w:b w:val="0"/>
          <w:sz w:val="28"/>
        </w:rPr>
        <w:t>Комплекс технических средств</w:t>
      </w:r>
    </w:p>
    <w:p>
      <w:pPr>
        <w:spacing w:before="400" w:after="120"/>
        <w:ind w:firstLine="0"/>
        <w:jc w:val="center"/>
      </w:pPr>
      <w:r>
        <w:rPr>
          <w:b/>
          <w:sz w:val="32"/>
        </w:rPr>
        <w:t>ОПИСАНИЕ КОМПЛЕКСА</w:t>
        <w:br/>
        <w:t>ТЕХНИЧЕСКИХ СРЕДСТВ</w:t>
      </w:r>
    </w:p>
    <w:p>
      <w:pPr>
        <w:spacing w:before="240" w:after="120"/>
        <w:ind w:firstLine="0"/>
        <w:jc w:val="center"/>
      </w:pPr>
      <w:r>
        <w:rPr>
          <w:b w:val="0"/>
          <w:sz w:val="28"/>
        </w:rPr>
        <w:t>[Обозначение АС].П9.М</w:t>
      </w:r>
    </w:p>
    <w:p>
      <w:pPr>
        <w:spacing w:before="0" w:after="120"/>
        <w:ind w:firstLine="0"/>
        <w:jc w:val="center"/>
      </w:pPr>
      <w:r>
        <w:rPr>
          <w:b w:val="0"/>
          <w:sz w:val="28"/>
        </w:rPr>
        <w:t>На 13 листах</w:t>
      </w:r>
    </w:p>
    <w:p>
      <w:pPr>
        <w:spacing w:before="520" w:after="120"/>
        <w:ind w:firstLine="0"/>
        <w:jc w:val="center"/>
      </w:pPr>
      <w:r>
        <w:rPr>
          <w:b/>
          <w:sz w:val="28"/>
        </w:rPr>
        <w:t>Выполнил</w:t>
      </w:r>
    </w:p>
    <w:p>
      <w:pPr>
        <w:spacing w:before="0" w:after="120"/>
        <w:ind w:firstLine="0"/>
        <w:jc w:val="center"/>
      </w:pPr>
      <w:r>
        <w:rPr>
          <w:b w:val="0"/>
          <w:sz w:val="28"/>
        </w:rPr>
        <w:t>Платунов Александр Александрович</w:t>
      </w:r>
    </w:p>
    <w:p>
      <w:pPr>
        <w:spacing w:before="160" w:after="120"/>
        <w:ind w:firstLine="0"/>
        <w:jc w:val="center"/>
      </w:pPr>
      <w:r>
        <w:rPr>
          <w:b/>
          <w:sz w:val="28"/>
        </w:rPr>
        <w:t>Проверил</w:t>
      </w:r>
    </w:p>
    <w:p>
      <w:pPr>
        <w:spacing w:before="0" w:after="120"/>
        <w:ind w:firstLine="0"/>
        <w:jc w:val="center"/>
      </w:pPr>
      <w:r>
        <w:rPr>
          <w:b w:val="0"/>
          <w:sz w:val="28"/>
        </w:rPr>
        <w:t>Кондюрин В.А.</w:t>
      </w:r>
    </w:p>
    <w:p>
      <w:pPr>
        <w:spacing w:before="600" w:after="120"/>
        <w:ind w:firstLine="0"/>
        <w:jc w:val="center"/>
      </w:pPr>
      <w:r>
        <w:rPr>
          <w:b w:val="0"/>
          <w:sz w:val="28"/>
        </w:rPr>
        <w:t>2026</w:t>
      </w:r>
    </w:p>
    <w:p>
      <w:pPr>
        <w:sectPr>
          <w:headerReference w:type="default" r:id="rId9"/>
          <w:footerReference w:type="default" r:id="rId10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1"/>
      </w:pPr>
      <w:r>
        <w:t>Содержание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1 Общие положения</w:t>
        <w:tab/>
        <w:t>3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2 Структура комплекса технических средств</w:t>
        <w:tab/>
        <w:t>4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2.1 Состав и функциональные связи</w:t>
        <w:tab/>
        <w:t>4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2.2 Режимы функционирования</w:t>
        <w:tab/>
        <w:t>4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2.3 Размещение и специальное оборудование</w:t>
        <w:tab/>
        <w:t>5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2.4 Защита технических средств и данных</w:t>
        <w:tab/>
        <w:t>5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2.5 Оценка надежности</w:t>
        <w:tab/>
        <w:t>5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3 Средства вычислительной техники</w:t>
        <w:tab/>
        <w:t>6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3.1 Вычислительная платформа</w:t>
        <w:tab/>
        <w:t>6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3.2 Хранение и отображение информации</w:t>
        <w:tab/>
        <w:t>7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3.3 Периферийные средства</w:t>
        <w:tab/>
        <w:t>7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3.4 Количество средств и машинные носители</w:t>
        <w:tab/>
        <w:t>8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3.5 Персонал и организация рабочего места</w:t>
        <w:tab/>
        <w:t>8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3.6 Функционирование вычислительных средств</w:t>
        <w:tab/>
        <w:t>8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4 Аппаратура передачи данных</w:t>
        <w:tab/>
        <w:t>9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4.1 Состав и выбор каналов связи</w:t>
        <w:tab/>
        <w:t>9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4.2 Сопряжение с каналами связи</w:t>
        <w:tab/>
        <w:t>9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4.3 Абоненты и объемы передачи данных</w:t>
        <w:tab/>
        <w:t>10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4.4 Надежность и достоверность передачи</w:t>
        <w:tab/>
        <w:t>10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Приложение А Контрольные показатели</w:t>
        <w:tab/>
        <w:t>11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Список использованных источников</w:t>
        <w:tab/>
        <w:t>12</w:t>
      </w:r>
    </w:p>
    <w:p>
      <w:pPr>
        <w:tabs>
          <w:tab w:pos="9751" w:val="right" w:leader="dot"/>
        </w:tabs>
        <w:spacing w:line="240" w:lineRule="auto" w:after="80"/>
        <w:ind w:firstLine="0"/>
      </w:pPr>
      <w:r>
        <w:rPr>
          <w:sz w:val="24"/>
        </w:rPr>
        <w:t>Лист регистрации изменений</w:t>
        <w:tab/>
        <w:t>13</w:t>
      </w:r>
    </w:p>
    <w:p>
      <w:pPr>
        <w:sectPr>
          <w:headerReference w:type="default" r:id="rId11"/>
          <w:footerReference w:type="default" r:id="rId12"/>
          <w:pgSz w:w="11906" w:h="16838"/>
          <w:pgMar w:top="680" w:right="567" w:bottom="2948" w:left="1417" w:header="0" w:footer="283" w:gutter="0"/>
          <w:cols w:space="720"/>
          <w:docGrid w:linePitch="360"/>
        </w:sectPr>
      </w:pPr>
    </w:p>
    <w:p>
      <w:pPr>
        <w:pStyle w:val="Heading1"/>
      </w:pPr>
      <w:r>
        <w:t>1 Общие положения</w:t>
      </w:r>
    </w:p>
    <w:p>
      <w:r>
        <w:t>Объект описания — технические средства компьютера HONOR BRI-XX семейства HONOR MagicBook, имя узла DESKTOP-PA87TS0. Документ фиксирует аппаратную конфигурацию и характеристики, зарегистрированные при инвентаризации 2 октября 2026 г.</w:t>
      </w:r>
    </w:p>
    <w:p>
      <w:r>
        <w:t>Вид документа — описание комплекса технических средств, код П9 по ГОСТ 34.201-89 [1]. Содержание организовано по разделу 4.2 РД 50-34.698-90 [2]. Листы оформлены с учетом ГОСТ 24.301-80 [3] и ГОСТ 2.104-68 [4].</w:t>
      </w:r>
    </w:p>
    <w:p>
      <w:pPr>
        <w:pStyle w:val="Heading2"/>
      </w:pPr>
      <w:r>
        <w:t>1.1 Исходные данные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803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6803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Исходный файл</w:t>
            </w:r>
          </w:p>
        </w:tc>
        <w:tc>
          <w:tcPr>
            <w:tcW w:type="dxa" w:w="680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Report.htm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Средство инвентаризации</w:t>
            </w:r>
          </w:p>
        </w:tc>
        <w:tc>
          <w:tcPr>
            <w:tcW w:type="dxa" w:w="680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AIDA64 Extreme v8.40.8500/ru, пробная версия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Тестовый модуль</w:t>
            </w:r>
          </w:p>
        </w:tc>
        <w:tc>
          <w:tcPr>
            <w:tcW w:type="dxa" w:w="680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4.7.931.8-x64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Дата и время формирования</w:t>
            </w:r>
          </w:p>
        </w:tc>
        <w:tc>
          <w:tcPr>
            <w:tcW w:type="dxa" w:w="680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02.10.2026, 09:01; часовой пояс в файле не указан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Операционная среда</w:t>
            </w:r>
          </w:p>
        </w:tc>
        <w:tc>
          <w:tcPr>
            <w:tcW w:type="dxa" w:w="680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Microsoft Windows 11 Pro 10.0.26200.9457; обозначение AIDA64: Win11 25H2 2025 Update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Идентификация платформы</w:t>
            </w:r>
          </w:p>
        </w:tc>
        <w:tc>
          <w:tcPr>
            <w:tcW w:type="dxa" w:w="680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HONOR BRI-XX, версия M1040, SKU C233</w:t>
            </w:r>
          </w:p>
        </w:tc>
      </w:tr>
    </w:tbl>
    <w:p>
      <w:pPr>
        <w:pStyle w:val="Heading2"/>
      </w:pPr>
      <w:r>
        <w:t>1.2 Основание применения</w:t>
      </w:r>
    </w:p>
    <w:p>
      <w:r>
        <w:t>Объект учебного описания — ноутбук HONOR BRI-XX. Организация: Новосибирский политехнический колледж. Выполнил: Платунов Александр Александрович. Проверил: Кондюрин В.А. Регистрационное обозначение объекта, основание разработки и реквизиты утвержденного ТЗ: ____________________. Назначение АС и перечень автоматизируемых задач: ____________________.</w:t>
      </w:r>
    </w:p>
    <w:p>
      <w:r>
        <w:t>Характеристики относятся к моменту формирования отчета [5]. Значения, скрытые пробной версией, не восстанавливаются предположениями. Для приемки КТС требуются утвержденные требования и результаты испытаний.</w:t>
      </w:r>
    </w:p>
    <w:p>
      <w:pPr>
        <w:sectPr>
          <w:headerReference w:type="default" r:id="rId13"/>
          <w:footerReference w:type="default" r:id="rId14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1"/>
      </w:pPr>
      <w:r>
        <w:t>2 Структура комплекса технических средств</w:t>
      </w:r>
    </w:p>
    <w:p>
      <w:pPr>
        <w:pStyle w:val="Heading2"/>
      </w:pPr>
      <w:r>
        <w:t>2.1 Состав и функциональные связи</w:t>
      </w:r>
    </w:p>
    <w:p>
      <w:r>
        <w:t>КТС представлен одним ноутбуком с интегрированными средствами вычислений, хранения, ввода, отображения и беспроводной связи. Такой состав обеспечивает локальную обработку данных без отдельного системного блока. Достаточность для задач АС определяется по ТЗ.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blHeader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Узел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Связь и назначение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AMD Ryzen 7 8845HS и LPDDR5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Вычисления и оперативное хранение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SanDisk PC SN5000S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NVMe; PCI Express 4.0 x4; постоянное хранение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Radeon 780M и встроенный экран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Формирование и отображение изображения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Клавиатура, указательное устройство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Ввод команд и данных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Qualcomm WCN685x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PCI Express; подключение к WLAN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USB-контроллеры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Камера, Bluetooth-адаптер, сканер отпечатков</w:t>
            </w:r>
          </w:p>
        </w:tc>
      </w:tr>
    </w:tbl>
    <w:p>
      <w:r>
        <w:t>Функциональная цепочка: ввод → обработка ЦП с использованием ОЗУ → запись на SSD / вывод на экран. Сетевая ветвь: приложения → сетевой стек ОС → WCN685x → точка доступа. Маршрутизатор и внешние АС в состав обследованного узла не включены; их состав определяется проектом.</w:t>
      </w:r>
    </w:p>
    <w:p>
      <w:pPr>
        <w:pStyle w:val="Heading2"/>
      </w:pPr>
      <w:r>
        <w:t>2.2 Режимы функционирования</w:t>
      </w:r>
    </w:p>
    <w:p>
      <w:r>
        <w:t>Пусковой режим: самодиагностика UEFI, загрузка Windows с SSD, запуск драйверов и прикладных служб. Нормальный режим: выполнение приложений и обмен данными через выбранные интерфейсы.</w:t>
      </w:r>
    </w:p>
    <w:p>
      <w:r>
        <w:t>Аварийный режим: при потере питания сохранить данные и завершить работу до разряда батареи; при сбое накопителя прекратить операции записи и выполнить диагностику; при потере сети локальные функции допускаются по регламенту АС. Восстановление выполняют после устранения причины сбоя.</w:t>
      </w:r>
    </w:p>
    <w:p>
      <w:pPr>
        <w:sectPr>
          <w:headerReference w:type="default" r:id="rId15"/>
          <w:footerReference w:type="default" r:id="rId16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2"/>
      </w:pPr>
      <w:r>
        <w:t>2.3 Размещение и специальное оборудование</w:t>
      </w:r>
    </w:p>
    <w:p>
      <w:r>
        <w:t>Ноутбук размещают на устойчивой поверхности с доступом воздуха к вентиляционным отверстиям. Кабели прокладывают без натяжения и риска повреждения. Условия температуры, влажности и электропитания принимают по эксплуатационной документации изготовителя.</w:t>
      </w:r>
    </w:p>
    <w:p>
      <w:r>
        <w:t>Помещение, план размещения и размеры рабочего места: ____________________. Требуемая площадь устанавливается проектом с учетом оборудования, проходов и условий труда. Индивидуально изготовленное оборудование и средства ограниченного применения по результатам инвентаризации не установлены; необходимость их поставки определяется проектом.</w:t>
      </w:r>
    </w:p>
    <w:p>
      <w:pPr>
        <w:pStyle w:val="Heading2"/>
      </w:pPr>
      <w:r>
        <w:t>2.4 Защита технических средств и данных</w:t>
      </w:r>
    </w:p>
    <w:p>
      <w:r>
        <w:t>Рекомендуются защита от ударов и жидкостей, исправный адаптер питания, штатное охлаждение, разграничение прав доступа и резервное копирование на отдельный носитель. Фактическое применение шифрования диска, резервного копирования и политик доступа требует отдельной проверки.</w:t>
      </w:r>
    </w:p>
    <w:p>
      <w:r>
        <w:t>В разделе BIOS указано: загрузка UEFI — «Да», безопасная загрузка — «Запрещено». Наличие Goodix Fingerprint USB Device подтверждает обнаружение устройства, но не доказывает настройку биометрической аутентификации.</w:t>
      </w:r>
    </w:p>
    <w:p>
      <w:pPr>
        <w:pStyle w:val="Heading2"/>
      </w:pPr>
      <w:r>
        <w:t>2.5 Оценка надежности</w:t>
      </w:r>
    </w:p>
    <w:p>
      <w:r>
        <w:t>SSD имеет SMART-статус OK: критические предупреждения и ошибки носителя равны 0, использованный ресурс — 1 %. Зарегистрированы 94 небезопасных отключения и 11 записей журнала ошибок. Эти счетчики требуют анализа событий, но сами по себе не устанавливают причину неисправности.</w:t>
      </w:r>
    </w:p>
    <w:p>
      <w:r>
        <w:t>Расчет наработки на отказ и коэффициента готовности не выполнен: не заданы интенсивности отказов, время восстановления, схема резервирования и нормативные показатели ТЗ. SMART и разовый контроль температур не заменяют проектную оценку надежности.</w:t>
      </w:r>
    </w:p>
    <w:p>
      <w:pPr>
        <w:sectPr>
          <w:headerReference w:type="default" r:id="rId17"/>
          <w:footerReference w:type="default" r:id="rId18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1"/>
      </w:pPr>
      <w:r>
        <w:t>3 Средства вычислительной техники</w:t>
      </w:r>
    </w:p>
    <w:p>
      <w:pPr>
        <w:pStyle w:val="Heading2"/>
      </w:pPr>
      <w:r>
        <w:t>3.1 Вычислительная платформа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6633"/>
      </w:tblGrid>
      <w:tr>
        <w:trPr>
          <w:cantSplit/>
          <w:tblHeader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Тип ЭВМ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Переносной персональный компьютер HONOR BRI-XX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Процессор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AMD Ryzen 7 8845HS w/ Radeon 780M Graphics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Ядра и потоки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8 ядер; SMT / CMP = 2 / 8 по DMI, то есть 16 потоков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Частоты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DMI: текущая 3800 МГц, максимальная 5100 МГц; суммарный раздел: 4650 МГц; раздел «Разгон»: 3100 МГц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Кэш по DMI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L1 — 512 КБ; L2 — 8 МБ; L3 — 16 МБ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Системная плата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HONOR BRI-XX-PCB, версия M1040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Чипсет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AMD K19.7 FCH, AMD K19.7 IMC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BIOS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HONOR UEFI 1.09, дата 14.01.2025; SMBIOS 3.6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Оперативная память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4 записи DMI по 8 ГБ: суммарно 32 ГБ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Тип и скорость памяти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LPDDR5, 6400 MT/s; Row of chips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Компоненты памяти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Micron Technology MT62F2G64D8CL-023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Коррекция ошибок ОЗУ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В массиве System Memory: «Нет»</w:t>
            </w:r>
          </w:p>
        </w:tc>
      </w:tr>
    </w:tbl>
    <w:p>
      <w:r>
        <w:t>Частоты процессора зависят от режима энергопотребления и момента опроса; значения из разных разделов не используются как результат теста производительности. Предельный объем массива памяти 64 ГБ по DMI не является установленным объемом и не подтверждает возможность модернизации.</w:t>
      </w:r>
    </w:p>
    <w:p>
      <w:r>
        <w:t>Платформа x86-64 обеспечивает выполнение установленной ОС. Обоснование выбора для конкретных задач требует требований к быстродействию, памяти и совместимости прикладного ПО; нагрузочные испытания в исходном отчете не представлены.</w:t>
      </w:r>
    </w:p>
    <w:p>
      <w:pPr>
        <w:sectPr>
          <w:headerReference w:type="default" r:id="rId19"/>
          <w:footerReference w:type="default" r:id="rId20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2"/>
      </w:pPr>
      <w:r>
        <w:t>3.2 Хранение и отображение информации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6633"/>
      </w:tblGrid>
      <w:tr>
        <w:trPr>
          <w:cantSplit/>
          <w:tblHeader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Средство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Характеристика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Накопитель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SanDisk PC SN5000S SDEPNSJ-1T00-1036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Интерфейс SSD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NVMe v2.0.0; PCI Express 4.0 x4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Емкость SSD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В суммарном разделе 1024 ГБ; в NVMe — 976762 МБ; в физических дисках — 953 ГБ, как отображено AIDA64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Прошивка SSD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34320000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Разделы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C: и E:, NTFS; E: — 254,9 ГБ, свободно 254,8 ГБ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Графика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AMD Radeon 780M Graphics; также обнаружен Honor Virtual Display Device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Видеопамять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512 МБ в разделе «Суммарная информация»; это не объем всей доступной графике памяти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Экран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BOEhydis NV160QDM-N40, 16 дюймов, 16:10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Разрешение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Максимальное и текущего рабочего стола: 2560 × 1600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Кадровая частота</w:t>
            </w:r>
          </w:p>
        </w:tc>
        <w:tc>
          <w:tcPr>
            <w:tcW w:type="dxa" w:w="6633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Диапазон по EDID: 48–120 Гц; текущая частота не установлена</w:t>
            </w:r>
          </w:p>
        </w:tc>
      </w:tr>
    </w:tbl>
    <w:p>
      <w:pPr>
        <w:pStyle w:val="Heading2"/>
      </w:pPr>
      <w:r>
        <w:t>3.3 Периферийные средства</w:t>
      </w:r>
    </w:p>
    <w:p>
      <w:r>
        <w:t>Обнаружены стандартная клавиатура PS/2, HID-совместимая мышь и Touch Pad по DMI; камера Honor Camera; Goodix Fingerprint USB Device; Qualcomm WCN685x Bluetooth Adapter; контроллеры AMD USB 3.1 xHCI.</w:t>
      </w:r>
    </w:p>
    <w:p>
      <w:r>
        <w:t>Аудиосистема содержит AMD Audio Processor, ATI Radeon HDMI Audio и Conexant SN6140. Microsoft Print to PDF и OneNote (Desktop) — программные устройства печати; наличие физического принтера ими не подтверждается. Количество внешних разъемов USB и их расположение устанавливают осмотром.</w:t>
      </w:r>
    </w:p>
    <w:p>
      <w:pPr>
        <w:sectPr>
          <w:headerReference w:type="default" r:id="rId21"/>
          <w:footerReference w:type="default" r:id="rId22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2"/>
      </w:pPr>
      <w:r>
        <w:t>3.4 Количество средств и машинные носители</w:t>
      </w:r>
    </w:p>
    <w:p>
      <w:r>
        <w:t>Инвентаризацией подтверждены: одна ЭВМ, один физический SSD, один встроенный экран, один аппаратный WLAN-адаптер. Записи сетевых интерфейсов Windows не суммируются как отдельные физические платы. DMI содержит четыре устройства памяти по 8 ГБ: 4 × 8 = 32 ГБ.</w:t>
      </w:r>
    </w:p>
    <w:p>
      <w:r>
        <w:t>Потребность в дополнительных ЭВМ и носителях определяется числом рабочих мест и нагрузкой. Для хранения следует учитывать данные, ПО, служебные файлы, резерв роста и резервные копии. Численные объемы этих составляющих, срок хранения и число копий по ТЗ: ____________________. Свободное место E: характеризует текущий снимок, но не подтверждает достаточность емкости для АС.</w:t>
      </w:r>
    </w:p>
    <w:p>
      <w:pPr>
        <w:pStyle w:val="Heading2"/>
      </w:pPr>
      <w:r>
        <w:t>3.5 Персонал и организация рабочего места</w:t>
      </w:r>
    </w:p>
    <w:p>
      <w:r>
        <w:t>Пользователь выполняет прикладные операции; назначенный специалист обслуживает ОС, оборудование и резервное копирование. Обязанности допускается совмещать. Численность персонала определяют по объему обслуживания, сменности и времени восстановления.</w:t>
      </w:r>
    </w:p>
    <w:p>
      <w:r>
        <w:t>Рабочее место включает ноутбук, адаптер питания и доступ к сети по необходимости. Расчет площади требует размеров мебели, состава оборудования и плана помещения. Состав персонала, сменность и площадь: ____________________.</w:t>
      </w:r>
    </w:p>
    <w:p>
      <w:pPr>
        <w:pStyle w:val="Heading2"/>
      </w:pPr>
      <w:r>
        <w:t>3.6 Функционирование вычислительных средств</w:t>
      </w:r>
    </w:p>
    <w:p>
      <w:r>
        <w:t>При запуске проверяют загрузку ОС, доступность SSD и необходимых устройств. В работе контролируют сообщения об ошибках, свободную емкость и сохранение данных. При аварии используют регламент восстановления и проверенную резервную копию.</w:t>
      </w:r>
    </w:p>
    <w:p>
      <w:r>
        <w:t>В момент опроса питание было от электросети, батарея заряжалась и имела 5 % заряда. Остаточная автономность не определена; гарантировать аварийное время работы по этому снимку нельзя.</w:t>
      </w:r>
    </w:p>
    <w:p>
      <w:pPr>
        <w:sectPr>
          <w:headerReference w:type="default" r:id="rId23"/>
          <w:footerReference w:type="default" r:id="rId24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1"/>
      </w:pPr>
      <w:r>
        <w:t>4 Аппаратура передачи данных</w:t>
      </w:r>
    </w:p>
    <w:p>
      <w:pPr>
        <w:pStyle w:val="Heading2"/>
      </w:pPr>
      <w:r>
        <w:t>4.1 Состав и выбор каналов связи</w:t>
      </w:r>
    </w:p>
    <w:p>
      <w:r>
        <w:t>Аппаратное средство WLAN — Qualcomm WCN685x Wi-Fi 6E Dual Band Simultaneous (DBS) WiFiCx Network Adapter, обнаруженное в PCI / PnP. Поддержка Wi-Fi 6E в имени устройства не означает использование диапазона 6 ГГц в обследованном соединении.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4535"/>
      </w:tblGrid>
      <w:tr>
        <w:trPr>
          <w:cantSplit/>
          <w:tblHeader/>
        </w:trPr>
        <w:tc>
          <w:tcPr>
            <w:tcW w:type="dxa" w:w="5386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Параметр действующего соединения</w:t>
            </w:r>
          </w:p>
        </w:tc>
        <w:tc>
          <w:tcPr>
            <w:tcW w:type="dxa" w:w="4535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Значение AIDA64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Режим WLAN</w:t>
            </w:r>
          </w:p>
        </w:tc>
        <w:tc>
          <w:tcPr>
            <w:tcW w:type="dxa" w:w="453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Инфраструктура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Канал и частота</w:t>
            </w:r>
          </w:p>
        </w:tc>
        <w:tc>
          <w:tcPr>
            <w:tcW w:type="dxa" w:w="453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Канал 1, 2412 МГц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Уровень сигнала</w:t>
            </w:r>
          </w:p>
        </w:tc>
        <w:tc>
          <w:tcPr>
            <w:tcW w:type="dxa" w:w="453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−36 дБм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Алгоритм шифрования</w:t>
            </w:r>
          </w:p>
        </w:tc>
        <w:tc>
          <w:tcPr>
            <w:tcW w:type="dxa" w:w="453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CCMP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Скорость соединения</w:t>
            </w:r>
          </w:p>
        </w:tc>
        <w:tc>
          <w:tcPr>
            <w:tcW w:type="dxa" w:w="453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344200 kbps (344,2 Мбит/с)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Скорость передачи / приема</w:t>
            </w:r>
          </w:p>
        </w:tc>
        <w:tc>
          <w:tcPr>
            <w:tcW w:type="dxa" w:w="453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344200 / 344200 kbps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MTU</w:t>
            </w:r>
          </w:p>
        </w:tc>
        <w:tc>
          <w:tcPr>
            <w:tcW w:type="dxa" w:w="453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1500 байт</w:t>
            </w:r>
          </w:p>
        </w:tc>
      </w:tr>
    </w:tbl>
    <w:p>
      <w:r>
        <w:t>Для узла зарегистрировано одно действующее инфраструктурное WLAN-соединение. Проектное число каналов и необходимость резерва устанавливают по требованиям обмена и доступности. Скорость линка не является измеренной пропускной способностью прикладного обмена.</w:t>
      </w:r>
    </w:p>
    <w:p>
      <w:pPr>
        <w:pStyle w:val="Heading2"/>
      </w:pPr>
      <w:r>
        <w:t>4.2 Сопряжение с каналами связи</w:t>
      </w:r>
    </w:p>
    <w:p>
      <w:r>
        <w:t>Сопряжение выполняют драйвер WiFiCx и сетевой стек Windows. Внутреннее подключение WLAN отражено в разделе «Чипсет»: PCI-E 4.0 x2 port #1 используется @ x1. Внешняя точка доступа обследованию не подвергалась; тип, питание, размещение и число точек определяются сетевым проектом.</w:t>
      </w:r>
    </w:p>
    <w:p>
      <w:r>
        <w:t>Для арендованного канала требуется определить полосу, доступность, задержку, потери и сроки восстановления. Договор аренды и заданные параметры канала: ____________________.</w:t>
      </w:r>
    </w:p>
    <w:p>
      <w:pPr>
        <w:sectPr>
          <w:headerReference w:type="default" r:id="rId25"/>
          <w:footerReference w:type="default" r:id="rId26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2"/>
      </w:pPr>
      <w:r>
        <w:t>4.3 Абоненты и объемы передачи данных</w:t>
      </w:r>
    </w:p>
    <w:p>
      <w:r>
        <w:t>Локальный абонент — DESKTOP-PA87TS0. Перечень удаленных абонентов, расположение, адресный план, маршруты и состав данных устанавливаются документацией АС. IP-адрес, шлюз, DHCP и DNS в исходном отчете скрыты пробной версией.</w:t>
      </w:r>
    </w:p>
    <w:p>
      <w:r>
        <w:t>По счетчикам активного WLAN-интерфейса получено 75776151 байт, отправлено 2716954 байт. Интервал накопления не указан; средний трафик, часовой максимум и потребность в полосе по этим счетчикам не рассчитываются.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rPr>
          <w:cantSplit/>
          <w:tblHeader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Программный интерфейс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Назначение и ограничение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Hyper-V Virtual Ethernet Adapter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vEthernet (Default Switch), виртуальный коммутатор; 10 Gbps в свойствах не означает физический Ethernet 10 Гбит/с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Tailscale Tunnel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Программный туннель; 100 Gbps в свойствах не характеризует скорость провайдера</w:t>
            </w:r>
          </w:p>
        </w:tc>
      </w:tr>
      <w:tr>
        <w:trPr>
          <w:cantSplit/>
        </w:trPr>
        <w:tc>
          <w:tcPr>
            <w:tcW w:type="dxa" w:w="3685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TAP-Windows Adapter V9 / #2</w:t>
            </w:r>
          </w:p>
        </w:tc>
        <w:tc>
          <w:tcPr>
            <w:tcW w:type="dxa" w:w="6236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Виртуальные сетевые интерфейсы; не отдельные физические Ethernet-порты</w:t>
            </w:r>
          </w:p>
        </w:tc>
      </w:tr>
    </w:tbl>
    <w:p>
      <w:pPr>
        <w:pStyle w:val="Heading2"/>
      </w:pPr>
      <w:r>
        <w:t>4.4 Надежность и достоверность передачи</w:t>
      </w:r>
    </w:p>
    <w:p>
      <w:r>
        <w:t>В момент опроса сигнал WLAN составлял −36 дБм и соединение было активно. Результатов измерения потерь, задержки, доступности канала и вероятности ошибки в отчете нет. Согласование требуемых показателей и проверка под нагрузкой выполняются перед приемкой.</w:t>
      </w:r>
    </w:p>
    <w:p>
      <w:r>
        <w:t>Рекомендуются контролируемый доступ к WLAN, согласованная аутентификация, контроль завершения операций и повторная передача при сбоях. CCMP характеризует зарегистрированный механизм шифрования, но не доказывает соответствие всей сети требованиям защиты. Резервный канал и время переключения: ____________________.</w:t>
      </w:r>
    </w:p>
    <w:p>
      <w:pPr>
        <w:sectPr>
          <w:headerReference w:type="default" r:id="rId27"/>
          <w:footerReference w:type="default" r:id="rId28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1"/>
      </w:pPr>
      <w:r>
        <w:t>Приложение А</w:t>
      </w:r>
    </w:p>
    <w:p>
      <w:pPr>
        <w:spacing w:before="0" w:after="120"/>
        <w:ind w:firstLine="0"/>
        <w:jc w:val="center"/>
      </w:pPr>
      <w:r>
        <w:rPr>
          <w:b/>
          <w:sz w:val="28"/>
        </w:rPr>
        <w:t>Контрольные показатели</w:t>
      </w:r>
    </w:p>
    <w:p>
      <w:pPr>
        <w:spacing w:before="0" w:after="120"/>
        <w:ind w:firstLine="0"/>
        <w:jc w:val="center"/>
      </w:pPr>
      <w:r>
        <w:rPr>
          <w:b w:val="0"/>
          <w:sz w:val="24"/>
        </w:rPr>
        <w:t>(справочное)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31"/>
        <w:gridCol w:w="3402"/>
      </w:tblGrid>
      <w:tr>
        <w:trPr>
          <w:cantSplit/>
          <w:tblHeader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/>
                <w:sz w:val="24"/>
              </w:rPr>
              <w:t>Раздел AIDA64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Суммарная память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32 ГБ = 4 × 8 ГБ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DMI; банки P0 CHANNEL A–D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Температура ЦП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52 °C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Датчики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Температура GPU SoC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45 °C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Датчики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Температура SSD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39 °C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SMART; Temperature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Critical Warning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SMART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Media Errors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0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SMART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Percentage Used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1 %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SMART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Available Spare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100 %; порог 10 %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SMART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Наработка SSD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666 ч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SMART; Power-On Hours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Небезопасные отключения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94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SMART; Unsafe Shutdowns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Журнал ошибок SSD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11 записей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SMART; Error Information Log Entries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Емкость батареи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74382 mWh паспортная; 64203 mWh при полной зарядке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Электропитание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Износ / циклы батареи</w:t>
            </w:r>
          </w:p>
        </w:tc>
        <w:tc>
          <w:tcPr>
            <w:tcW w:type="dxa" w:w="3231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13 % / 105</w:t>
            </w:r>
          </w:p>
        </w:tc>
        <w:tc>
          <w:tcPr>
            <w:tcW w:type="dxa" w:w="3402"/>
          </w:tcPr>
          <w:p>
            <w:pPr>
              <w:spacing w:line="252" w:lineRule="auto" w:before="60" w:after="60"/>
              <w:ind w:firstLine="0"/>
            </w:pPr>
            <w:r>
              <w:rPr>
                <w:b w:val="0"/>
                <w:sz w:val="24"/>
              </w:rPr>
              <w:t>Электропитание</w:t>
            </w:r>
          </w:p>
        </w:tc>
      </w:tr>
    </w:tbl>
    <w:p>
      <w:r>
        <w:t>DMI указывает батарею HB6683Q2EEW-41T1 с емкостью 8846 mWh, а раздел «Электропитание» — BASE-BAT с 74382 mWh. Значения сохранены как различающиеся сведения источника; паспортную емкость следует подтвердить по маркировке и документации. Износ 13 % приведен как значение AIDA64, без перерасчета.</w:t>
      </w:r>
    </w:p>
    <w:p>
      <w:r>
        <w:t>Серийные номера системы и платы скрыты. В таблице физических разделов встречаются буквы J: и L:, тогда как суммарный раздел показывает C: и E:. Для операций с разделами необходимо дополнительно проверить актуальное сопоставление томов.</w:t>
      </w:r>
    </w:p>
    <w:p>
      <w:pPr>
        <w:sectPr>
          <w:headerReference w:type="default" r:id="rId29"/>
          <w:footerReference w:type="default" r:id="rId30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1"/>
      </w:pPr>
      <w:r>
        <w:t>Список использованных источников</w:t>
      </w:r>
    </w:p>
    <w:p>
      <w:r>
        <w:t>1. 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 Таблица 2; раздел 3.</w:t>
      </w:r>
    </w:p>
    <w:p>
      <w:r>
        <w:t>2. РД 50-34.698-90. Методические указания. Информационная технология. Автоматизированные системы. Требования к содержанию документов. Раздел 4.2.</w:t>
      </w:r>
    </w:p>
    <w:p>
      <w:r>
        <w:t>3. ГОСТ 24.301-80. Система технической документации на АСУ. Общие требования к выполнению текстовых документов. Разделы 1 и 2.</w:t>
      </w:r>
    </w:p>
    <w:p>
      <w:r>
        <w:t>4. ГОСТ 2.104-68. Единая система конструкторской документации. Основные надписи. Формы 2 и 2а.</w:t>
      </w:r>
    </w:p>
    <w:p>
      <w:r>
        <w:t>5. Report.htm. Отчет AIDA64 Extreme v8.40.8500/ru для DESKTOP-PA87TS0, сформирован 02.10.2026 в 09:01. Электронный файл HTML, UTF-16; размер 2013758 байт.</w:t>
      </w:r>
    </w:p>
    <w:p>
      <w:pPr>
        <w:pStyle w:val="Heading2"/>
      </w:pPr>
      <w:r>
        <w:t>Электронные публикации нормативных текстов</w:t>
      </w:r>
    </w:p>
    <w:p>
      <w:pPr>
        <w:spacing w:line="264" w:lineRule="auto"/>
        <w:ind w:firstLine="0"/>
      </w:pPr>
      <w:r>
        <w:rPr>
          <w:sz w:val="22"/>
        </w:rPr>
        <w:t>ГОСТ 34.201-89: https://internet-law.ru/documents/prod/gost_gosudarstvennyj-standart/23/gost_56477.html</w:t>
      </w:r>
    </w:p>
    <w:p>
      <w:pPr>
        <w:spacing w:line="264" w:lineRule="auto"/>
        <w:ind w:firstLine="0"/>
      </w:pPr>
      <w:r>
        <w:rPr>
          <w:sz w:val="22"/>
        </w:rPr>
        <w:t>РД 50-34.698-90: https://internet-law.ru/documents/prod/metodicheskie-ukazaniya/16/rd_21600.html</w:t>
      </w:r>
    </w:p>
    <w:p>
      <w:pPr>
        <w:spacing w:line="264" w:lineRule="auto"/>
        <w:ind w:firstLine="0"/>
      </w:pPr>
      <w:r>
        <w:rPr>
          <w:sz w:val="22"/>
        </w:rPr>
        <w:t>ГОСТ 24.301-80: https://internet-law.ru/documents/prod/gost_gosudarstvennyj-standart/51/gost_26083.html</w:t>
      </w:r>
    </w:p>
    <w:p>
      <w:pPr>
        <w:spacing w:line="264" w:lineRule="auto"/>
        <w:ind w:firstLine="0"/>
      </w:pPr>
      <w:r>
        <w:rPr>
          <w:sz w:val="22"/>
        </w:rPr>
        <w:t>ГОСТ 2.104-68: https://internet-law.ru/documents/prod/gost_gosudarstvennyj-standart/23/gost_89782.html</w:t>
      </w:r>
    </w:p>
    <w:p>
      <w:r>
        <w:t>Дата обращения к нормативным текстам: 02.10.2026.</w:t>
      </w:r>
    </w:p>
    <w:p>
      <w:pPr>
        <w:spacing w:line="240" w:lineRule="auto"/>
        <w:ind w:firstLine="0"/>
      </w:pPr>
      <w:r>
        <w:rPr>
          <w:sz w:val="20"/>
        </w:rPr>
        <w:t>SHA-256 исходного HTML:</w:t>
        <w:br/>
        <w:t>50a9854a6427c769870c055669bc1c684641e2e98ab6df94918d42aaa45574d1</w:t>
      </w:r>
    </w:p>
    <w:p>
      <w:pPr>
        <w:sectPr>
          <w:headerReference w:type="default" r:id="rId31"/>
          <w:footerReference w:type="default" r:id="rId32"/>
          <w:pgSz w:w="11906" w:h="16838"/>
          <w:pgMar w:top="680" w:right="567" w:bottom="1587" w:left="1417" w:header="0" w:footer="283" w:gutter="0"/>
          <w:cols w:space="720"/>
          <w:docGrid w:linePitch="360"/>
        </w:sectPr>
      </w:pPr>
    </w:p>
    <w:p>
      <w:pPr>
        <w:pStyle w:val="Heading1"/>
      </w:pPr>
      <w:r>
        <w:t>Лист регистрации изменений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794"/>
        <w:gridCol w:w="794"/>
        <w:gridCol w:w="794"/>
        <w:gridCol w:w="1020"/>
        <w:gridCol w:w="850"/>
        <w:gridCol w:w="1247"/>
        <w:gridCol w:w="2041"/>
        <w:gridCol w:w="850"/>
        <w:gridCol w:w="907"/>
      </w:tblGrid>
      <w:tr>
        <w:tc>
          <w:tcPr>
            <w:tcW w:type="dxa" w:w="624"/>
            <w:vMerge w:val="restart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sz w:val="16"/>
              </w:rPr>
              <w:t>Изм.</w:t>
            </w:r>
          </w:p>
        </w:tc>
        <w:tc>
          <w:tcPr>
            <w:tcW w:type="dxa" w:w="3402"/>
            <w:gridSpan w:val="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sz w:val="16"/>
              </w:rPr>
              <w:t>Номера листов (страниц)</w:t>
            </w:r>
          </w:p>
        </w:tc>
        <w:tc>
          <w:tcPr>
            <w:tcW w:type="dxa" w:w="850"/>
            <w:vMerge w:val="restart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sz w:val="16"/>
              </w:rPr>
              <w:t>Всего листов</w:t>
            </w:r>
          </w:p>
        </w:tc>
        <w:tc>
          <w:tcPr>
            <w:tcW w:type="dxa" w:w="1247"/>
            <w:vMerge w:val="restart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sz w:val="16"/>
              </w:rPr>
              <w:t>№ документа</w:t>
            </w:r>
          </w:p>
        </w:tc>
        <w:tc>
          <w:tcPr>
            <w:tcW w:type="dxa" w:w="2041"/>
            <w:vMerge w:val="restart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sz w:val="16"/>
              </w:rPr>
              <w:t>Входящий № сопроводительного документа и дата</w:t>
            </w:r>
          </w:p>
        </w:tc>
        <w:tc>
          <w:tcPr>
            <w:tcW w:type="dxa" w:w="850"/>
            <w:vMerge w:val="restart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sz w:val="16"/>
              </w:rPr>
              <w:t>Подп.</w:t>
            </w:r>
          </w:p>
        </w:tc>
        <w:tc>
          <w:tcPr>
            <w:tcW w:type="dxa" w:w="907"/>
            <w:vMerge w:val="restart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sz w:val="16"/>
              </w:rPr>
              <w:t>Дата</w:t>
            </w:r>
          </w:p>
        </w:tc>
      </w:tr>
      <w:tr>
        <w:trPr>
          <w:cantSplit/>
          <w:tblHeader/>
        </w:trPr>
        <w:tc>
          <w:tcPr>
            <w:tcW w:type="dxa" w:w="624"/>
            <w:vMerge/>
          </w:tcPr>
          <w:p/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16"/>
              </w:rPr>
              <w:t>Изме-</w:t>
              <w:br/>
              <w:t>ненных</w:t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16"/>
              </w:rPr>
              <w:t>Заме-</w:t>
              <w:br/>
              <w:t>ненных</w:t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16"/>
              </w:rPr>
              <w:t>Новых</w:t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/>
                <w:sz w:val="16"/>
              </w:rPr>
              <w:t>Аннули-</w:t>
              <w:br/>
              <w:t>рованных</w:t>
            </w:r>
          </w:p>
        </w:tc>
        <w:tc>
          <w:tcPr>
            <w:tcW w:type="dxa" w:w="850"/>
            <w:vMerge/>
          </w:tcPr>
          <w:p/>
        </w:tc>
        <w:tc>
          <w:tcPr>
            <w:tcW w:type="dxa" w:w="1247"/>
            <w:vMerge/>
          </w:tcPr>
          <w:p/>
        </w:tc>
        <w:tc>
          <w:tcPr>
            <w:tcW w:type="dxa" w:w="2041"/>
            <w:vMerge/>
          </w:tcPr>
          <w:p/>
        </w:tc>
        <w:tc>
          <w:tcPr>
            <w:tcW w:type="dxa" w:w="850"/>
            <w:vMerge/>
          </w:tcPr>
          <w:p/>
        </w:tc>
        <w:tc>
          <w:tcPr>
            <w:tcW w:type="dxa" w:w="907"/>
            <w:vMerge/>
          </w:tcPr>
          <w:p/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rPr>
          <w:cantSplit/>
          <w:trHeight w:val="510"/>
        </w:trPr>
        <w:tc>
          <w:tcPr>
            <w:tcW w:type="dxa" w:w="62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02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124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041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850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type="dxa" w:w="907"/>
          </w:tcPr>
          <w:p>
            <w:pPr>
              <w:spacing w:line="240" w:lineRule="auto" w:before="60" w:after="60"/>
              <w:ind w:firstLine="0"/>
              <w:jc w:val="center"/>
            </w:pPr>
            <w:r>
              <w:rPr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33"/>
      <w:footerReference w:type="default" r:id="rId34"/>
      <w:pgSz w:w="11906" w:h="16838"/>
      <w:pgMar w:top="680" w:right="567" w:bottom="1587" w:left="1417" w:header="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2" name="frame-2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3" name="frame-3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4" name="frame-4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5" name="frame-5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6" name="frame-6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7" name="frame-7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8" name="frame-8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9" name="frame-9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9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0" name="frame-10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1" name="frame-1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2" name="frame-12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3" name="frame-13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rame-1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360" w:lineRule="auto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auto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360" w:lineRule="auto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360" w:lineRule="auto" w:before="180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комплекса технических средств HONOR BRI-XX</dc:title>
  <dc:subject>П9 по ГОСТ 34.201-89 и разделу 4.2 РД 50-34.698-90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