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4"/>
          <w:szCs w:val="24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III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MARCO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METODOLÓGICO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1.-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TIPO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Y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DISEÑO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Clasificar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contextualización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PROYECTIVA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114) 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indagación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Implica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explorar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explicar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alternativas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categoría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factibles</w:t>
      </w:r>
      <w:r>
        <w:rPr>
          <w:rFonts w:ascii="Arial" w:eastAsia="Arial" w:hAnsi="Arial" w:cs="Arial"/>
          <w:sz w:val="24"/>
          <w:szCs w:val="24"/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Balestrini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 xml:space="preserve">130)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proposición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sustentada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resolver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inicialmente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diagnóstico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segunda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atendiendo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diagnóstico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resolver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diagnóstico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operativo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embargo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DESCRIPTIVA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Bavaresco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27)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sistemáticamente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homogéneas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fenómenos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realidad</w:t>
      </w:r>
      <w:r>
        <w:rPr>
          <w:rFonts w:ascii="Arial" w:eastAsia="Arial" w:hAnsi="Arial" w:cs="Arial"/>
          <w:sz w:val="24"/>
          <w:szCs w:val="24"/>
          <w:rtl w:val="0"/>
        </w:rPr>
        <w:t>. (</w:t>
      </w:r>
      <w:r>
        <w:rPr>
          <w:rFonts w:ascii="Arial" w:eastAsia="Arial" w:hAnsi="Arial" w:cs="Arial"/>
          <w:sz w:val="24"/>
          <w:szCs w:val="24"/>
          <w:rtl w:val="0"/>
        </w:rPr>
        <w:t>individuos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comunidades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24)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fenómeno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ubican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intermedio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profundidad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cometidos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comportamiento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CAMPO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Bavaresco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28) </w:t>
      </w:r>
      <w:r>
        <w:rPr>
          <w:rFonts w:ascii="Arial" w:eastAsia="Arial" w:hAnsi="Arial" w:cs="Arial"/>
          <w:sz w:val="24"/>
          <w:szCs w:val="24"/>
          <w:rtl w:val="0"/>
        </w:rPr>
        <w:t>l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</w:t>
      </w:r>
      <w:r>
        <w:rPr>
          <w:rFonts w:ascii="Arial" w:eastAsia="Arial" w:hAnsi="Arial" w:cs="Arial"/>
          <w:sz w:val="24"/>
          <w:szCs w:val="24"/>
          <w:rtl w:val="0"/>
        </w:rPr>
        <w:t>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seguridad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soportarse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explorativos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descriptivos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experimentales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predictivos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31)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ocurren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primarios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manipular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condiciones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allí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arácter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Style w:val="CommentReference"/>
        </w:rPr>
        <w:commentReference w:id="0"/>
      </w:r>
      <w:commentRangeStart w:id="0"/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adscritos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resolver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commentRangeEnd w:id="0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1.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DISEÑO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26)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estrategia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documental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1 .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DISEÑO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NO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TRANS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CCIONAL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DESCRIPTIVO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Baptista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205)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construye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provocadas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intencionalmente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manipulación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deliberada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sólo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fenómenos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natural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analizarlos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Baptista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210)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trans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ccional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descriptivo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indaga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incidencia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puramente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trans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ccional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luego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describi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POBLACIÓN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34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140) </w:t>
      </w:r>
      <w:r>
        <w:rPr>
          <w:rFonts w:ascii="Arial" w:eastAsia="Arial" w:hAnsi="Arial" w:cs="Arial"/>
          <w:sz w:val="24"/>
          <w:szCs w:val="24"/>
          <w:rtl w:val="0"/>
        </w:rPr>
        <w:t>define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</w:t>
      </w:r>
      <w:r>
        <w:rPr>
          <w:rFonts w:ascii="Arial" w:eastAsia="Arial" w:hAnsi="Arial" w:cs="Arial"/>
          <w:sz w:val="24"/>
          <w:szCs w:val="24"/>
          <w:rtl w:val="0"/>
        </w:rPr>
        <w:t>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poseen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enmarcan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Bavaresco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91)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totalidad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Fernández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Baptista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238)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concuerdan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serie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especificaciones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veinte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miembros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alrededor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involucrados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2.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1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MUESTREO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INTENCIONAL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Namakforoosh</w:t>
      </w:r>
      <w:r>
        <w:rPr>
          <w:rFonts w:ascii="Arial" w:eastAsia="Arial" w:hAnsi="Arial" w:cs="Arial"/>
          <w:sz w:val="24"/>
          <w:szCs w:val="24"/>
          <w:rtl w:val="0"/>
        </w:rPr>
        <w:t xml:space="preserve"> (2000,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189)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estricto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pleno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poblacionales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conozca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representativo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intencional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cuyos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inclusión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contactados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telefónica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TÉCNICAS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TÉCNICAS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14)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él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documental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métricas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DIRECTA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69)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visualizar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fenómeno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produzca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naturaleza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sociedad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preestablecidos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REVISIÓN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DOCUMENTAL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1440" w:firstLine="0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Bavaresco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99)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brindarle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lector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teórico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bases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teóricas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antecedentes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significa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percata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escogió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ENCUESTA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Martins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134)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destinada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cuyos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opiniones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interesan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anónima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ab/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3.1.4.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ENTREVISTA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(2006,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73)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interrogatorio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dialogo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conversación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cara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</w:t>
      </w:r>
      <w:r>
        <w:rPr>
          <w:rFonts w:ascii="Arial" w:eastAsia="Arial" w:hAnsi="Arial" w:cs="Arial"/>
          <w:sz w:val="24"/>
          <w:szCs w:val="24"/>
          <w:rtl w:val="0"/>
        </w:rPr>
        <w:t xml:space="preserve">”,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acerca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requerida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INSTRUMENTOS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153)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recoger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filtrar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decir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GUÍA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OBSERVACIÓN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Vallejo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Ordoñez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Villalobos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Sánchez</w:t>
      </w:r>
      <w:r>
        <w:rPr>
          <w:rFonts w:ascii="Arial" w:eastAsia="Arial" w:hAnsi="Arial" w:cs="Arial"/>
          <w:sz w:val="24"/>
          <w:szCs w:val="24"/>
          <w:rtl w:val="0"/>
        </w:rPr>
        <w:t xml:space="preserve"> (2008,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166),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guia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temático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sentidos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búsqueda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resolver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Básicamente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agrupados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conveniencia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presencia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respectivas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HISTORIA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USUARIO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Beck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diponible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linea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(14/05/2012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>xpone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poseen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Constan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líneas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enfocarse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algoritmos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CUESTIONARIO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157) </w:t>
      </w:r>
      <w:r>
        <w:rPr>
          <w:rFonts w:ascii="Arial" w:eastAsia="Arial" w:hAnsi="Arial" w:cs="Arial"/>
          <w:sz w:val="24"/>
          <w:szCs w:val="24"/>
          <w:rtl w:val="0"/>
        </w:rPr>
        <w:t>Consisten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dicotómicas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abiertas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escala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ensayo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3.2.4.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GUIA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ENTREVISTA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8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Hurtado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(2010,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161)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señala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preguntas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enunciados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temáticos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SELECCIONADA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Beck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>. 96)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filosofía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satisfacer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integra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inicialmente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provoca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ágil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adapta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reevaluando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pequeño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grandes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jefes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hanging="15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FASES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METODOLOGÍA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hanging="1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metología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6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1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algunas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diferencias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Constan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ó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líneas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lenguaje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hincapié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detalles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algoritmos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etc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estimar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describen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reúnen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1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planning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color w:val="FFFFFF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inglés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",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indiquen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fechas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establecen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prioridad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Después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factores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versión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tardarán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realizado</w:t>
      </w:r>
      <w:r>
        <w:rPr>
          <w:rFonts w:ascii="Arial" w:eastAsia="Arial" w:hAnsi="Arial" w:cs="Arial"/>
          <w:sz w:val="24"/>
          <w:szCs w:val="24"/>
          <w:rtl w:val="0"/>
        </w:rPr>
        <w:t>. (*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aproximadamente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semanas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comienzo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planning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seleccionan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1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días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asignarán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rapidez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estimarla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basta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controlaremos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iteración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conveniente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3 </w:t>
      </w:r>
      <w:r>
        <w:rPr>
          <w:rFonts w:ascii="Arial" w:eastAsia="Arial" w:hAnsi="Arial" w:cs="Arial"/>
          <w:sz w:val="24"/>
          <w:szCs w:val="24"/>
          <w:rtl w:val="0"/>
        </w:rPr>
        <w:t>ó</w:t>
      </w:r>
      <w:r>
        <w:rPr>
          <w:rFonts w:ascii="Arial" w:eastAsia="Arial" w:hAnsi="Arial" w:cs="Arial"/>
          <w:sz w:val="24"/>
          <w:szCs w:val="24"/>
          <w:rtl w:val="0"/>
        </w:rPr>
        <w:t xml:space="preserve"> 4 </w:t>
      </w:r>
      <w:r>
        <w:rPr>
          <w:rFonts w:ascii="Arial" w:eastAsia="Arial" w:hAnsi="Arial" w:cs="Arial"/>
          <w:sz w:val="24"/>
          <w:szCs w:val="24"/>
          <w:rtl w:val="0"/>
        </w:rPr>
        <w:t>iteraciones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aprecia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aconseja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productividad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software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involucra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mientras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hincapié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implementando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consigue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Reuniones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diarias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reúnan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diariamente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expongan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soluciones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ideas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reuniones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fluidas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voto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2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DISEÑO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</w:t>
      </w:r>
      <w:r>
        <w:rPr>
          <w:rFonts w:ascii="Arial" w:eastAsia="Arial" w:hAnsi="Arial" w:cs="Arial"/>
          <w:sz w:val="24"/>
          <w:szCs w:val="24"/>
          <w:rtl w:val="0"/>
        </w:rPr>
        <w:t>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simples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sencillos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fácilmente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entendible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impleméntable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costará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esfuerzo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Glosarios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términos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glosarios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términos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correcta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nombres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posteriores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reutilización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Riesgos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surgen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potenciales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reduzcan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máximo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Nunca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piense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Sólo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10%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desperdicio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revisar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rehusar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contienen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obsoletos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inestable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refactorizar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: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Class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Responsabilities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Collaboration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apreciar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olvidándose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procedural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clásica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R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C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pertenece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arriba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tarjeta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columna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izquierda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responsabilidades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derecha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3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CODIFICACIÓN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color w:val="FFFFFF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introducción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olvidemos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negocian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ésta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verifiquen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ateniendo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estándares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facilita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comprensión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escalabilidad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ayuda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exactamente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sabremos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pequeñas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conseguiremos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comentó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sugiere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dónde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corregidos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ajenos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siempre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versiones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consistente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publicar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exclusiva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modelo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implicados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cualquiera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subirla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suyos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riesgo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siempre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afirma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terminados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haga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haga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aunque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añadan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incrementen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plantea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Release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</w:t>
      </w:r>
      <w:r>
        <w:rPr>
          <w:rFonts w:ascii="Arial" w:eastAsia="Arial" w:hAnsi="Arial" w:cs="Arial"/>
          <w:sz w:val="24"/>
          <w:szCs w:val="24"/>
          <w:rtl w:val="0"/>
        </w:rPr>
        <w:t xml:space="preserve">"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velocidad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seguimos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aconseja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Nuestros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obtendremos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procurando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codificar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pensando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4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ª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FASE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PRUEBAS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25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pilares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vayamos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implementando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X</w:t>
      </w:r>
      <w:r>
        <w:rPr>
          <w:rFonts w:ascii="Arial" w:eastAsia="Arial" w:hAnsi="Arial" w:cs="Arial"/>
          <w:sz w:val="24"/>
          <w:szCs w:val="24"/>
          <w:rtl w:val="0"/>
        </w:rPr>
        <w:t>.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siguiente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entorno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someter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omitiendo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métodos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triviales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implementarlos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explicó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tengan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ninguna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evaluará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abstrayéndose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aseguraremos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comentó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acompañados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Ningún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repositorio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pasado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aseguramos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colectivo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explicado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apartado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</w:t>
      </w:r>
      <w:r>
        <w:rPr>
          <w:rFonts w:ascii="Arial" w:eastAsia="Arial" w:hAnsi="Arial" w:cs="Arial"/>
          <w:sz w:val="24"/>
          <w:szCs w:val="24"/>
          <w:rtl w:val="0"/>
        </w:rPr>
        <w:t xml:space="preserve">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observar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refactorización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verificar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código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porqué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cambiar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sirven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dividida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asegurar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determinada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crear</w:t>
      </w:r>
      <w:r>
        <w:rPr>
          <w:rFonts w:ascii="Arial" w:eastAsia="Arial" w:hAnsi="Arial" w:cs="Arial"/>
          <w:sz w:val="24"/>
          <w:szCs w:val="24"/>
          <w:rtl w:val="0"/>
        </w:rPr>
        <w:t xml:space="preserve"> "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aceptación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";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creados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comprobar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cometido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demasiado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extensas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test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analicen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requisitos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5.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Y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RECURSOS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Baizán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7),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intervención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alcanzar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máximo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concreción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especificidad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configura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161),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materiales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;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proveerse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materiales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insumos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materia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humanos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investigadores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asesores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aquellas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instituciones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momento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1.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igual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ejecutadas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2.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34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0" w:right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5.1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CUADRO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Y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RECURSOS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desglosan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respectivas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cumplen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lograr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firstLine="28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Objetivo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general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66"/>
        <w:gridCol w:w="2066"/>
        <w:gridCol w:w="2066"/>
        <w:gridCol w:w="2066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OBJETIVOS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ESPECIFICOS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FASES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ACTIVIDADES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RECURSOS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Describir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proceso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gestión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nutricional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actual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pacientes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centro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endocrino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metabólicas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FASE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: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PLANIFICACIÓN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Definir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las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historias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usuario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plan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publicaciones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Release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planning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Dividir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iteraciones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Estimar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velocidad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proyecto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Reuniones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diarias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desarrolladores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Programación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pareja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Reunión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desarrolladores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.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Prioridad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las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historias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usuario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Definir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las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tareas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Historias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usuario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Desarrolladores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Determinar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los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requerimientos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funcionales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para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desarrollo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sistema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propuesto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FASE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II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DISEÑO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Conseguir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diseños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simples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sencillos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Utilizar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glosario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términos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Reducir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riesgos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fallas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Refactorizar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.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Realizar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tarjetas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Nombres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métodos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clases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Desarrolladores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creado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Clases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objetos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sistema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Diseñar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lógica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físicamente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sistema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acuerdo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los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requerimientos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preestablecidos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FASE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III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CODIFICACIÓN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Codificar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mediante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estándares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pruebas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funcionamiento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repositorio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.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Utilizar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modelo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desarrollo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colectivo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Optimizar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Estándares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Objetivos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implementados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correjidos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Repositorio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.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Demostrar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la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funcionalidad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sistema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desarrollado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utilizando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las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pruebas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respectivas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FASE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>IV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 w:val="0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PRUEBAS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aplicaciones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prueba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Probar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las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clases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sistema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Crear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prueba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aceptación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Parametros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Aplicación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prueba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Repositorio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código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20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Historia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usuario</w:t>
            </w:r>
            <w:r>
              <w:rPr>
                <w:rFonts w:ascii="Arial" w:eastAsia="Arial" w:hAnsi="Arial" w:cs="Arial"/>
                <w:sz w:val="24"/>
                <w:szCs w:val="24"/>
                <w:rtl w:val="0"/>
              </w:rPr>
              <w:t>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Fuente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Chavez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Ordoñez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Saavedra</w:t>
      </w:r>
      <w:r>
        <w:rPr>
          <w:rFonts w:ascii="Arial" w:eastAsia="Arial" w:hAnsi="Arial" w:cs="Arial"/>
          <w:sz w:val="24"/>
          <w:szCs w:val="24"/>
          <w:rtl w:val="0"/>
        </w:rPr>
        <w:t xml:space="preserve"> (2012).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5.2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CRONOGRAMA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ACTIVIDADES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Nava</w:t>
      </w:r>
      <w:r>
        <w:rPr>
          <w:rFonts w:ascii="Arial" w:eastAsia="Arial" w:hAnsi="Arial" w:cs="Arial"/>
          <w:sz w:val="24"/>
          <w:szCs w:val="24"/>
          <w:rtl w:val="0"/>
        </w:rPr>
        <w:t xml:space="preserve"> (2002, </w:t>
      </w:r>
      <w:r>
        <w:rPr>
          <w:rFonts w:ascii="Arial" w:eastAsia="Arial" w:hAnsi="Arial" w:cs="Arial"/>
          <w:sz w:val="24"/>
          <w:szCs w:val="24"/>
          <w:rtl w:val="0"/>
        </w:rPr>
        <w:t>p</w:t>
      </w:r>
      <w:r>
        <w:rPr>
          <w:rFonts w:ascii="Arial" w:eastAsia="Arial" w:hAnsi="Arial" w:cs="Arial"/>
          <w:sz w:val="24"/>
          <w:szCs w:val="24"/>
          <w:rtl w:val="0"/>
        </w:rPr>
        <w:t xml:space="preserve">. 162),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cronograma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planificación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construye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ordenada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secuencialmente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criterio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aspectos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muestran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2.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(</w:t>
      </w:r>
      <w:r>
        <w:rPr>
          <w:rFonts w:ascii="Arial" w:eastAsia="Arial" w:hAnsi="Arial" w:cs="Arial"/>
          <w:sz w:val="24"/>
          <w:szCs w:val="24"/>
          <w:rtl w:val="0"/>
        </w:rPr>
        <w:t>INSERTAR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CUADRO</w:t>
      </w:r>
      <w:r>
        <w:rPr>
          <w:rFonts w:ascii="Arial" w:eastAsia="Arial" w:hAnsi="Arial" w:cs="Arial"/>
          <w:sz w:val="24"/>
          <w:szCs w:val="24"/>
          <w:rtl w:val="0"/>
        </w:rPr>
        <w:t xml:space="preserve"> 5.2)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6.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Y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MATERIALES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informáticos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DJANGO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PYTHON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MySQL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APACHE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SUBLIME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TEXT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GOOGLE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DRIVE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GITHUB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TEAM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SPEAK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Según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materiales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máquinas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herramientas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clase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desempeño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ejercicio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profesión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COMPUTADOR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SERVIDOR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IMPRESORA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INFRAESTRUCTURA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48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CONECTIVIDAD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jc w:val="left"/>
        <w:rPr>
          <w:rFonts w:ascii="Arial" w:eastAsia="Arial" w:hAnsi="Arial" w:cs="Arial"/>
          <w:sz w:val="24"/>
          <w:szCs w:val="24"/>
        </w:rPr>
      </w:pPr>
    </w:p>
    <w:sectPr>
      <w:headerReference w:type="default" r:id="rId5"/>
      <w:pgSz w:w="12240" w:h="15840"/>
      <w:pgMar w:top="1701" w:right="1710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2-09-08T18:08:53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José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David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Ordoñez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revisar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nuevo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Diana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Chávez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gut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="240" w:lineRule="auto"/>
      <w:jc w:val="right"/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0" w:line="480" w:lineRule="auto"/>
      <w:ind w:firstLine="345"/>
      <w:jc w:val="both"/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="24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="240" w:lineRule="auto"/>
      <w:jc w:val="center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header" Target="head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