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83" w:rsidRPr="004E6FB3" w:rsidRDefault="00C14A83" w:rsidP="00C14A83">
      <w:pPr>
        <w:jc w:val="both"/>
        <w:rPr>
          <w:b/>
          <w:color w:val="548DD4" w:themeColor="text2" w:themeTint="99"/>
          <w:sz w:val="24"/>
        </w:rPr>
      </w:pPr>
      <w:r w:rsidRPr="004E6FB3">
        <w:rPr>
          <w:b/>
          <w:color w:val="548DD4" w:themeColor="text2" w:themeTint="99"/>
          <w:sz w:val="24"/>
        </w:rPr>
        <w:t>ESQUEMA DE RESPALDO</w:t>
      </w:r>
    </w:p>
    <w:p w:rsidR="00B06813" w:rsidRPr="00C14A83" w:rsidRDefault="00C14A83" w:rsidP="00C14A83">
      <w:pPr>
        <w:ind w:firstLine="708"/>
        <w:jc w:val="both"/>
        <w:rPr>
          <w:sz w:val="24"/>
        </w:rPr>
      </w:pPr>
      <w:r w:rsidRPr="00C14A83">
        <w:rPr>
          <w:sz w:val="24"/>
        </w:rPr>
        <w:t>En el desarrollo de este proyecto, hemos encontrad</w:t>
      </w:r>
      <w:r w:rsidR="00055903">
        <w:rPr>
          <w:sz w:val="24"/>
        </w:rPr>
        <w:t>o</w:t>
      </w:r>
      <w:r w:rsidRPr="00C14A83">
        <w:rPr>
          <w:sz w:val="24"/>
        </w:rPr>
        <w:t xml:space="preserve"> en muchas ocasiones que los errores o fallas en la ejecución se encuentran principalmente en el texto donde se hacen las consultas a la base datos, es decir las sentencias que se envían por medio de la conexión en cadenas de texto. Por lo cual </w:t>
      </w:r>
      <w:bookmarkStart w:id="0" w:name="_GoBack"/>
      <w:bookmarkEnd w:id="0"/>
      <w:r w:rsidRPr="00C14A83">
        <w:rPr>
          <w:sz w:val="24"/>
        </w:rPr>
        <w:t xml:space="preserve">sería de gran utilidad para respaldar la información guardar las sentencias con cada transacción que se realice de modo que si ocurre un error o problema, haya un lugar donde buscar las últimas sentencias que fueron ejecutadas durante la transacción. </w:t>
      </w:r>
    </w:p>
    <w:p w:rsidR="00C14A83" w:rsidRDefault="00C14A83" w:rsidP="00C14A83">
      <w:pPr>
        <w:ind w:firstLine="708"/>
        <w:jc w:val="both"/>
        <w:rPr>
          <w:sz w:val="24"/>
        </w:rPr>
      </w:pPr>
      <w:r>
        <w:rPr>
          <w:sz w:val="24"/>
        </w:rPr>
        <w:t>Para lograr este objetivo, sería conveniente que cuando se esté diseñando la transacción, se cumplan los siguientes pasos:</w:t>
      </w:r>
    </w:p>
    <w:p w:rsidR="00C14A83" w:rsidRDefault="00C14A83" w:rsidP="00C14A8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Establecer puntos de recuperación o “</w:t>
      </w:r>
      <w:r w:rsidR="00055903">
        <w:rPr>
          <w:sz w:val="24"/>
        </w:rPr>
        <w:t>Save P</w:t>
      </w:r>
      <w:r>
        <w:rPr>
          <w:sz w:val="24"/>
        </w:rPr>
        <w:t>oints” como se conocen comúnmente, en lugares estratégicos, de modo que la transacción general esté dividida en sub</w:t>
      </w:r>
      <w:r w:rsidR="00055903">
        <w:rPr>
          <w:sz w:val="24"/>
        </w:rPr>
        <w:t xml:space="preserve"> </w:t>
      </w:r>
      <w:r>
        <w:rPr>
          <w:sz w:val="24"/>
        </w:rPr>
        <w:t>transacciones que se puedan anidar al final con la instrucción “Commit”.</w:t>
      </w:r>
    </w:p>
    <w:p w:rsidR="00C14A83" w:rsidRDefault="00055903" w:rsidP="00C14A8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Cada vez que el sistema haya ejecutado las sentencias hasta un “Save Point”, es conveniente que éstas sean enviadas e impresas en un archivo de texto plano y que se marque el </w:t>
      </w:r>
      <w:r w:rsidR="004E6FB3">
        <w:rPr>
          <w:sz w:val="24"/>
        </w:rPr>
        <w:t>punto de recuperación dentro de</w:t>
      </w:r>
      <w:r>
        <w:rPr>
          <w:sz w:val="24"/>
        </w:rPr>
        <w:t xml:space="preserve"> éste. </w:t>
      </w:r>
    </w:p>
    <w:p w:rsidR="00055903" w:rsidRDefault="00055903" w:rsidP="00C14A8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También, es necesario que cada vez que se realice una transacción, al principio se debería establecer que el “Commit” automático esté apagado para que no se ejecuten las sentencias instantáneamente y se pueda hacer uso del “Rollback”.</w:t>
      </w:r>
    </w:p>
    <w:p w:rsidR="00055903" w:rsidRDefault="00055903" w:rsidP="00C14A8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Después de cierta cantidad significativa de transacciones, sería útil crear un nuevo archivo, de manera que si hay una falla en el anterior, no perjudique las transacciones actuales.</w:t>
      </w:r>
    </w:p>
    <w:p w:rsidR="00055903" w:rsidRDefault="00055903" w:rsidP="00C14A8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Finalmente, para que exista un respaldo de estos archivos de texto plano, sería apropiado tener estos archivos en otro lugar de</w:t>
      </w:r>
      <w:r w:rsidR="004E6FB3">
        <w:rPr>
          <w:sz w:val="24"/>
        </w:rPr>
        <w:t xml:space="preserve"> almacenamiento que no fuera  la misma memoria </w:t>
      </w:r>
      <w:r>
        <w:rPr>
          <w:sz w:val="24"/>
        </w:rPr>
        <w:t xml:space="preserve">donde se hacen las transacciones. Podría ser almacenamiento virtual, específicamente en una nube privada de archivos. </w:t>
      </w:r>
    </w:p>
    <w:p w:rsidR="004E6FB3" w:rsidRDefault="004E6FB3" w:rsidP="004E6FB3">
      <w:pPr>
        <w:pStyle w:val="Prrafodelista"/>
        <w:jc w:val="both"/>
        <w:rPr>
          <w:sz w:val="24"/>
        </w:rPr>
      </w:pPr>
    </w:p>
    <w:p w:rsidR="004E6FB3" w:rsidRDefault="004E6FB3" w:rsidP="004E6FB3">
      <w:pPr>
        <w:pStyle w:val="Prrafodelista"/>
        <w:jc w:val="both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>
            <wp:extent cx="5972175" cy="1504950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55903" w:rsidRDefault="00055903" w:rsidP="004E6FB3">
      <w:pPr>
        <w:ind w:firstLine="360"/>
        <w:jc w:val="both"/>
        <w:rPr>
          <w:sz w:val="24"/>
        </w:rPr>
      </w:pPr>
      <w:r>
        <w:rPr>
          <w:sz w:val="24"/>
        </w:rPr>
        <w:t>Si bien es cierto que imprimir texto en un archivo como esquema de respaldo es trivial, los programadores tienden a cometer errores que son fáciles de visualizar mientras que haya código, no solo mensajes de error. Además en caso de que haya una falla en la memoria o en la infraestructura, se podría tomar las sentencias que no se ejecutaron y volverlas a ejecutar.</w:t>
      </w:r>
    </w:p>
    <w:p w:rsidR="004E6FB3" w:rsidRPr="00055903" w:rsidRDefault="004E6FB3" w:rsidP="004E6FB3">
      <w:pPr>
        <w:ind w:firstLine="360"/>
        <w:jc w:val="both"/>
        <w:rPr>
          <w:sz w:val="24"/>
        </w:rPr>
      </w:pPr>
    </w:p>
    <w:sectPr w:rsidR="004E6FB3" w:rsidRPr="00055903" w:rsidSect="004E6FB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34F2E"/>
    <w:multiLevelType w:val="hybridMultilevel"/>
    <w:tmpl w:val="277E8088"/>
    <w:lvl w:ilvl="0" w:tplc="59686032">
      <w:start w:val="1"/>
      <w:numFmt w:val="decimal"/>
      <w:lvlText w:val="%1."/>
      <w:lvlJc w:val="left"/>
      <w:pPr>
        <w:ind w:left="643" w:hanging="360"/>
      </w:pPr>
      <w:rPr>
        <w:color w:val="548DD4" w:themeColor="text2" w:themeTint="99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83"/>
    <w:rsid w:val="00055903"/>
    <w:rsid w:val="004E6FB3"/>
    <w:rsid w:val="00B06813"/>
    <w:rsid w:val="00C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F0F2B9-871B-42B8-8D6A-425FE2C31A96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3AC2FCD2-43CE-403E-B1DC-35E7BEC087BD}">
      <dgm:prSet phldrT="[Texto]"/>
      <dgm:spPr/>
      <dgm:t>
        <a:bodyPr/>
        <a:lstStyle/>
        <a:p>
          <a:r>
            <a:rPr lang="es-CO"/>
            <a:t>1.</a:t>
          </a:r>
        </a:p>
        <a:p>
          <a:r>
            <a:rPr lang="es-CO"/>
            <a:t>Save Points</a:t>
          </a:r>
        </a:p>
      </dgm:t>
    </dgm:pt>
    <dgm:pt modelId="{05862583-57AE-4C3F-B298-CF02DD8E1D6E}" type="parTrans" cxnId="{A6B242BA-E6C1-48D5-9C66-FF5B568ACB95}">
      <dgm:prSet/>
      <dgm:spPr/>
      <dgm:t>
        <a:bodyPr/>
        <a:lstStyle/>
        <a:p>
          <a:endParaRPr lang="es-CO"/>
        </a:p>
      </dgm:t>
    </dgm:pt>
    <dgm:pt modelId="{F5DFB8D6-0E64-4247-A211-E92868360ADE}" type="sibTrans" cxnId="{A6B242BA-E6C1-48D5-9C66-FF5B568ACB95}">
      <dgm:prSet/>
      <dgm:spPr/>
      <dgm:t>
        <a:bodyPr/>
        <a:lstStyle/>
        <a:p>
          <a:endParaRPr lang="es-CO"/>
        </a:p>
      </dgm:t>
    </dgm:pt>
    <dgm:pt modelId="{AF91824A-FF4A-47E2-8E10-C74D89964717}">
      <dgm:prSet phldrT="[Texto]"/>
      <dgm:spPr/>
      <dgm:t>
        <a:bodyPr/>
        <a:lstStyle/>
        <a:p>
          <a:r>
            <a:rPr lang="es-CO"/>
            <a:t>2.</a:t>
          </a:r>
        </a:p>
        <a:p>
          <a:r>
            <a:rPr lang="es-CO"/>
            <a:t>Sentencias en texto plano</a:t>
          </a:r>
        </a:p>
      </dgm:t>
    </dgm:pt>
    <dgm:pt modelId="{D6601CC2-D933-4F5C-A9B6-5CE68C7F471F}" type="parTrans" cxnId="{40C52D1E-9ECC-4E54-A4B2-C54AD556B88C}">
      <dgm:prSet/>
      <dgm:spPr/>
      <dgm:t>
        <a:bodyPr/>
        <a:lstStyle/>
        <a:p>
          <a:endParaRPr lang="es-CO"/>
        </a:p>
      </dgm:t>
    </dgm:pt>
    <dgm:pt modelId="{50DA1DC6-4BD2-4413-91C7-D0255F09B304}" type="sibTrans" cxnId="{40C52D1E-9ECC-4E54-A4B2-C54AD556B88C}">
      <dgm:prSet/>
      <dgm:spPr/>
      <dgm:t>
        <a:bodyPr/>
        <a:lstStyle/>
        <a:p>
          <a:endParaRPr lang="es-CO"/>
        </a:p>
      </dgm:t>
    </dgm:pt>
    <dgm:pt modelId="{4D009F44-AF9A-498F-8178-AB266AF8BECE}">
      <dgm:prSet phldrT="[Texto]"/>
      <dgm:spPr/>
      <dgm:t>
        <a:bodyPr/>
        <a:lstStyle/>
        <a:p>
          <a:r>
            <a:rPr lang="es-CO"/>
            <a:t>3.</a:t>
          </a:r>
        </a:p>
        <a:p>
          <a:r>
            <a:rPr lang="es-CO"/>
            <a:t>Commit &amp; Rollback	</a:t>
          </a:r>
        </a:p>
      </dgm:t>
    </dgm:pt>
    <dgm:pt modelId="{AEF57238-7C8F-4D41-B13A-60D9F9F96B1C}" type="parTrans" cxnId="{C65C646E-F9D0-41CC-BC52-781F5BD59F26}">
      <dgm:prSet/>
      <dgm:spPr/>
      <dgm:t>
        <a:bodyPr/>
        <a:lstStyle/>
        <a:p>
          <a:endParaRPr lang="es-CO"/>
        </a:p>
      </dgm:t>
    </dgm:pt>
    <dgm:pt modelId="{1C9219BD-FA10-4D69-A2CE-CD166C75E72D}" type="sibTrans" cxnId="{C65C646E-F9D0-41CC-BC52-781F5BD59F26}">
      <dgm:prSet/>
      <dgm:spPr/>
      <dgm:t>
        <a:bodyPr/>
        <a:lstStyle/>
        <a:p>
          <a:endParaRPr lang="es-CO"/>
        </a:p>
      </dgm:t>
    </dgm:pt>
    <dgm:pt modelId="{C7C0ADD1-9643-450E-AAAE-732A2A52AFEE}">
      <dgm:prSet/>
      <dgm:spPr/>
      <dgm:t>
        <a:bodyPr/>
        <a:lstStyle/>
        <a:p>
          <a:r>
            <a:rPr lang="es-CO"/>
            <a:t>4.</a:t>
          </a:r>
        </a:p>
        <a:p>
          <a:r>
            <a:rPr lang="es-CO"/>
            <a:t>Nuevo archivo de texto</a:t>
          </a:r>
        </a:p>
      </dgm:t>
    </dgm:pt>
    <dgm:pt modelId="{485F75EE-3B80-4385-B2B0-95A560633B80}" type="parTrans" cxnId="{6EAF3671-6E06-4654-8199-1BA91B46BDE5}">
      <dgm:prSet/>
      <dgm:spPr/>
      <dgm:t>
        <a:bodyPr/>
        <a:lstStyle/>
        <a:p>
          <a:endParaRPr lang="es-CO"/>
        </a:p>
      </dgm:t>
    </dgm:pt>
    <dgm:pt modelId="{BCFEF433-1B97-4541-A7CA-EABD6BD8EEB1}" type="sibTrans" cxnId="{6EAF3671-6E06-4654-8199-1BA91B46BDE5}">
      <dgm:prSet/>
      <dgm:spPr/>
      <dgm:t>
        <a:bodyPr/>
        <a:lstStyle/>
        <a:p>
          <a:endParaRPr lang="es-CO"/>
        </a:p>
      </dgm:t>
    </dgm:pt>
    <dgm:pt modelId="{39854937-B128-4C65-9BA6-4A6BD7355136}">
      <dgm:prSet/>
      <dgm:spPr/>
      <dgm:t>
        <a:bodyPr/>
        <a:lstStyle/>
        <a:p>
          <a:r>
            <a:rPr lang="es-CO"/>
            <a:t>5. </a:t>
          </a:r>
        </a:p>
        <a:p>
          <a:r>
            <a:rPr lang="es-CO"/>
            <a:t>Alamcenamiento virtual</a:t>
          </a:r>
        </a:p>
      </dgm:t>
    </dgm:pt>
    <dgm:pt modelId="{DF47C61B-BBE8-4A6B-AA77-C2F79BE8760C}" type="parTrans" cxnId="{4D7A3277-B3A2-422C-B51F-49D1AC34A3F1}">
      <dgm:prSet/>
      <dgm:spPr/>
      <dgm:t>
        <a:bodyPr/>
        <a:lstStyle/>
        <a:p>
          <a:endParaRPr lang="es-CO"/>
        </a:p>
      </dgm:t>
    </dgm:pt>
    <dgm:pt modelId="{DEA83292-5297-475D-B879-E43F5D2355C2}" type="sibTrans" cxnId="{4D7A3277-B3A2-422C-B51F-49D1AC34A3F1}">
      <dgm:prSet/>
      <dgm:spPr/>
      <dgm:t>
        <a:bodyPr/>
        <a:lstStyle/>
        <a:p>
          <a:endParaRPr lang="es-CO"/>
        </a:p>
      </dgm:t>
    </dgm:pt>
    <dgm:pt modelId="{B9A0990E-18F3-4BB9-B989-9CBB47B0FF18}" type="pres">
      <dgm:prSet presAssocID="{87F0F2B9-871B-42B8-8D6A-425FE2C31A96}" presName="Name0" presStyleCnt="0">
        <dgm:presLayoutVars>
          <dgm:chMax val="7"/>
          <dgm:dir/>
          <dgm:animOne val="branch"/>
        </dgm:presLayoutVars>
      </dgm:prSet>
      <dgm:spPr/>
    </dgm:pt>
    <dgm:pt modelId="{1F862EE7-1D01-4E8D-9866-79DB2AAFC1C4}" type="pres">
      <dgm:prSet presAssocID="{3AC2FCD2-43CE-403E-B1DC-35E7BEC087BD}" presName="parTx1" presStyleLbl="node1" presStyleIdx="0" presStyleCnt="5"/>
      <dgm:spPr/>
    </dgm:pt>
    <dgm:pt modelId="{07613264-D18B-4720-B7A4-F2B4C0888B16}" type="pres">
      <dgm:prSet presAssocID="{AF91824A-FF4A-47E2-8E10-C74D89964717}" presName="parTx2" presStyleLbl="node1" presStyleIdx="1" presStyleCnt="5"/>
      <dgm:spPr/>
    </dgm:pt>
    <dgm:pt modelId="{9BDF1D00-4A9B-46B6-9023-9DBF6ACC4B80}" type="pres">
      <dgm:prSet presAssocID="{4D009F44-AF9A-498F-8178-AB266AF8BECE}" presName="parTx3" presStyleLbl="node1" presStyleIdx="2" presStyleCnt="5"/>
      <dgm:spPr/>
    </dgm:pt>
    <dgm:pt modelId="{ABCCDA08-9EDC-467E-8E57-B9856F6E0623}" type="pres">
      <dgm:prSet presAssocID="{C7C0ADD1-9643-450E-AAAE-732A2A52AFEE}" presName="parTx4" presStyleLbl="node1" presStyleIdx="3" presStyleCnt="5"/>
      <dgm:spPr/>
    </dgm:pt>
    <dgm:pt modelId="{3E9BDAB0-18C2-4221-9A0E-DC222AE195A3}" type="pres">
      <dgm:prSet presAssocID="{39854937-B128-4C65-9BA6-4A6BD7355136}" presName="parTx5" presStyleLbl="node1" presStyleIdx="4" presStyleCnt="5"/>
      <dgm:spPr/>
    </dgm:pt>
  </dgm:ptLst>
  <dgm:cxnLst>
    <dgm:cxn modelId="{CF429A76-99B8-41D0-AA3E-248CA4532EB6}" type="presOf" srcId="{C7C0ADD1-9643-450E-AAAE-732A2A52AFEE}" destId="{ABCCDA08-9EDC-467E-8E57-B9856F6E0623}" srcOrd="0" destOrd="0" presId="urn:microsoft.com/office/officeart/2009/3/layout/SubStepProcess"/>
    <dgm:cxn modelId="{40C52D1E-9ECC-4E54-A4B2-C54AD556B88C}" srcId="{87F0F2B9-871B-42B8-8D6A-425FE2C31A96}" destId="{AF91824A-FF4A-47E2-8E10-C74D89964717}" srcOrd="1" destOrd="0" parTransId="{D6601CC2-D933-4F5C-A9B6-5CE68C7F471F}" sibTransId="{50DA1DC6-4BD2-4413-91C7-D0255F09B304}"/>
    <dgm:cxn modelId="{6EAF3671-6E06-4654-8199-1BA91B46BDE5}" srcId="{87F0F2B9-871B-42B8-8D6A-425FE2C31A96}" destId="{C7C0ADD1-9643-450E-AAAE-732A2A52AFEE}" srcOrd="3" destOrd="0" parTransId="{485F75EE-3B80-4385-B2B0-95A560633B80}" sibTransId="{BCFEF433-1B97-4541-A7CA-EABD6BD8EEB1}"/>
    <dgm:cxn modelId="{C65C646E-F9D0-41CC-BC52-781F5BD59F26}" srcId="{87F0F2B9-871B-42B8-8D6A-425FE2C31A96}" destId="{4D009F44-AF9A-498F-8178-AB266AF8BECE}" srcOrd="2" destOrd="0" parTransId="{AEF57238-7C8F-4D41-B13A-60D9F9F96B1C}" sibTransId="{1C9219BD-FA10-4D69-A2CE-CD166C75E72D}"/>
    <dgm:cxn modelId="{97659743-0EA6-490C-A045-0F8E273FADD9}" type="presOf" srcId="{3AC2FCD2-43CE-403E-B1DC-35E7BEC087BD}" destId="{1F862EE7-1D01-4E8D-9866-79DB2AAFC1C4}" srcOrd="0" destOrd="0" presId="urn:microsoft.com/office/officeart/2009/3/layout/SubStepProcess"/>
    <dgm:cxn modelId="{4ECC67C4-F8C1-4D54-8B7E-4CB400A09902}" type="presOf" srcId="{87F0F2B9-871B-42B8-8D6A-425FE2C31A96}" destId="{B9A0990E-18F3-4BB9-B989-9CBB47B0FF18}" srcOrd="0" destOrd="0" presId="urn:microsoft.com/office/officeart/2009/3/layout/SubStepProcess"/>
    <dgm:cxn modelId="{5A8A7949-DBEF-471B-905C-B690EB046D6E}" type="presOf" srcId="{AF91824A-FF4A-47E2-8E10-C74D89964717}" destId="{07613264-D18B-4720-B7A4-F2B4C0888B16}" srcOrd="0" destOrd="0" presId="urn:microsoft.com/office/officeart/2009/3/layout/SubStepProcess"/>
    <dgm:cxn modelId="{A36109EF-CBBD-4CD2-AEA0-ED2BB075D8A7}" type="presOf" srcId="{39854937-B128-4C65-9BA6-4A6BD7355136}" destId="{3E9BDAB0-18C2-4221-9A0E-DC222AE195A3}" srcOrd="0" destOrd="0" presId="urn:microsoft.com/office/officeart/2009/3/layout/SubStepProcess"/>
    <dgm:cxn modelId="{4D7A3277-B3A2-422C-B51F-49D1AC34A3F1}" srcId="{87F0F2B9-871B-42B8-8D6A-425FE2C31A96}" destId="{39854937-B128-4C65-9BA6-4A6BD7355136}" srcOrd="4" destOrd="0" parTransId="{DF47C61B-BBE8-4A6B-AA77-C2F79BE8760C}" sibTransId="{DEA83292-5297-475D-B879-E43F5D2355C2}"/>
    <dgm:cxn modelId="{0462478C-D247-4973-9EA0-E3EF718BAA03}" type="presOf" srcId="{4D009F44-AF9A-498F-8178-AB266AF8BECE}" destId="{9BDF1D00-4A9B-46B6-9023-9DBF6ACC4B80}" srcOrd="0" destOrd="0" presId="urn:microsoft.com/office/officeart/2009/3/layout/SubStepProcess"/>
    <dgm:cxn modelId="{A6B242BA-E6C1-48D5-9C66-FF5B568ACB95}" srcId="{87F0F2B9-871B-42B8-8D6A-425FE2C31A96}" destId="{3AC2FCD2-43CE-403E-B1DC-35E7BEC087BD}" srcOrd="0" destOrd="0" parTransId="{05862583-57AE-4C3F-B298-CF02DD8E1D6E}" sibTransId="{F5DFB8D6-0E64-4247-A211-E92868360ADE}"/>
    <dgm:cxn modelId="{20FA1148-0FBB-4521-8774-878BCB12701A}" type="presParOf" srcId="{B9A0990E-18F3-4BB9-B989-9CBB47B0FF18}" destId="{1F862EE7-1D01-4E8D-9866-79DB2AAFC1C4}" srcOrd="0" destOrd="0" presId="urn:microsoft.com/office/officeart/2009/3/layout/SubStepProcess"/>
    <dgm:cxn modelId="{30A9D362-4165-4CBD-8FE5-7167AC1D2EFD}" type="presParOf" srcId="{B9A0990E-18F3-4BB9-B989-9CBB47B0FF18}" destId="{07613264-D18B-4720-B7A4-F2B4C0888B16}" srcOrd="1" destOrd="0" presId="urn:microsoft.com/office/officeart/2009/3/layout/SubStepProcess"/>
    <dgm:cxn modelId="{3D158A51-4DA6-4D69-84DB-7FA764E23160}" type="presParOf" srcId="{B9A0990E-18F3-4BB9-B989-9CBB47B0FF18}" destId="{9BDF1D00-4A9B-46B6-9023-9DBF6ACC4B80}" srcOrd="2" destOrd="0" presId="urn:microsoft.com/office/officeart/2009/3/layout/SubStepProcess"/>
    <dgm:cxn modelId="{A87DFF41-DE78-4205-BA5C-C89ECB9DC232}" type="presParOf" srcId="{B9A0990E-18F3-4BB9-B989-9CBB47B0FF18}" destId="{ABCCDA08-9EDC-467E-8E57-B9856F6E0623}" srcOrd="3" destOrd="0" presId="urn:microsoft.com/office/officeart/2009/3/layout/SubStepProcess"/>
    <dgm:cxn modelId="{464832E6-2E35-462C-9E3B-80E3ACBEFE5A}" type="presParOf" srcId="{B9A0990E-18F3-4BB9-B989-9CBB47B0FF18}" destId="{3E9BDAB0-18C2-4221-9A0E-DC222AE195A3}" srcOrd="4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862EE7-1D01-4E8D-9866-79DB2AAFC1C4}">
      <dsp:nvSpPr>
        <dsp:cNvPr id="0" name=""/>
        <dsp:cNvSpPr/>
      </dsp:nvSpPr>
      <dsp:spPr>
        <a:xfrm>
          <a:off x="729" y="155403"/>
          <a:ext cx="1194143" cy="119414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1.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Save Points</a:t>
          </a:r>
        </a:p>
      </dsp:txBody>
      <dsp:txXfrm>
        <a:off x="175607" y="330281"/>
        <a:ext cx="844387" cy="844387"/>
      </dsp:txXfrm>
    </dsp:sp>
    <dsp:sp modelId="{07613264-D18B-4720-B7A4-F2B4C0888B16}">
      <dsp:nvSpPr>
        <dsp:cNvPr id="0" name=""/>
        <dsp:cNvSpPr/>
      </dsp:nvSpPr>
      <dsp:spPr>
        <a:xfrm>
          <a:off x="1194872" y="155403"/>
          <a:ext cx="1194143" cy="1194143"/>
        </a:xfrm>
        <a:prstGeom prst="ellipse">
          <a:avLst/>
        </a:prstGeom>
        <a:solidFill>
          <a:schemeClr val="accent4">
            <a:hueOff val="-1116192"/>
            <a:satOff val="6725"/>
            <a:lumOff val="53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2.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Sentencias en texto plano</a:t>
          </a:r>
        </a:p>
      </dsp:txBody>
      <dsp:txXfrm>
        <a:off x="1369750" y="330281"/>
        <a:ext cx="844387" cy="844387"/>
      </dsp:txXfrm>
    </dsp:sp>
    <dsp:sp modelId="{9BDF1D00-4A9B-46B6-9023-9DBF6ACC4B80}">
      <dsp:nvSpPr>
        <dsp:cNvPr id="0" name=""/>
        <dsp:cNvSpPr/>
      </dsp:nvSpPr>
      <dsp:spPr>
        <a:xfrm>
          <a:off x="2389015" y="155403"/>
          <a:ext cx="1194143" cy="1194143"/>
        </a:xfrm>
        <a:prstGeom prst="ellipse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3.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Commit &amp; Rollback	</a:t>
          </a:r>
        </a:p>
      </dsp:txBody>
      <dsp:txXfrm>
        <a:off x="2563893" y="330281"/>
        <a:ext cx="844387" cy="844387"/>
      </dsp:txXfrm>
    </dsp:sp>
    <dsp:sp modelId="{ABCCDA08-9EDC-467E-8E57-B9856F6E0623}">
      <dsp:nvSpPr>
        <dsp:cNvPr id="0" name=""/>
        <dsp:cNvSpPr/>
      </dsp:nvSpPr>
      <dsp:spPr>
        <a:xfrm>
          <a:off x="3583159" y="155403"/>
          <a:ext cx="1194143" cy="1194143"/>
        </a:xfrm>
        <a:prstGeom prst="ellipse">
          <a:avLst/>
        </a:prstGeom>
        <a:solidFill>
          <a:schemeClr val="accent4">
            <a:hueOff val="-3348577"/>
            <a:satOff val="20174"/>
            <a:lumOff val="161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4.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Nuevo archivo de texto</a:t>
          </a:r>
        </a:p>
      </dsp:txBody>
      <dsp:txXfrm>
        <a:off x="3758037" y="330281"/>
        <a:ext cx="844387" cy="844387"/>
      </dsp:txXfrm>
    </dsp:sp>
    <dsp:sp modelId="{3E9BDAB0-18C2-4221-9A0E-DC222AE195A3}">
      <dsp:nvSpPr>
        <dsp:cNvPr id="0" name=""/>
        <dsp:cNvSpPr/>
      </dsp:nvSpPr>
      <dsp:spPr>
        <a:xfrm>
          <a:off x="4777302" y="155403"/>
          <a:ext cx="1194143" cy="1194143"/>
        </a:xfrm>
        <a:prstGeom prst="ellipse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5.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Alamcenamiento virtual</a:t>
          </a:r>
        </a:p>
      </dsp:txBody>
      <dsp:txXfrm>
        <a:off x="4952180" y="330281"/>
        <a:ext cx="844387" cy="844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Usuaio</dc:creator>
  <cp:lastModifiedBy>Usuaio</cp:lastModifiedBy>
  <cp:revision>1</cp:revision>
  <dcterms:created xsi:type="dcterms:W3CDTF">2014-10-20T00:02:00Z</dcterms:created>
  <dcterms:modified xsi:type="dcterms:W3CDTF">2014-10-20T00:33:00Z</dcterms:modified>
</cp:coreProperties>
</file>