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C1D" w:rsidRDefault="00552C1D" w:rsidP="00552C1D">
      <w:pPr>
        <w:pStyle w:val="Default"/>
        <w:rPr>
          <w:sz w:val="22"/>
          <w:szCs w:val="22"/>
        </w:rPr>
      </w:pPr>
      <w:r>
        <w:rPr>
          <w:sz w:val="22"/>
          <w:szCs w:val="22"/>
        </w:rPr>
        <w:t xml:space="preserve">Universidad de los Andes </w:t>
      </w:r>
    </w:p>
    <w:p w:rsidR="00552C1D" w:rsidRDefault="00552C1D" w:rsidP="00552C1D">
      <w:pPr>
        <w:pStyle w:val="Default"/>
        <w:rPr>
          <w:sz w:val="22"/>
          <w:szCs w:val="22"/>
        </w:rPr>
      </w:pPr>
      <w:r>
        <w:rPr>
          <w:sz w:val="22"/>
          <w:szCs w:val="22"/>
        </w:rPr>
        <w:t xml:space="preserve">Sistemas Transaccionales </w:t>
      </w:r>
    </w:p>
    <w:p w:rsidR="00552C1D" w:rsidRDefault="00552C1D" w:rsidP="00552C1D">
      <w:pPr>
        <w:pStyle w:val="Default"/>
        <w:rPr>
          <w:sz w:val="22"/>
          <w:szCs w:val="22"/>
        </w:rPr>
      </w:pPr>
      <w:r>
        <w:rPr>
          <w:sz w:val="22"/>
          <w:szCs w:val="22"/>
        </w:rPr>
        <w:t>Mar</w:t>
      </w:r>
      <w:r>
        <w:rPr>
          <w:rFonts w:hint="eastAsia"/>
          <w:sz w:val="22"/>
          <w:szCs w:val="22"/>
        </w:rPr>
        <w:t>í</w:t>
      </w:r>
      <w:r>
        <w:rPr>
          <w:sz w:val="22"/>
          <w:szCs w:val="22"/>
        </w:rPr>
        <w:t>a Paula Mancipe D</w:t>
      </w:r>
      <w:r>
        <w:rPr>
          <w:rFonts w:hint="eastAsia"/>
          <w:sz w:val="22"/>
          <w:szCs w:val="22"/>
        </w:rPr>
        <w:t>í</w:t>
      </w:r>
      <w:r>
        <w:rPr>
          <w:sz w:val="22"/>
          <w:szCs w:val="22"/>
        </w:rPr>
        <w:t xml:space="preserve">az </w:t>
      </w:r>
    </w:p>
    <w:p w:rsidR="00552C1D" w:rsidRDefault="00552C1D" w:rsidP="00552C1D">
      <w:pPr>
        <w:pStyle w:val="Default"/>
        <w:rPr>
          <w:sz w:val="22"/>
          <w:szCs w:val="22"/>
        </w:rPr>
      </w:pPr>
      <w:r>
        <w:rPr>
          <w:sz w:val="22"/>
          <w:szCs w:val="22"/>
        </w:rPr>
        <w:t>Gustavo Adolfo Alegr</w:t>
      </w:r>
      <w:r>
        <w:rPr>
          <w:rFonts w:hint="eastAsia"/>
          <w:sz w:val="22"/>
          <w:szCs w:val="22"/>
        </w:rPr>
        <w:t>í</w:t>
      </w:r>
      <w:r>
        <w:rPr>
          <w:sz w:val="22"/>
          <w:szCs w:val="22"/>
        </w:rPr>
        <w:t>a Z</w:t>
      </w:r>
      <w:r>
        <w:rPr>
          <w:rFonts w:hint="eastAsia"/>
          <w:sz w:val="22"/>
          <w:szCs w:val="22"/>
        </w:rPr>
        <w:t>úñ</w:t>
      </w:r>
      <w:r>
        <w:rPr>
          <w:sz w:val="22"/>
          <w:szCs w:val="22"/>
        </w:rPr>
        <w:t xml:space="preserve">iga </w:t>
      </w:r>
    </w:p>
    <w:p w:rsidR="00552C1D" w:rsidRDefault="00552C1D" w:rsidP="00552C1D">
      <w:pPr>
        <w:pStyle w:val="Default"/>
        <w:rPr>
          <w:sz w:val="22"/>
          <w:szCs w:val="22"/>
        </w:rPr>
      </w:pPr>
      <w:r>
        <w:rPr>
          <w:sz w:val="22"/>
          <w:szCs w:val="22"/>
        </w:rPr>
        <w:t>Iteraci</w:t>
      </w:r>
      <w:r>
        <w:rPr>
          <w:rFonts w:hint="eastAsia"/>
          <w:sz w:val="22"/>
          <w:szCs w:val="22"/>
        </w:rPr>
        <w:t>ó</w:t>
      </w:r>
      <w:r>
        <w:rPr>
          <w:sz w:val="22"/>
          <w:szCs w:val="22"/>
        </w:rPr>
        <w:t>n 3</w:t>
      </w:r>
    </w:p>
    <w:p w:rsidR="00552C1D" w:rsidRDefault="00552C1D" w:rsidP="00552C1D">
      <w:pPr>
        <w:pStyle w:val="Default"/>
        <w:rPr>
          <w:sz w:val="22"/>
          <w:szCs w:val="22"/>
        </w:rPr>
      </w:pPr>
      <w:r>
        <w:rPr>
          <w:sz w:val="22"/>
          <w:szCs w:val="22"/>
        </w:rPr>
        <w:t xml:space="preserve">_____________________________________________________________________________________ </w:t>
      </w:r>
    </w:p>
    <w:p w:rsidR="001746B8" w:rsidRDefault="00552C1D" w:rsidP="00552C1D">
      <w:r>
        <w:t>Lógica de los requerimientos:</w:t>
      </w:r>
    </w:p>
    <w:p w:rsidR="00B940D7" w:rsidRPr="00D03E6F" w:rsidRDefault="00B940D7" w:rsidP="00D03E6F">
      <w:pPr>
        <w:pStyle w:val="Prrafodelista"/>
        <w:numPr>
          <w:ilvl w:val="0"/>
          <w:numId w:val="5"/>
        </w:numPr>
        <w:autoSpaceDE w:val="0"/>
        <w:autoSpaceDN w:val="0"/>
        <w:adjustRightInd w:val="0"/>
        <w:spacing w:after="0" w:line="240" w:lineRule="auto"/>
        <w:jc w:val="both"/>
        <w:rPr>
          <w:rFonts w:ascii="Consolas" w:hAnsi="Consolas" w:cs="Consolas"/>
          <w:color w:val="000000"/>
          <w:sz w:val="20"/>
          <w:szCs w:val="20"/>
        </w:rPr>
      </w:pPr>
      <w:hyperlink r:id="rId6" w:tooltip="Atomicidad" w:history="1">
        <w:r w:rsidRPr="00D03E6F">
          <w:rPr>
            <w:rFonts w:ascii="Arial" w:eastAsia="Times New Roman" w:hAnsi="Arial" w:cs="Arial"/>
            <w:bCs/>
            <w:sz w:val="21"/>
            <w:szCs w:val="21"/>
            <w:lang w:eastAsia="es-CO"/>
          </w:rPr>
          <w:t>Atomicidad</w:t>
        </w:r>
      </w:hyperlink>
      <w:r w:rsidRPr="00D03E6F">
        <w:rPr>
          <w:rFonts w:ascii="Arial" w:eastAsia="Times New Roman" w:hAnsi="Arial" w:cs="Arial"/>
          <w:bCs/>
          <w:sz w:val="21"/>
          <w:szCs w:val="21"/>
          <w:lang w:eastAsia="es-CO"/>
        </w:rPr>
        <w:t xml:space="preserve">: debemos de asegurarnos que cada uno de los requerimientos solicitados cumpla con que se realice exitosamente la operación o no se haga nada, para lo cual hicimos que las transacciones dentro de nuestra base de datos fueran </w:t>
      </w:r>
      <w:proofErr w:type="spellStart"/>
      <w:r w:rsidRPr="00D03E6F">
        <w:rPr>
          <w:rFonts w:ascii="Arial" w:eastAsia="Times New Roman" w:hAnsi="Arial" w:cs="Arial"/>
          <w:bCs/>
          <w:sz w:val="21"/>
          <w:szCs w:val="21"/>
          <w:lang w:eastAsia="es-CO"/>
        </w:rPr>
        <w:t>serializables</w:t>
      </w:r>
      <w:proofErr w:type="spellEnd"/>
      <w:r w:rsidRPr="00D03E6F">
        <w:rPr>
          <w:rFonts w:ascii="Arial" w:eastAsia="Times New Roman" w:hAnsi="Arial" w:cs="Arial"/>
          <w:bCs/>
          <w:sz w:val="21"/>
          <w:szCs w:val="21"/>
          <w:lang w:eastAsia="es-CO"/>
        </w:rPr>
        <w:t xml:space="preserve"> y además desactivamos el </w:t>
      </w:r>
      <w:proofErr w:type="spellStart"/>
      <w:r w:rsidRPr="00D03E6F">
        <w:rPr>
          <w:rFonts w:ascii="Arial" w:eastAsia="Times New Roman" w:hAnsi="Arial" w:cs="Arial"/>
          <w:bCs/>
          <w:sz w:val="21"/>
          <w:szCs w:val="21"/>
          <w:lang w:eastAsia="es-CO"/>
        </w:rPr>
        <w:t>autocommit</w:t>
      </w:r>
      <w:proofErr w:type="spellEnd"/>
      <w:r w:rsidRPr="00D03E6F">
        <w:rPr>
          <w:rFonts w:ascii="Arial" w:eastAsia="Times New Roman" w:hAnsi="Arial" w:cs="Arial"/>
          <w:bCs/>
          <w:sz w:val="21"/>
          <w:szCs w:val="21"/>
          <w:lang w:eastAsia="es-CO"/>
        </w:rPr>
        <w:t xml:space="preserve">, para ello en cada método del DAO usamos los métodos que </w:t>
      </w:r>
      <w:proofErr w:type="spellStart"/>
      <w:r w:rsidRPr="00D03E6F">
        <w:rPr>
          <w:rFonts w:ascii="Consolas" w:hAnsi="Consolas" w:cs="Consolas"/>
          <w:color w:val="0000C0"/>
          <w:sz w:val="20"/>
          <w:szCs w:val="20"/>
        </w:rPr>
        <w:t>conexion</w:t>
      </w:r>
      <w:r w:rsidRPr="00D03E6F">
        <w:rPr>
          <w:rFonts w:ascii="Consolas" w:hAnsi="Consolas" w:cs="Consolas"/>
          <w:color w:val="000000"/>
          <w:sz w:val="20"/>
          <w:szCs w:val="20"/>
        </w:rPr>
        <w:t>.</w:t>
      </w:r>
      <w:r w:rsidRPr="00D03E6F">
        <w:rPr>
          <w:rFonts w:ascii="Consolas" w:hAnsi="Consolas" w:cs="Consolas"/>
          <w:color w:val="000000"/>
          <w:sz w:val="20"/>
          <w:szCs w:val="20"/>
          <w:highlight w:val="lightGray"/>
        </w:rPr>
        <w:t>setAutoCommit</w:t>
      </w:r>
      <w:proofErr w:type="spellEnd"/>
      <w:r w:rsidRPr="00D03E6F">
        <w:rPr>
          <w:rFonts w:ascii="Consolas" w:hAnsi="Consolas" w:cs="Consolas"/>
          <w:color w:val="000000"/>
          <w:sz w:val="20"/>
          <w:szCs w:val="20"/>
        </w:rPr>
        <w:t>(</w:t>
      </w:r>
      <w:r w:rsidRPr="00D03E6F">
        <w:rPr>
          <w:rFonts w:ascii="Consolas" w:hAnsi="Consolas" w:cs="Consolas"/>
          <w:b/>
          <w:bCs/>
          <w:color w:val="7F0055"/>
          <w:sz w:val="20"/>
          <w:szCs w:val="20"/>
        </w:rPr>
        <w:t>false</w:t>
      </w:r>
      <w:r w:rsidRPr="00D03E6F">
        <w:rPr>
          <w:rFonts w:ascii="Consolas" w:hAnsi="Consolas" w:cs="Consolas"/>
          <w:color w:val="000000"/>
          <w:sz w:val="20"/>
          <w:szCs w:val="20"/>
        </w:rPr>
        <w:t>);</w:t>
      </w:r>
    </w:p>
    <w:p w:rsidR="00B940D7" w:rsidRDefault="00D03E6F" w:rsidP="00D03E6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C0"/>
          <w:sz w:val="20"/>
          <w:szCs w:val="20"/>
        </w:rPr>
        <w:tab/>
      </w:r>
      <w:proofErr w:type="gramStart"/>
      <w:r w:rsidR="00B940D7" w:rsidRPr="00B940D7">
        <w:rPr>
          <w:rFonts w:ascii="Consolas" w:hAnsi="Consolas" w:cs="Consolas"/>
          <w:color w:val="0000C0"/>
          <w:sz w:val="20"/>
          <w:szCs w:val="20"/>
        </w:rPr>
        <w:t>conexion</w:t>
      </w:r>
      <w:r w:rsidR="00B940D7" w:rsidRPr="00B940D7">
        <w:rPr>
          <w:rFonts w:ascii="Consolas" w:hAnsi="Consolas" w:cs="Consolas"/>
          <w:color w:val="000000"/>
          <w:sz w:val="20"/>
          <w:szCs w:val="20"/>
        </w:rPr>
        <w:t>.</w:t>
      </w:r>
      <w:r w:rsidR="00B940D7" w:rsidRPr="00B940D7">
        <w:rPr>
          <w:rFonts w:ascii="Consolas" w:hAnsi="Consolas" w:cs="Consolas"/>
          <w:color w:val="000000"/>
          <w:sz w:val="20"/>
          <w:szCs w:val="20"/>
          <w:highlight w:val="lightGray"/>
        </w:rPr>
        <w:t>setTransactionIsolation</w:t>
      </w:r>
      <w:r w:rsidR="00B940D7" w:rsidRPr="00B940D7">
        <w:rPr>
          <w:rFonts w:ascii="Consolas" w:hAnsi="Consolas" w:cs="Consolas"/>
          <w:color w:val="000000"/>
          <w:sz w:val="20"/>
          <w:szCs w:val="20"/>
        </w:rPr>
        <w:t>(</w:t>
      </w:r>
      <w:proofErr w:type="gramEnd"/>
      <w:r w:rsidR="00B940D7" w:rsidRPr="00B940D7">
        <w:rPr>
          <w:rFonts w:ascii="Consolas" w:hAnsi="Consolas" w:cs="Consolas"/>
          <w:color w:val="000000"/>
          <w:sz w:val="20"/>
          <w:szCs w:val="20"/>
        </w:rPr>
        <w:t>Connection.</w:t>
      </w:r>
      <w:r w:rsidR="00B940D7" w:rsidRPr="00B940D7">
        <w:rPr>
          <w:rFonts w:ascii="Consolas" w:hAnsi="Consolas" w:cs="Consolas"/>
          <w:b/>
          <w:bCs/>
          <w:i/>
          <w:iCs/>
          <w:color w:val="0000C0"/>
          <w:sz w:val="20"/>
          <w:szCs w:val="20"/>
        </w:rPr>
        <w:t>TRANSACTION_SERIALIZABLE</w:t>
      </w:r>
      <w:r w:rsidR="00B940D7" w:rsidRPr="00B940D7">
        <w:rPr>
          <w:rFonts w:ascii="Consolas" w:hAnsi="Consolas" w:cs="Consolas"/>
          <w:color w:val="000000"/>
          <w:sz w:val="20"/>
          <w:szCs w:val="20"/>
        </w:rPr>
        <w:t>);</w:t>
      </w:r>
    </w:p>
    <w:p w:rsidR="00B940D7" w:rsidRPr="00B940D7" w:rsidRDefault="00D03E6F" w:rsidP="00D03E6F">
      <w:pPr>
        <w:autoSpaceDE w:val="0"/>
        <w:autoSpaceDN w:val="0"/>
        <w:adjustRightInd w:val="0"/>
        <w:spacing w:after="0" w:line="240" w:lineRule="auto"/>
        <w:jc w:val="both"/>
        <w:rPr>
          <w:rFonts w:cs="Consolas"/>
          <w:sz w:val="24"/>
          <w:szCs w:val="24"/>
        </w:rPr>
      </w:pPr>
      <w:r>
        <w:rPr>
          <w:rFonts w:ascii="Consolas" w:hAnsi="Consolas" w:cs="Consolas"/>
          <w:color w:val="000000"/>
          <w:sz w:val="20"/>
          <w:szCs w:val="20"/>
        </w:rPr>
        <w:tab/>
      </w:r>
      <w:proofErr w:type="gramStart"/>
      <w:r w:rsidR="00B940D7" w:rsidRPr="00D03E6F">
        <w:rPr>
          <w:rFonts w:cs="Consolas"/>
          <w:color w:val="000000"/>
          <w:sz w:val="24"/>
          <w:szCs w:val="24"/>
        </w:rPr>
        <w:t>al</w:t>
      </w:r>
      <w:proofErr w:type="gramEnd"/>
      <w:r w:rsidR="00B940D7" w:rsidRPr="00D03E6F">
        <w:rPr>
          <w:rFonts w:cs="Consolas"/>
          <w:color w:val="000000"/>
          <w:sz w:val="24"/>
          <w:szCs w:val="24"/>
        </w:rPr>
        <w:t xml:space="preserve"> ser </w:t>
      </w:r>
      <w:proofErr w:type="spellStart"/>
      <w:r w:rsidR="00B940D7" w:rsidRPr="00D03E6F">
        <w:rPr>
          <w:rFonts w:cs="Consolas"/>
          <w:color w:val="000000"/>
          <w:sz w:val="24"/>
          <w:szCs w:val="24"/>
        </w:rPr>
        <w:t>serializable</w:t>
      </w:r>
      <w:proofErr w:type="spellEnd"/>
      <w:r w:rsidR="00B940D7" w:rsidRPr="00D03E6F">
        <w:rPr>
          <w:rFonts w:cs="Consolas"/>
          <w:color w:val="000000"/>
          <w:sz w:val="24"/>
          <w:szCs w:val="24"/>
        </w:rPr>
        <w:t xml:space="preserve"> aseguramos que nuestras transacciones sean atómicas.</w:t>
      </w:r>
    </w:p>
    <w:p w:rsidR="00B940D7" w:rsidRPr="00B940D7" w:rsidRDefault="00B940D7" w:rsidP="00D03E6F">
      <w:pPr>
        <w:numPr>
          <w:ilvl w:val="0"/>
          <w:numId w:val="2"/>
        </w:numPr>
        <w:shd w:val="clear" w:color="auto" w:fill="FFFFFF"/>
        <w:spacing w:before="100" w:beforeAutospacing="1" w:after="24" w:line="360" w:lineRule="atLeast"/>
        <w:ind w:left="384"/>
        <w:jc w:val="both"/>
        <w:rPr>
          <w:rFonts w:ascii="Arial" w:eastAsia="Times New Roman" w:hAnsi="Arial" w:cs="Arial"/>
          <w:sz w:val="21"/>
          <w:szCs w:val="21"/>
          <w:lang w:eastAsia="es-CO"/>
        </w:rPr>
      </w:pPr>
      <w:hyperlink r:id="rId7" w:tooltip="Consistencia de datos" w:history="1">
        <w:r w:rsidRPr="00B940D7">
          <w:rPr>
            <w:rFonts w:ascii="Arial" w:eastAsia="Times New Roman" w:hAnsi="Arial" w:cs="Arial"/>
            <w:bCs/>
            <w:sz w:val="21"/>
            <w:szCs w:val="21"/>
            <w:lang w:eastAsia="es-CO"/>
          </w:rPr>
          <w:t>Consistencia</w:t>
        </w:r>
      </w:hyperlink>
      <w:r w:rsidRPr="00B940D7">
        <w:rPr>
          <w:rFonts w:ascii="Arial" w:eastAsia="Times New Roman" w:hAnsi="Arial" w:cs="Arial"/>
          <w:bCs/>
          <w:sz w:val="21"/>
          <w:szCs w:val="21"/>
          <w:lang w:eastAsia="es-CO"/>
        </w:rPr>
        <w:t>:</w:t>
      </w:r>
      <w:r w:rsidRPr="00B940D7">
        <w:rPr>
          <w:rFonts w:ascii="Arial" w:eastAsia="Times New Roman" w:hAnsi="Arial" w:cs="Arial"/>
          <w:sz w:val="21"/>
          <w:szCs w:val="21"/>
          <w:lang w:eastAsia="es-CO"/>
        </w:rPr>
        <w:t> </w:t>
      </w:r>
      <w:r>
        <w:rPr>
          <w:rFonts w:ascii="Arial" w:eastAsia="Times New Roman" w:hAnsi="Arial" w:cs="Arial"/>
          <w:iCs/>
          <w:sz w:val="21"/>
          <w:szCs w:val="21"/>
          <w:lang w:eastAsia="es-CO"/>
        </w:rPr>
        <w:t xml:space="preserve">esta propiedad determina que solo se empieza aquellas transacciones que se pueden acabar, por lo que hicimos validaciones con ayuda de </w:t>
      </w:r>
      <w:proofErr w:type="spellStart"/>
      <w:r>
        <w:rPr>
          <w:rFonts w:ascii="Arial" w:eastAsia="Times New Roman" w:hAnsi="Arial" w:cs="Arial"/>
          <w:iCs/>
          <w:sz w:val="21"/>
          <w:szCs w:val="21"/>
          <w:lang w:eastAsia="es-CO"/>
        </w:rPr>
        <w:t>boostrap</w:t>
      </w:r>
      <w:proofErr w:type="spellEnd"/>
      <w:r>
        <w:rPr>
          <w:rFonts w:ascii="Arial" w:eastAsia="Times New Roman" w:hAnsi="Arial" w:cs="Arial"/>
          <w:iCs/>
          <w:sz w:val="21"/>
          <w:szCs w:val="21"/>
          <w:lang w:eastAsia="es-CO"/>
        </w:rPr>
        <w:t xml:space="preserve"> para confirmar que el tipo de datos que ingresa el usuario en cada requerimiento sea el correcto, además si la información no existe dentro de la base de datos, aparecerá un mensaje de error indicándole al usuario que no se puede realizar la transacción hasta que ingrese datos correctos.</w:t>
      </w:r>
    </w:p>
    <w:p w:rsidR="00D03E6F" w:rsidRDefault="00B940D7" w:rsidP="00D03E6F">
      <w:pPr>
        <w:numPr>
          <w:ilvl w:val="0"/>
          <w:numId w:val="4"/>
        </w:numPr>
        <w:shd w:val="clear" w:color="auto" w:fill="FFFFFF"/>
        <w:spacing w:before="100" w:beforeAutospacing="1" w:after="24" w:line="360" w:lineRule="atLeast"/>
        <w:ind w:left="384"/>
        <w:jc w:val="both"/>
        <w:rPr>
          <w:rFonts w:ascii="Arial" w:eastAsia="Times New Roman" w:hAnsi="Arial" w:cs="Arial"/>
          <w:sz w:val="21"/>
          <w:szCs w:val="21"/>
          <w:lang w:eastAsia="es-CO"/>
        </w:rPr>
      </w:pPr>
      <w:hyperlink r:id="rId8" w:tooltip="Aislamiento (ACID)" w:history="1">
        <w:r w:rsidRPr="00D03E6F">
          <w:rPr>
            <w:rFonts w:ascii="Arial" w:eastAsia="Times New Roman" w:hAnsi="Arial" w:cs="Arial"/>
            <w:bCs/>
            <w:sz w:val="21"/>
            <w:szCs w:val="21"/>
            <w:lang w:eastAsia="es-CO"/>
          </w:rPr>
          <w:t>Aislamiento</w:t>
        </w:r>
      </w:hyperlink>
      <w:r w:rsidRPr="00B940D7">
        <w:rPr>
          <w:rFonts w:ascii="Arial" w:eastAsia="Times New Roman" w:hAnsi="Arial" w:cs="Arial"/>
          <w:bCs/>
          <w:sz w:val="21"/>
          <w:szCs w:val="21"/>
          <w:lang w:eastAsia="es-CO"/>
        </w:rPr>
        <w:t>:</w:t>
      </w:r>
      <w:r w:rsidRPr="00D03E6F">
        <w:rPr>
          <w:rFonts w:ascii="Arial" w:eastAsia="Times New Roman" w:hAnsi="Arial" w:cs="Arial"/>
          <w:sz w:val="21"/>
          <w:szCs w:val="21"/>
          <w:lang w:eastAsia="es-CO"/>
        </w:rPr>
        <w:t> </w:t>
      </w:r>
      <w:r w:rsidR="00D03E6F" w:rsidRPr="00D03E6F">
        <w:rPr>
          <w:rFonts w:ascii="Arial" w:eastAsia="Times New Roman" w:hAnsi="Arial" w:cs="Arial"/>
          <w:sz w:val="21"/>
          <w:szCs w:val="21"/>
          <w:lang w:eastAsia="es-CO"/>
        </w:rPr>
        <w:t>Para</w:t>
      </w:r>
      <w:r w:rsidRPr="00D03E6F">
        <w:rPr>
          <w:rFonts w:ascii="Arial" w:eastAsia="Times New Roman" w:hAnsi="Arial" w:cs="Arial"/>
          <w:sz w:val="21"/>
          <w:szCs w:val="21"/>
          <w:lang w:eastAsia="es-CO"/>
        </w:rPr>
        <w:t xml:space="preserve"> estos </w:t>
      </w:r>
      <w:r w:rsidR="00D03E6F" w:rsidRPr="00D03E6F">
        <w:rPr>
          <w:rFonts w:ascii="Arial" w:eastAsia="Times New Roman" w:hAnsi="Arial" w:cs="Arial"/>
          <w:sz w:val="21"/>
          <w:szCs w:val="21"/>
          <w:lang w:eastAsia="es-CO"/>
        </w:rPr>
        <w:t>también</w:t>
      </w:r>
      <w:r w:rsidRPr="00D03E6F">
        <w:rPr>
          <w:rFonts w:ascii="Arial" w:eastAsia="Times New Roman" w:hAnsi="Arial" w:cs="Arial"/>
          <w:sz w:val="21"/>
          <w:szCs w:val="21"/>
          <w:lang w:eastAsia="es-CO"/>
        </w:rPr>
        <w:t xml:space="preserve"> nos apoyamos en que nuestras operaciones </w:t>
      </w:r>
      <w:proofErr w:type="spellStart"/>
      <w:r w:rsidRPr="00D03E6F">
        <w:rPr>
          <w:rFonts w:ascii="Arial" w:eastAsia="Times New Roman" w:hAnsi="Arial" w:cs="Arial"/>
          <w:sz w:val="21"/>
          <w:szCs w:val="21"/>
          <w:lang w:eastAsia="es-CO"/>
        </w:rPr>
        <w:t>furan</w:t>
      </w:r>
      <w:proofErr w:type="spellEnd"/>
      <w:r w:rsidRPr="00D03E6F">
        <w:rPr>
          <w:rFonts w:ascii="Arial" w:eastAsia="Times New Roman" w:hAnsi="Arial" w:cs="Arial"/>
          <w:sz w:val="21"/>
          <w:szCs w:val="21"/>
          <w:lang w:eastAsia="es-CO"/>
        </w:rPr>
        <w:t xml:space="preserve"> </w:t>
      </w:r>
      <w:proofErr w:type="spellStart"/>
      <w:r w:rsidRPr="00D03E6F">
        <w:rPr>
          <w:rFonts w:ascii="Arial" w:eastAsia="Times New Roman" w:hAnsi="Arial" w:cs="Arial"/>
          <w:sz w:val="21"/>
          <w:szCs w:val="21"/>
          <w:lang w:eastAsia="es-CO"/>
        </w:rPr>
        <w:t>serializables</w:t>
      </w:r>
      <w:proofErr w:type="spellEnd"/>
      <w:r w:rsidRPr="00D03E6F">
        <w:rPr>
          <w:rFonts w:ascii="Arial" w:eastAsia="Times New Roman" w:hAnsi="Arial" w:cs="Arial"/>
          <w:sz w:val="21"/>
          <w:szCs w:val="21"/>
          <w:lang w:eastAsia="es-CO"/>
        </w:rPr>
        <w:t xml:space="preserve">, una operación no debe de poder afectar el comportamiento de la otra, por esta razón si se realizan dos operaciones sobre el mismo dato al tiempo entonces uno de los dos tendrá que esperar a que acabe la primera </w:t>
      </w:r>
      <w:r w:rsidR="00D03E6F" w:rsidRPr="00D03E6F">
        <w:rPr>
          <w:rFonts w:ascii="Arial" w:eastAsia="Times New Roman" w:hAnsi="Arial" w:cs="Arial"/>
          <w:sz w:val="21"/>
          <w:szCs w:val="21"/>
          <w:lang w:eastAsia="es-CO"/>
        </w:rPr>
        <w:t xml:space="preserve">transacción antes de que se realice la suya, que nuestra base de datos sea </w:t>
      </w:r>
      <w:proofErr w:type="spellStart"/>
      <w:r w:rsidR="00D03E6F" w:rsidRPr="00D03E6F">
        <w:rPr>
          <w:rFonts w:ascii="Arial" w:eastAsia="Times New Roman" w:hAnsi="Arial" w:cs="Arial"/>
          <w:sz w:val="21"/>
          <w:szCs w:val="21"/>
          <w:lang w:eastAsia="es-CO"/>
        </w:rPr>
        <w:t>serializable</w:t>
      </w:r>
      <w:proofErr w:type="spellEnd"/>
      <w:r w:rsidR="00D03E6F" w:rsidRPr="00D03E6F">
        <w:rPr>
          <w:rFonts w:ascii="Arial" w:eastAsia="Times New Roman" w:hAnsi="Arial" w:cs="Arial"/>
          <w:sz w:val="21"/>
          <w:szCs w:val="21"/>
          <w:lang w:eastAsia="es-CO"/>
        </w:rPr>
        <w:t xml:space="preserve"> garantiza que no ocurran cosas como lecturas sucias</w:t>
      </w:r>
      <w:r w:rsidR="00D03E6F">
        <w:rPr>
          <w:rFonts w:ascii="Arial" w:eastAsia="Times New Roman" w:hAnsi="Arial" w:cs="Arial"/>
          <w:sz w:val="21"/>
          <w:szCs w:val="21"/>
          <w:lang w:eastAsia="es-CO"/>
        </w:rPr>
        <w:t xml:space="preserve"> o </w:t>
      </w:r>
      <w:proofErr w:type="spellStart"/>
      <w:r w:rsidR="00D03E6F">
        <w:rPr>
          <w:rFonts w:ascii="Arial" w:eastAsia="Times New Roman" w:hAnsi="Arial" w:cs="Arial"/>
          <w:sz w:val="21"/>
          <w:szCs w:val="21"/>
          <w:lang w:eastAsia="es-CO"/>
        </w:rPr>
        <w:t>phantoms</w:t>
      </w:r>
      <w:proofErr w:type="spellEnd"/>
      <w:r w:rsidR="00D03E6F">
        <w:rPr>
          <w:rFonts w:ascii="Arial" w:eastAsia="Times New Roman" w:hAnsi="Arial" w:cs="Arial"/>
          <w:sz w:val="21"/>
          <w:szCs w:val="21"/>
          <w:lang w:eastAsia="es-CO"/>
        </w:rPr>
        <w:t>,</w:t>
      </w:r>
    </w:p>
    <w:p w:rsidR="00B940D7" w:rsidRPr="00B940D7" w:rsidRDefault="00B940D7" w:rsidP="00D03E6F">
      <w:pPr>
        <w:numPr>
          <w:ilvl w:val="0"/>
          <w:numId w:val="4"/>
        </w:numPr>
        <w:shd w:val="clear" w:color="auto" w:fill="FFFFFF"/>
        <w:spacing w:before="100" w:beforeAutospacing="1" w:after="24" w:line="360" w:lineRule="atLeast"/>
        <w:ind w:left="384"/>
        <w:jc w:val="both"/>
        <w:rPr>
          <w:rFonts w:ascii="Arial" w:eastAsia="Times New Roman" w:hAnsi="Arial" w:cs="Arial"/>
          <w:sz w:val="21"/>
          <w:szCs w:val="21"/>
          <w:lang w:eastAsia="es-CO"/>
        </w:rPr>
      </w:pPr>
      <w:hyperlink r:id="rId9" w:tooltip="Datos persistentes" w:history="1">
        <w:r w:rsidRPr="00D03E6F">
          <w:rPr>
            <w:rFonts w:ascii="Arial" w:eastAsia="Times New Roman" w:hAnsi="Arial" w:cs="Arial"/>
            <w:bCs/>
            <w:sz w:val="21"/>
            <w:szCs w:val="21"/>
            <w:lang w:eastAsia="es-CO"/>
          </w:rPr>
          <w:t>Durabilidad</w:t>
        </w:r>
      </w:hyperlink>
      <w:r w:rsidRPr="00B940D7">
        <w:rPr>
          <w:rFonts w:ascii="Arial" w:eastAsia="Times New Roman" w:hAnsi="Arial" w:cs="Arial"/>
          <w:bCs/>
          <w:sz w:val="21"/>
          <w:szCs w:val="21"/>
          <w:lang w:eastAsia="es-CO"/>
        </w:rPr>
        <w:t>:</w:t>
      </w:r>
      <w:r w:rsidR="00D03E6F">
        <w:rPr>
          <w:rFonts w:ascii="Arial" w:eastAsia="Times New Roman" w:hAnsi="Arial" w:cs="Arial"/>
          <w:sz w:val="21"/>
          <w:szCs w:val="21"/>
          <w:lang w:eastAsia="es-CO"/>
        </w:rPr>
        <w:t xml:space="preserve"> El uso de bases de datos de Oracle nos garantiza la persistencia y durabilidad de nuestros datos, una vez ocurra una operación sobre los datos, esta no se podrá deshacer aunque falle el sistema y si ocurre algún problema en nuestro equipo, los datos sobrevivirán ya que están guardados en una base de datos confiable.</w:t>
      </w:r>
    </w:p>
    <w:p w:rsidR="00552C1D" w:rsidRDefault="00552C1D" w:rsidP="00552C1D">
      <w:bookmarkStart w:id="0" w:name="_GoBack"/>
      <w:bookmarkEnd w:id="0"/>
    </w:p>
    <w:p w:rsidR="00552C1D" w:rsidRDefault="00552C1D" w:rsidP="00552C1D"/>
    <w:sectPr w:rsidR="00552C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altName w:val="Microsoft Jheng 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3F39"/>
    <w:multiLevelType w:val="multilevel"/>
    <w:tmpl w:val="7FD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BE2A1D"/>
    <w:multiLevelType w:val="hybridMultilevel"/>
    <w:tmpl w:val="C9C04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D37798A"/>
    <w:multiLevelType w:val="multilevel"/>
    <w:tmpl w:val="CA5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5D11B4"/>
    <w:multiLevelType w:val="multilevel"/>
    <w:tmpl w:val="A33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7C023A"/>
    <w:multiLevelType w:val="multilevel"/>
    <w:tmpl w:val="379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1D"/>
    <w:rsid w:val="00552C1D"/>
    <w:rsid w:val="00565775"/>
    <w:rsid w:val="00B0143C"/>
    <w:rsid w:val="00B940D7"/>
    <w:rsid w:val="00D03E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2C1D"/>
    <w:pPr>
      <w:autoSpaceDE w:val="0"/>
      <w:autoSpaceDN w:val="0"/>
      <w:adjustRightInd w:val="0"/>
      <w:spacing w:after="0" w:line="240" w:lineRule="auto"/>
    </w:pPr>
    <w:rPr>
      <w:rFonts w:ascii="Microsoft JhengHei" w:eastAsia="Microsoft JhengHei" w:cs="Microsoft JhengHei"/>
      <w:color w:val="000000"/>
      <w:sz w:val="24"/>
      <w:szCs w:val="24"/>
    </w:rPr>
  </w:style>
  <w:style w:type="character" w:styleId="Hipervnculo">
    <w:name w:val="Hyperlink"/>
    <w:basedOn w:val="Fuentedeprrafopredeter"/>
    <w:uiPriority w:val="99"/>
    <w:semiHidden/>
    <w:unhideWhenUsed/>
    <w:rsid w:val="00B940D7"/>
    <w:rPr>
      <w:color w:val="0000FF"/>
      <w:u w:val="single"/>
    </w:rPr>
  </w:style>
  <w:style w:type="character" w:customStyle="1" w:styleId="apple-converted-space">
    <w:name w:val="apple-converted-space"/>
    <w:basedOn w:val="Fuentedeprrafopredeter"/>
    <w:rsid w:val="00B940D7"/>
  </w:style>
  <w:style w:type="paragraph" w:styleId="Prrafodelista">
    <w:name w:val="List Paragraph"/>
    <w:basedOn w:val="Normal"/>
    <w:uiPriority w:val="34"/>
    <w:qFormat/>
    <w:rsid w:val="00D03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2C1D"/>
    <w:pPr>
      <w:autoSpaceDE w:val="0"/>
      <w:autoSpaceDN w:val="0"/>
      <w:adjustRightInd w:val="0"/>
      <w:spacing w:after="0" w:line="240" w:lineRule="auto"/>
    </w:pPr>
    <w:rPr>
      <w:rFonts w:ascii="Microsoft JhengHei" w:eastAsia="Microsoft JhengHei" w:cs="Microsoft JhengHei"/>
      <w:color w:val="000000"/>
      <w:sz w:val="24"/>
      <w:szCs w:val="24"/>
    </w:rPr>
  </w:style>
  <w:style w:type="character" w:styleId="Hipervnculo">
    <w:name w:val="Hyperlink"/>
    <w:basedOn w:val="Fuentedeprrafopredeter"/>
    <w:uiPriority w:val="99"/>
    <w:semiHidden/>
    <w:unhideWhenUsed/>
    <w:rsid w:val="00B940D7"/>
    <w:rPr>
      <w:color w:val="0000FF"/>
      <w:u w:val="single"/>
    </w:rPr>
  </w:style>
  <w:style w:type="character" w:customStyle="1" w:styleId="apple-converted-space">
    <w:name w:val="apple-converted-space"/>
    <w:basedOn w:val="Fuentedeprrafopredeter"/>
    <w:rsid w:val="00B940D7"/>
  </w:style>
  <w:style w:type="paragraph" w:styleId="Prrafodelista">
    <w:name w:val="List Paragraph"/>
    <w:basedOn w:val="Normal"/>
    <w:uiPriority w:val="34"/>
    <w:qFormat/>
    <w:rsid w:val="00D0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9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islamiento_(ACID)" TargetMode="External"/><Relationship Id="rId3" Type="http://schemas.microsoft.com/office/2007/relationships/stylesWithEffects" Target="stylesWithEffects.xml"/><Relationship Id="rId7" Type="http://schemas.openxmlformats.org/officeDocument/2006/relationships/hyperlink" Target="http://es.wikipedia.org/wiki/Consistencia_de_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tomicid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Datos_persiste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1</cp:revision>
  <dcterms:created xsi:type="dcterms:W3CDTF">2014-10-19T23:22:00Z</dcterms:created>
  <dcterms:modified xsi:type="dcterms:W3CDTF">2014-10-20T02:53:00Z</dcterms:modified>
</cp:coreProperties>
</file>