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24" w:rsidRDefault="00EC7EBC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-97864</wp:posOffset>
            </wp:positionH>
            <wp:positionV relativeFrom="paragraph">
              <wp:posOffset>-37464</wp:posOffset>
            </wp:positionV>
            <wp:extent cx="2438400" cy="913765"/>
            <wp:effectExtent l="0" t="0" r="0" b="0"/>
            <wp:wrapNone/>
            <wp:docPr id="68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7C24" w:rsidRDefault="003E7C24"/>
    <w:p w:rsidR="003E7C24" w:rsidRDefault="003E7C24"/>
    <w:p w:rsidR="003E7C24" w:rsidRDefault="003E7C24"/>
    <w:p w:rsidR="003E7C24" w:rsidRDefault="003E7C24"/>
    <w:p w:rsidR="003E7C24" w:rsidRDefault="003E7C24"/>
    <w:p w:rsidR="003E7C24" w:rsidRDefault="00EC7EBC">
      <w:pPr>
        <w:jc w:val="right"/>
        <w:rPr>
          <w:b/>
          <w:color w:val="595959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38100</wp:posOffset>
                </wp:positionV>
                <wp:extent cx="2595245" cy="647700"/>
                <wp:effectExtent l="0" t="0" r="0" b="0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3140" y="3460913"/>
                          <a:ext cx="258572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24" w:rsidRDefault="00EC7EBC">
                            <w:pPr>
                              <w:textDirection w:val="btLr"/>
                            </w:pPr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>Bureau d’étude</w:t>
                            </w:r>
                          </w:p>
                          <w:p w:rsidR="003E7C24" w:rsidRDefault="00EC7EBC">
                            <w:pPr>
                              <w:textDirection w:val="btLr"/>
                            </w:pPr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>Diagnostic et ingénierie</w:t>
                            </w:r>
                          </w:p>
                          <w:p w:rsidR="003E7C24" w:rsidRDefault="00EC7EBC">
                            <w:pPr>
                              <w:textDirection w:val="btLr"/>
                            </w:pPr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 xml:space="preserve">Maîtrise d’œuvre - </w:t>
                            </w:r>
                            <w:proofErr w:type="spellStart"/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>O.P.C.Assistance</w:t>
                            </w:r>
                            <w:proofErr w:type="spellEnd"/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 xml:space="preserve"> à maîtrise d’ouvrage</w:t>
                            </w:r>
                          </w:p>
                          <w:p w:rsidR="003E7C24" w:rsidRDefault="003E7C2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38100</wp:posOffset>
                </wp:positionV>
                <wp:extent cx="2595245" cy="647700"/>
                <wp:effectExtent b="0" l="0" r="0" t="0"/>
                <wp:wrapNone/>
                <wp:docPr id="68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24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EC7EBC">
      <w:pPr>
        <w:jc w:val="right"/>
        <w:rPr>
          <w:b/>
          <w:color w:val="595959"/>
          <w:sz w:val="40"/>
          <w:szCs w:val="40"/>
        </w:rPr>
      </w:pPr>
      <w:r>
        <w:rPr>
          <w:b/>
          <w:color w:val="595959"/>
          <w:sz w:val="40"/>
          <w:szCs w:val="40"/>
        </w:rPr>
        <w:t>NOMENCLATURE BRP</w:t>
      </w:r>
    </w:p>
    <w:p w:rsidR="003E7C24" w:rsidRDefault="003E7C24"/>
    <w:p w:rsidR="003E7C24" w:rsidRDefault="003E7C24"/>
    <w:p w:rsidR="003E7C24" w:rsidRDefault="00EC7EBC">
      <w:pPr>
        <w:rPr>
          <w:sz w:val="72"/>
          <w:szCs w:val="72"/>
        </w:rPr>
      </w:pPr>
      <w:r>
        <w:rPr>
          <w:sz w:val="72"/>
          <w:szCs w:val="72"/>
        </w:rPr>
        <w:t xml:space="preserve">CORPS D’ETAT : </w:t>
      </w:r>
    </w:p>
    <w:p w:rsidR="003E7C24" w:rsidRDefault="003E7C24">
      <w:pPr>
        <w:rPr>
          <w:sz w:val="72"/>
          <w:szCs w:val="72"/>
        </w:rPr>
      </w:pPr>
    </w:p>
    <w:p w:rsidR="003E7C24" w:rsidRDefault="00654A27">
      <w:pPr>
        <w:rPr>
          <w:sz w:val="72"/>
          <w:szCs w:val="72"/>
        </w:rPr>
      </w:pPr>
      <w:r>
        <w:rPr>
          <w:sz w:val="72"/>
          <w:szCs w:val="72"/>
        </w:rPr>
        <w:t>NOMCORPSDETAT</w:t>
      </w:r>
    </w:p>
    <w:p w:rsidR="003E7C24" w:rsidRDefault="003E7C24"/>
    <w:p w:rsidR="003E7C24" w:rsidRDefault="003E7C24"/>
    <w:p w:rsidR="003E7C24" w:rsidRDefault="003E7C24"/>
    <w:p w:rsidR="003E7C24" w:rsidRDefault="003E7C24"/>
    <w:p w:rsidR="003E7C24" w:rsidRDefault="003E7C24">
      <w:pPr>
        <w:rPr>
          <w:b/>
          <w:smallCaps/>
          <w:sz w:val="24"/>
          <w:szCs w:val="24"/>
        </w:rPr>
      </w:pPr>
    </w:p>
    <w:p w:rsidR="003E7C24" w:rsidRDefault="00EC7EBC">
      <w:pPr>
        <w:spacing w:after="200" w:line="276" w:lineRule="auto"/>
        <w:rPr>
          <w:b/>
          <w:smallCaps/>
          <w:sz w:val="24"/>
          <w:szCs w:val="24"/>
        </w:rPr>
      </w:pPr>
      <w:r>
        <w:br w:type="page"/>
      </w:r>
    </w:p>
    <w:p w:rsidR="003E7C24" w:rsidRDefault="00EC7EBC">
      <w:pPr>
        <w:jc w:val="righ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Sommaire </w:t>
      </w:r>
    </w:p>
    <w:p w:rsidR="003E7C24" w:rsidRDefault="003E7C24">
      <w:pPr>
        <w:rPr>
          <w:sz w:val="14"/>
          <w:szCs w:val="14"/>
        </w:rPr>
      </w:pPr>
    </w:p>
    <w:p w:rsidR="003E7C24" w:rsidRDefault="003E7C24">
      <w:pPr>
        <w:rPr>
          <w:sz w:val="14"/>
          <w:szCs w:val="14"/>
        </w:rPr>
      </w:pPr>
    </w:p>
    <w:p w:rsidR="003E7C24" w:rsidRDefault="003E7C24">
      <w:pPr>
        <w:rPr>
          <w:sz w:val="14"/>
          <w:szCs w:val="14"/>
        </w:rPr>
      </w:pPr>
    </w:p>
    <w:bookmarkStart w:id="0" w:name="_heading=h.gjdgxs" w:colFirst="0" w:colLast="0" w:displacedByCustomXml="next"/>
    <w:bookmarkEnd w:id="0" w:displacedByCustomXml="next"/>
    <w:sdt>
      <w:sdtPr>
        <w:id w:val="-1628307293"/>
        <w:docPartObj>
          <w:docPartGallery w:val="Table of Contents"/>
          <w:docPartUnique/>
        </w:docPartObj>
      </w:sdtPr>
      <w:sdtEndPr/>
      <w:sdtContent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smallCaps/>
                <w:color w:val="000000"/>
                <w:sz w:val="20"/>
                <w:szCs w:val="20"/>
              </w:rPr>
              <w:t>I.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DESCRIPTIFS GENERIQUES AVP</w:t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4"/>
            </w:tabs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smallCaps/>
                <w:color w:val="000000"/>
                <w:sz w:val="20"/>
                <w:szCs w:val="20"/>
              </w:rPr>
              <w:t>I.1.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Synthèse des études et investigations déjà réalisées</w:t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1.1.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Amiante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1.2.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Plomb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4"/>
            </w:tabs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smallCaps/>
                <w:color w:val="000000"/>
                <w:sz w:val="20"/>
                <w:szCs w:val="20"/>
              </w:rPr>
              <w:t>I.2.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Réfection des étanchéités</w:t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2.1.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Solution 1 : étanchéité bitumineuse monocouche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2.2.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Solution 2 : étanchéité bitumineuse bicouche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2.3.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Solution 3 : étanchéité synthétique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2.4.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Synthèse des différentes solutions envisageables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b/>
                <w:smallCaps/>
                <w:color w:val="000000"/>
                <w:sz w:val="20"/>
                <w:szCs w:val="20"/>
              </w:rPr>
              <w:t>II.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GENERALITES</w:t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4"/>
            </w:tabs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smallCaps/>
                <w:color w:val="000000"/>
                <w:sz w:val="20"/>
                <w:szCs w:val="20"/>
              </w:rPr>
              <w:t>II.1.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Consistance des travaux</w:t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4"/>
            </w:tabs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smallCaps/>
                <w:color w:val="000000"/>
                <w:sz w:val="20"/>
                <w:szCs w:val="20"/>
              </w:rPr>
              <w:t>II.2.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Fonctionnement du site pendant les travaux</w:t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4"/>
            </w:tabs>
            <w:ind w:left="22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smallCaps/>
                <w:color w:val="000000"/>
                <w:sz w:val="20"/>
                <w:szCs w:val="20"/>
              </w:rPr>
              <w:t>II.3.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Effets environnementaux</w:t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4"/>
            </w:tabs>
            <w:ind w:left="22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smallCaps/>
                <w:color w:val="000000"/>
                <w:sz w:val="20"/>
                <w:szCs w:val="20"/>
              </w:rPr>
              <w:t>II.4.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Textes règlementaires et normatifs</w:t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44sinio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4.1.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Etanchéité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1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heading=h.2jxsxqh">
            <w:r>
              <w:rPr>
                <w:b/>
                <w:smallCaps/>
                <w:color w:val="000000"/>
                <w:sz w:val="20"/>
                <w:szCs w:val="20"/>
              </w:rPr>
              <w:t>III.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SYSTEME D’ETANCHEITE</w:t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4"/>
            </w:tabs>
            <w:ind w:left="220"/>
            <w:rPr>
              <w:rFonts w:ascii="Calibri" w:eastAsia="Calibri" w:hAnsi="Calibri" w:cs="Calibri"/>
              <w:color w:val="000000"/>
            </w:rPr>
          </w:pPr>
          <w:hyperlink w:anchor="_heading=h.z337ya">
            <w:r>
              <w:rPr>
                <w:smallCaps/>
                <w:color w:val="000000"/>
                <w:sz w:val="20"/>
                <w:szCs w:val="20"/>
              </w:rPr>
              <w:t>III.1.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Etanchéités</w:t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94"/>
            </w:tabs>
            <w:ind w:left="440"/>
            <w:rPr>
              <w:rFonts w:ascii="Calibri" w:eastAsia="Calibri" w:hAnsi="Calibri" w:cs="Calibri"/>
              <w:color w:val="000000"/>
            </w:rPr>
          </w:pPr>
          <w:hyperlink w:anchor="_heading=h.3j2qqm3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1.1.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Etanchéités toitures terrasses inaccessibles</w:t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4"/>
            </w:tabs>
            <w:ind w:left="660"/>
            <w:rPr>
              <w:rFonts w:ascii="Calibri" w:eastAsia="Calibri" w:hAnsi="Calibri" w:cs="Calibri"/>
              <w:color w:val="000000"/>
            </w:rPr>
          </w:pPr>
          <w:hyperlink w:anchor="_heading=h.1y810tw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1.1.1.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Etanchéité bitume monocouche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4i7ojhp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1.1.1.1.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Dépose du complexe d’étanchéité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2xcytpi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1.1.1.2.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Dépose des relevés d’étanchéité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1ci93xb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1.1.1.3.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Etanchéité monocouche soudée en plein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3whwml4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1.1.1.4.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Etanchéité monocouche soudée en semi indépendance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7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2bn6wsx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1.1.1.5.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Etanchéité monocouche soudée en indépendance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8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4"/>
            </w:tabs>
            <w:ind w:left="660"/>
            <w:rPr>
              <w:rFonts w:ascii="Calibri" w:eastAsia="Calibri" w:hAnsi="Calibri" w:cs="Calibri"/>
              <w:color w:val="000000"/>
            </w:rPr>
          </w:pPr>
          <w:hyperlink w:anchor="_heading=h.qsh70q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1.1.2.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Etanchéité bitume bicouche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8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3as4poj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1.1.2.1.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Dépose du complexe d’étanchéité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8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1pxezwc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1.1.2.2.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Dépose des relevés d’étanchéité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8</w:t>
          </w:r>
          <w:r>
            <w:fldChar w:fldCharType="end"/>
          </w:r>
        </w:p>
        <w:p w:rsidR="003E7C24" w:rsidRDefault="00EC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194"/>
            </w:tabs>
            <w:ind w:left="880"/>
            <w:rPr>
              <w:rFonts w:ascii="Calibri" w:eastAsia="Calibri" w:hAnsi="Calibri" w:cs="Calibri"/>
              <w:color w:val="000000"/>
            </w:rPr>
          </w:pPr>
          <w:hyperlink w:anchor="_heading=h.49x2ik5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1.1.2.3.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Etanchéité bicouche soudée en plein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ab/>
            <w:t>8</w:t>
          </w:r>
          <w:r>
            <w:fldChar w:fldCharType="end"/>
          </w:r>
        </w:p>
        <w:p w:rsidR="003E7C24" w:rsidRDefault="00EC7EBC">
          <w:pPr>
            <w:rPr>
              <w:sz w:val="16"/>
              <w:szCs w:val="16"/>
            </w:rPr>
          </w:pPr>
          <w:r>
            <w:fldChar w:fldCharType="end"/>
          </w:r>
        </w:p>
      </w:sdtContent>
    </w:sdt>
    <w:p w:rsidR="003E7C24" w:rsidRDefault="00EC7EBC">
      <w:bookmarkStart w:id="1" w:name="_heading=h.30j0zll" w:colFirst="0" w:colLast="0"/>
      <w:bookmarkEnd w:id="1"/>
      <w:r>
        <w:br w:type="page"/>
      </w:r>
    </w:p>
    <w:p w:rsidR="003E7C24" w:rsidRDefault="003C3448">
      <w:pPr>
        <w:pStyle w:val="Titre1"/>
        <w:numPr>
          <w:ilvl w:val="0"/>
          <w:numId w:val="5"/>
        </w:numPr>
      </w:pPr>
      <w:bookmarkStart w:id="2" w:name="_heading=h.1fob9te" w:colFirst="0" w:colLast="0"/>
      <w:bookmarkEnd w:id="2"/>
      <w:r>
        <w:lastRenderedPageBreak/>
        <w:t>CATEGORIE</w:t>
      </w:r>
    </w:p>
    <w:p w:rsidR="003E7C24" w:rsidRDefault="003C3448">
      <w:pPr>
        <w:pStyle w:val="Titre2"/>
        <w:numPr>
          <w:ilvl w:val="1"/>
          <w:numId w:val="5"/>
        </w:numPr>
      </w:pPr>
      <w:bookmarkStart w:id="3" w:name="_heading=h.3znysh7" w:colFirst="0" w:colLast="0"/>
      <w:bookmarkEnd w:id="3"/>
      <w:r>
        <w:t>FAMILLE</w:t>
      </w:r>
    </w:p>
    <w:p w:rsidR="003E7C24" w:rsidRDefault="003C3448" w:rsidP="003C3448">
      <w:pPr>
        <w:pStyle w:val="Titre3"/>
        <w:numPr>
          <w:ilvl w:val="2"/>
          <w:numId w:val="5"/>
        </w:numPr>
        <w:ind w:hanging="503"/>
        <w:jc w:val="both"/>
      </w:pPr>
      <w:bookmarkStart w:id="4" w:name="_heading=h.2et92p0" w:colFirst="0" w:colLast="0"/>
      <w:bookmarkEnd w:id="4"/>
      <w:r>
        <w:t>SOUS-FAMILLE</w:t>
      </w:r>
    </w:p>
    <w:p w:rsidR="003E7C24" w:rsidRPr="003C3448" w:rsidRDefault="008B43E2" w:rsidP="003C344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bookmarkStart w:id="5" w:name="_heading=h.tyjcwt" w:colFirst="0" w:colLast="0"/>
      <w:bookmarkEnd w:id="5"/>
      <w:r>
        <w:t>DESCRIPTION</w:t>
      </w:r>
    </w:p>
    <w:p w:rsidR="003E7C24" w:rsidRDefault="003E7C24"/>
    <w:p w:rsidR="003E7C24" w:rsidRDefault="003C3448">
      <w:pPr>
        <w:pStyle w:val="Titre2"/>
        <w:numPr>
          <w:ilvl w:val="1"/>
          <w:numId w:val="5"/>
        </w:numPr>
      </w:pPr>
      <w:bookmarkStart w:id="6" w:name="_heading=h.3dy6vkm" w:colFirst="0" w:colLast="0"/>
      <w:bookmarkEnd w:id="6"/>
      <w:r>
        <w:t>FAMILLE</w:t>
      </w:r>
    </w:p>
    <w:p w:rsidR="003E7C24" w:rsidRDefault="003C3448" w:rsidP="00750A6D">
      <w:pPr>
        <w:pStyle w:val="Titre3"/>
        <w:numPr>
          <w:ilvl w:val="2"/>
          <w:numId w:val="5"/>
        </w:numPr>
        <w:ind w:hanging="503"/>
      </w:pPr>
      <w:bookmarkStart w:id="7" w:name="_heading=h.1t3h5sf" w:colFirst="0" w:colLast="0"/>
      <w:bookmarkEnd w:id="7"/>
      <w:r>
        <w:t>SOUS-FAMILLE</w:t>
      </w:r>
    </w:p>
    <w:p w:rsidR="003E7C24" w:rsidRDefault="003E7C24">
      <w:pPr>
        <w:jc w:val="center"/>
      </w:pPr>
    </w:p>
    <w:p w:rsidR="003E7C24" w:rsidRDefault="008B43E2">
      <w:pPr>
        <w:jc w:val="both"/>
      </w:pPr>
      <w:r>
        <w:t>DESCRIPTION</w:t>
      </w:r>
    </w:p>
    <w:p w:rsidR="003E7C24" w:rsidRDefault="003F29C7">
      <w:pPr>
        <w:pStyle w:val="Titre3"/>
        <w:numPr>
          <w:ilvl w:val="2"/>
          <w:numId w:val="5"/>
        </w:numPr>
        <w:ind w:hanging="503"/>
      </w:pPr>
      <w:r>
        <w:t>SOUS-FAMILLE</w:t>
      </w:r>
    </w:p>
    <w:p w:rsidR="003E7C24" w:rsidRDefault="003E7C24">
      <w:pPr>
        <w:jc w:val="center"/>
      </w:pPr>
    </w:p>
    <w:p w:rsidR="003E7C24" w:rsidRPr="008B43E2" w:rsidRDefault="008B43E2" w:rsidP="008B43E2">
      <w:pPr>
        <w:jc w:val="both"/>
      </w:pPr>
      <w:bookmarkStart w:id="8" w:name="_heading=h.3rdcrjn" w:colFirst="0" w:colLast="0"/>
      <w:bookmarkEnd w:id="8"/>
      <w:r>
        <w:t>DESCRIPTION</w:t>
      </w:r>
      <w:r w:rsidR="00EC7EBC">
        <w:br w:type="page"/>
      </w:r>
    </w:p>
    <w:p w:rsidR="003E7C24" w:rsidRDefault="00F6681A">
      <w:pPr>
        <w:pStyle w:val="Titre1"/>
        <w:numPr>
          <w:ilvl w:val="0"/>
          <w:numId w:val="5"/>
        </w:numPr>
      </w:pPr>
      <w:bookmarkStart w:id="9" w:name="_heading=h.2jxsxqh" w:colFirst="0" w:colLast="0"/>
      <w:bookmarkEnd w:id="9"/>
      <w:r>
        <w:lastRenderedPageBreak/>
        <w:t>CATEGORIE</w:t>
      </w:r>
    </w:p>
    <w:p w:rsidR="003E7C24" w:rsidRDefault="00F6681A">
      <w:pPr>
        <w:pStyle w:val="Titre2"/>
        <w:numPr>
          <w:ilvl w:val="1"/>
          <w:numId w:val="5"/>
        </w:numPr>
      </w:pPr>
      <w:bookmarkStart w:id="10" w:name="_heading=h.z337ya" w:colFirst="0" w:colLast="0"/>
      <w:bookmarkEnd w:id="10"/>
      <w:r>
        <w:t>FAMILLE</w:t>
      </w:r>
    </w:p>
    <w:p w:rsidR="003E7C24" w:rsidRDefault="00F6681A">
      <w:pPr>
        <w:pStyle w:val="Titre3"/>
        <w:numPr>
          <w:ilvl w:val="2"/>
          <w:numId w:val="5"/>
        </w:numPr>
        <w:ind w:hanging="503"/>
      </w:pPr>
      <w:bookmarkStart w:id="11" w:name="_heading=h.3j2qqm3" w:colFirst="0" w:colLast="0"/>
      <w:bookmarkEnd w:id="11"/>
      <w:r>
        <w:t>SOUS-FAMILLE</w:t>
      </w:r>
    </w:p>
    <w:p w:rsidR="003E7C24" w:rsidRDefault="00E379AC">
      <w:pPr>
        <w:pStyle w:val="Titre4"/>
        <w:numPr>
          <w:ilvl w:val="3"/>
          <w:numId w:val="5"/>
        </w:numPr>
      </w:pPr>
      <w:bookmarkStart w:id="12" w:name="_heading=h.1y810tw" w:colFirst="0" w:colLast="0"/>
      <w:bookmarkEnd w:id="12"/>
      <w:r>
        <w:t>OUVRAGE</w:t>
      </w:r>
    </w:p>
    <w:p w:rsidR="003E7C24" w:rsidRDefault="003E7C24"/>
    <w:p w:rsidR="003E7C24" w:rsidRDefault="008B43E2">
      <w:pPr>
        <w:pStyle w:val="Titre5"/>
        <w:numPr>
          <w:ilvl w:val="4"/>
          <w:numId w:val="5"/>
        </w:numPr>
        <w:ind w:hanging="791"/>
      </w:pPr>
      <w:bookmarkStart w:id="13" w:name="_heading=h.4i7ojhp" w:colFirst="0" w:colLast="0"/>
      <w:bookmarkEnd w:id="13"/>
      <w:r>
        <w:t>PRESTATION</w:t>
      </w:r>
    </w:p>
    <w:p w:rsidR="003E7C24" w:rsidRDefault="003E7C24"/>
    <w:p w:rsidR="003E7C24" w:rsidRDefault="00EC7E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Métré : </w:t>
      </w:r>
      <w:r w:rsidR="008B43E2">
        <w:rPr>
          <w:color w:val="000000"/>
          <w:u w:val="single"/>
        </w:rPr>
        <w:t>METRIQUE</w:t>
      </w:r>
    </w:p>
    <w:p w:rsidR="003E7C24" w:rsidRDefault="003E7C24">
      <w:pPr>
        <w:jc w:val="both"/>
        <w:rPr>
          <w:b/>
          <w:i/>
          <w:color w:val="7030A0"/>
        </w:rPr>
      </w:pPr>
    </w:p>
    <w:p w:rsidR="003E7C24" w:rsidRDefault="008B43E2">
      <w:pPr>
        <w:jc w:val="both"/>
      </w:pPr>
      <w:r>
        <w:t>DESCRIPTION</w:t>
      </w:r>
    </w:p>
    <w:p w:rsidR="003E7C24" w:rsidRDefault="003E7C24"/>
    <w:p w:rsidR="003E7C24" w:rsidRDefault="008B43E2">
      <w:pPr>
        <w:pStyle w:val="Titre5"/>
        <w:numPr>
          <w:ilvl w:val="4"/>
          <w:numId w:val="5"/>
        </w:numPr>
        <w:ind w:hanging="791"/>
      </w:pPr>
      <w:bookmarkStart w:id="14" w:name="_heading=h.2xcytpi" w:colFirst="0" w:colLast="0"/>
      <w:bookmarkEnd w:id="14"/>
      <w:r>
        <w:t>PRESTATION</w:t>
      </w:r>
    </w:p>
    <w:p w:rsidR="003E7C24" w:rsidRDefault="003E7C24"/>
    <w:p w:rsidR="003E7C24" w:rsidRDefault="00EC7E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Métré : </w:t>
      </w:r>
      <w:r w:rsidR="008B43E2">
        <w:rPr>
          <w:color w:val="000000"/>
          <w:u w:val="single"/>
        </w:rPr>
        <w:t>METRIQUE</w:t>
      </w:r>
    </w:p>
    <w:p w:rsidR="003E7C24" w:rsidRDefault="003E7C24"/>
    <w:p w:rsidR="003E7C24" w:rsidRDefault="008B43E2">
      <w:r>
        <w:t>DESCRIPTION</w:t>
      </w:r>
    </w:p>
    <w:p w:rsidR="003E7C24" w:rsidRDefault="003E7C24">
      <w:bookmarkStart w:id="15" w:name="_heading=h.1ci93xb" w:colFirst="0" w:colLast="0"/>
      <w:bookmarkEnd w:id="15"/>
    </w:p>
    <w:p w:rsidR="003E7C24" w:rsidRDefault="008B43E2">
      <w:pPr>
        <w:pStyle w:val="Titre4"/>
        <w:numPr>
          <w:ilvl w:val="3"/>
          <w:numId w:val="5"/>
        </w:numPr>
      </w:pPr>
      <w:bookmarkStart w:id="16" w:name="_heading=h.qsh70q" w:colFirst="0" w:colLast="0"/>
      <w:bookmarkEnd w:id="16"/>
      <w:r>
        <w:t>OUVRAGE</w:t>
      </w:r>
    </w:p>
    <w:p w:rsidR="003E7C24" w:rsidRDefault="008B43E2">
      <w:pPr>
        <w:pStyle w:val="Titre5"/>
        <w:numPr>
          <w:ilvl w:val="4"/>
          <w:numId w:val="5"/>
        </w:numPr>
        <w:ind w:hanging="791"/>
      </w:pPr>
      <w:bookmarkStart w:id="17" w:name="_heading=h.3as4poj" w:colFirst="0" w:colLast="0"/>
      <w:bookmarkEnd w:id="17"/>
      <w:r>
        <w:t>PRESTATION</w:t>
      </w:r>
    </w:p>
    <w:p w:rsidR="003E7C24" w:rsidRDefault="003E7C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3E7C24" w:rsidRDefault="00EC7E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Métré : </w:t>
      </w:r>
      <w:r w:rsidR="008B43E2">
        <w:rPr>
          <w:color w:val="000000"/>
          <w:u w:val="single"/>
        </w:rPr>
        <w:t>METRIQUE</w:t>
      </w:r>
    </w:p>
    <w:p w:rsidR="003E7C24" w:rsidRDefault="003E7C24">
      <w:pPr>
        <w:jc w:val="both"/>
        <w:rPr>
          <w:b/>
          <w:i/>
          <w:color w:val="7030A0"/>
        </w:rPr>
      </w:pPr>
    </w:p>
    <w:p w:rsidR="003E7C24" w:rsidRDefault="008B43E2" w:rsidP="008B43E2">
      <w:pPr>
        <w:jc w:val="both"/>
      </w:pPr>
      <w:r>
        <w:t>DESCRIPTION</w:t>
      </w:r>
      <w:bookmarkStart w:id="18" w:name="_heading=h.1pxezwc" w:colFirst="0" w:colLast="0"/>
      <w:bookmarkStart w:id="19" w:name="_GoBack"/>
      <w:bookmarkEnd w:id="18"/>
      <w:bookmarkEnd w:id="19"/>
    </w:p>
    <w:sectPr w:rsidR="003E7C24">
      <w:footerReference w:type="default" r:id="rId10"/>
      <w:pgSz w:w="11906" w:h="16838"/>
      <w:pgMar w:top="737" w:right="851" w:bottom="737" w:left="85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BC" w:rsidRDefault="00EC7EBC">
      <w:r>
        <w:separator/>
      </w:r>
    </w:p>
  </w:endnote>
  <w:endnote w:type="continuationSeparator" w:id="0">
    <w:p w:rsidR="00EC7EBC" w:rsidRDefault="00EC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nkGothic Lt BT">
    <w:altName w:val="Copperplate Gothic Bold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C24" w:rsidRDefault="00EC7EBC">
    <w:pPr>
      <w:pBdr>
        <w:top w:val="nil"/>
        <w:left w:val="nil"/>
        <w:bottom w:val="nil"/>
        <w:right w:val="nil"/>
        <w:between w:val="nil"/>
      </w:pBdr>
      <w:tabs>
        <w:tab w:val="left" w:pos="9356"/>
      </w:tabs>
      <w:rPr>
        <w:rFonts w:ascii="Century" w:eastAsia="Century" w:hAnsi="Century" w:cs="Century"/>
        <w:color w:val="C00000"/>
        <w:sz w:val="16"/>
        <w:szCs w:val="16"/>
      </w:rPr>
    </w:pPr>
    <w:r>
      <w:rPr>
        <w:rFonts w:ascii="Century" w:eastAsia="Century" w:hAnsi="Century" w:cs="Century"/>
        <w:color w:val="000000"/>
        <w:sz w:val="16"/>
        <w:szCs w:val="16"/>
      </w:rPr>
      <w:t xml:space="preserve">BRP ETUDE CONSEIL | </w:t>
    </w:r>
    <w:r w:rsidR="003C0017">
      <w:rPr>
        <w:rFonts w:ascii="Century" w:eastAsia="Century" w:hAnsi="Century" w:cs="Century"/>
        <w:color w:val="000000"/>
        <w:sz w:val="16"/>
        <w:szCs w:val="16"/>
      </w:rPr>
      <w:t>NOMCORPSDETAT</w:t>
    </w:r>
    <w:r>
      <w:rPr>
        <w:rFonts w:ascii="Century" w:eastAsia="Century" w:hAnsi="Century" w:cs="Century"/>
        <w:color w:val="000000"/>
        <w:sz w:val="16"/>
        <w:szCs w:val="16"/>
      </w:rPr>
      <w:t xml:space="preserve"> | </w:t>
    </w:r>
    <w:r>
      <w:rPr>
        <w:rFonts w:ascii="Century" w:eastAsia="Century" w:hAnsi="Century" w:cs="Century"/>
        <w:color w:val="C00000"/>
        <w:sz w:val="16"/>
        <w:szCs w:val="16"/>
      </w:rPr>
      <w:t xml:space="preserve">Nomenclature </w:t>
    </w:r>
    <w:r>
      <w:rPr>
        <w:rFonts w:ascii="Century" w:eastAsia="Century" w:hAnsi="Century" w:cs="Century"/>
        <w:color w:val="C00000"/>
        <w:sz w:val="16"/>
        <w:szCs w:val="16"/>
      </w:rPr>
      <w:tab/>
    </w:r>
    <w:r>
      <w:rPr>
        <w:rFonts w:ascii="Century" w:eastAsia="Century" w:hAnsi="Century" w:cs="Century"/>
        <w:color w:val="000000"/>
        <w:sz w:val="18"/>
        <w:szCs w:val="18"/>
      </w:rPr>
      <w:fldChar w:fldCharType="begin"/>
    </w:r>
    <w:r>
      <w:rPr>
        <w:rFonts w:ascii="Century" w:eastAsia="Century" w:hAnsi="Century" w:cs="Century"/>
        <w:color w:val="000000"/>
        <w:sz w:val="18"/>
        <w:szCs w:val="18"/>
      </w:rPr>
      <w:instrText>PAGE</w:instrText>
    </w:r>
    <w:r w:rsidR="00654A27">
      <w:rPr>
        <w:rFonts w:ascii="Century" w:eastAsia="Century" w:hAnsi="Century" w:cs="Century"/>
        <w:color w:val="000000"/>
        <w:sz w:val="18"/>
        <w:szCs w:val="18"/>
      </w:rPr>
      <w:fldChar w:fldCharType="separate"/>
    </w:r>
    <w:r w:rsidR="00654A27">
      <w:rPr>
        <w:rFonts w:ascii="Century" w:eastAsia="Century" w:hAnsi="Century" w:cs="Century"/>
        <w:noProof/>
        <w:color w:val="000000"/>
        <w:sz w:val="18"/>
        <w:szCs w:val="18"/>
      </w:rPr>
      <w:t>2</w:t>
    </w:r>
    <w:r>
      <w:rPr>
        <w:rFonts w:ascii="Century" w:eastAsia="Century" w:hAnsi="Century" w:cs="Century"/>
        <w:color w:val="000000"/>
        <w:sz w:val="18"/>
        <w:szCs w:val="18"/>
      </w:rPr>
      <w:fldChar w:fldCharType="end"/>
    </w:r>
    <w:r>
      <w:rPr>
        <w:rFonts w:ascii="Century" w:eastAsia="Century" w:hAnsi="Century" w:cs="Century"/>
        <w:color w:val="000000"/>
        <w:sz w:val="18"/>
        <w:szCs w:val="18"/>
      </w:rPr>
      <w:t>/</w:t>
    </w:r>
    <w:r>
      <w:rPr>
        <w:rFonts w:ascii="Century" w:eastAsia="Century" w:hAnsi="Century" w:cs="Century"/>
        <w:color w:val="000000"/>
        <w:sz w:val="18"/>
        <w:szCs w:val="18"/>
      </w:rPr>
      <w:fldChar w:fldCharType="begin"/>
    </w:r>
    <w:r>
      <w:rPr>
        <w:rFonts w:ascii="Century" w:eastAsia="Century" w:hAnsi="Century" w:cs="Century"/>
        <w:color w:val="000000"/>
        <w:sz w:val="18"/>
        <w:szCs w:val="18"/>
      </w:rPr>
      <w:instrText>NUMPAGES</w:instrText>
    </w:r>
    <w:r w:rsidR="00654A27">
      <w:rPr>
        <w:rFonts w:ascii="Century" w:eastAsia="Century" w:hAnsi="Century" w:cs="Century"/>
        <w:color w:val="000000"/>
        <w:sz w:val="18"/>
        <w:szCs w:val="18"/>
      </w:rPr>
      <w:fldChar w:fldCharType="separate"/>
    </w:r>
    <w:r w:rsidR="00654A27">
      <w:rPr>
        <w:rFonts w:ascii="Century" w:eastAsia="Century" w:hAnsi="Century" w:cs="Century"/>
        <w:noProof/>
        <w:color w:val="000000"/>
        <w:sz w:val="18"/>
        <w:szCs w:val="18"/>
      </w:rPr>
      <w:t>2</w:t>
    </w:r>
    <w:r>
      <w:rPr>
        <w:rFonts w:ascii="Century" w:eastAsia="Century" w:hAnsi="Century" w:cs="Century"/>
        <w:color w:val="000000"/>
        <w:sz w:val="18"/>
        <w:szCs w:val="18"/>
      </w:rPr>
      <w:fldChar w:fldCharType="end"/>
    </w:r>
  </w:p>
  <w:p w:rsidR="003E7C24" w:rsidRDefault="003E7C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entury" w:eastAsia="Century" w:hAnsi="Century" w:cs="Century"/>
        <w:color w:val="C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BC" w:rsidRDefault="00EC7EBC">
      <w:r>
        <w:separator/>
      </w:r>
    </w:p>
  </w:footnote>
  <w:footnote w:type="continuationSeparator" w:id="0">
    <w:p w:rsidR="00EC7EBC" w:rsidRDefault="00EC7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4086"/>
    <w:multiLevelType w:val="multilevel"/>
    <w:tmpl w:val="38C06A78"/>
    <w:lvl w:ilvl="0">
      <w:start w:val="1"/>
      <w:numFmt w:val="upperRoman"/>
      <w:lvlText w:val="%1."/>
      <w:lvlJc w:val="left"/>
      <w:pPr>
        <w:ind w:left="360" w:hanging="360"/>
      </w:pPr>
      <w:rPr>
        <w:rFonts w:ascii="Cambria" w:eastAsia="Cambria" w:hAnsi="Cambria" w:cs="Cambria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mbria" w:eastAsia="Cambria" w:hAnsi="Cambria" w:cs="Cambria"/>
        <w:sz w:val="28"/>
        <w:szCs w:val="28"/>
      </w:rPr>
    </w:lvl>
    <w:lvl w:ilvl="2">
      <w:start w:val="1"/>
      <w:numFmt w:val="decimal"/>
      <w:lvlText w:val="%2.%3."/>
      <w:lvlJc w:val="left"/>
      <w:pPr>
        <w:ind w:left="4616" w:hanging="504"/>
      </w:pPr>
    </w:lvl>
    <w:lvl w:ilvl="3">
      <w:start w:val="1"/>
      <w:numFmt w:val="decimal"/>
      <w:lvlText w:val="%2.%3.%4."/>
      <w:lvlJc w:val="left"/>
      <w:pPr>
        <w:ind w:left="3909" w:hanging="648"/>
      </w:pPr>
      <w:rPr>
        <w:rFonts w:ascii="Cambria" w:eastAsia="Cambria" w:hAnsi="Cambria" w:cs="Cambria"/>
        <w:b w:val="0"/>
        <w:i w:val="0"/>
        <w:sz w:val="24"/>
        <w:szCs w:val="24"/>
      </w:r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CD46DE"/>
    <w:multiLevelType w:val="multilevel"/>
    <w:tmpl w:val="D4F08C4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DSI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460B11"/>
    <w:multiLevelType w:val="multilevel"/>
    <w:tmpl w:val="819E06E8"/>
    <w:lvl w:ilvl="0">
      <w:start w:val="1"/>
      <w:numFmt w:val="bullet"/>
      <w:pStyle w:val="liste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B65DE9"/>
    <w:multiLevelType w:val="multilevel"/>
    <w:tmpl w:val="D7B033FA"/>
    <w:lvl w:ilvl="0">
      <w:start w:val="1"/>
      <w:numFmt w:val="bullet"/>
      <w:pStyle w:val="Listenumro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6E4D5D"/>
    <w:multiLevelType w:val="multilevel"/>
    <w:tmpl w:val="70C47B58"/>
    <w:lvl w:ilvl="0">
      <w:start w:val="1"/>
      <w:numFmt w:val="bullet"/>
      <w:pStyle w:val="Titre1"/>
      <w:lvlText w:val="-"/>
      <w:lvlJc w:val="left"/>
      <w:pPr>
        <w:ind w:left="1428" w:hanging="360"/>
      </w:pPr>
      <w:rPr>
        <w:rFonts w:ascii="Cambria" w:eastAsia="Cambria" w:hAnsi="Cambria" w:cs="Cambria"/>
      </w:rPr>
    </w:lvl>
    <w:lvl w:ilvl="1">
      <w:start w:val="1"/>
      <w:numFmt w:val="bullet"/>
      <w:pStyle w:val="Titre2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re3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itre4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itre5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24"/>
    <w:rsid w:val="0036414B"/>
    <w:rsid w:val="003C0017"/>
    <w:rsid w:val="003C3448"/>
    <w:rsid w:val="003E7C24"/>
    <w:rsid w:val="003F29C7"/>
    <w:rsid w:val="00654A27"/>
    <w:rsid w:val="006F6C68"/>
    <w:rsid w:val="00750A6D"/>
    <w:rsid w:val="008B43E2"/>
    <w:rsid w:val="009A43BE"/>
    <w:rsid w:val="00B55FC1"/>
    <w:rsid w:val="00D728A4"/>
    <w:rsid w:val="00DE30A0"/>
    <w:rsid w:val="00E379AC"/>
    <w:rsid w:val="00EC7EBC"/>
    <w:rsid w:val="00F43FF4"/>
    <w:rsid w:val="00F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DF5EA"/>
  <w15:docId w15:val="{C8820A66-C1A9-5C4D-B9D8-5DDE345C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71F3"/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  <w:szCs w:val="24"/>
      <w:lang w:eastAsia="fr-FR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  <w:lang w:eastAsia="fr-FR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/>
      <w:jc w:val="both"/>
      <w:outlineLvl w:val="0"/>
    </w:pPr>
    <w:rPr>
      <w:rFonts w:ascii="Verdana" w:eastAsia="Times New Roman" w:hAnsi="Verdana" w:cs="Times New Roman"/>
      <w:b/>
      <w:sz w:val="24"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  <w:sz w:val="24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</w:style>
  <w:style w:type="table" w:customStyle="1" w:styleId="Grilledutableau4">
    <w:name w:val="Grille du tableau4"/>
    <w:basedOn w:val="TableauNormal"/>
    <w:next w:val="Grilledutableau"/>
    <w:uiPriority w:val="59"/>
    <w:rsid w:val="005E7CAC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i/>
      <w:small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customStyle="1" w:styleId="Normal0">
    <w:name w:val="[Normal]"/>
    <w:link w:val="NormalCar"/>
    <w:rsid w:val="00FE1989"/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  <w:style w:type="paragraph" w:customStyle="1" w:styleId="Mtr">
    <w:name w:val="Métré"/>
    <w:basedOn w:val="Normal"/>
    <w:link w:val="MtrCar"/>
    <w:qFormat/>
    <w:rsid w:val="002E72B3"/>
    <w:rPr>
      <w:rFonts w:eastAsiaTheme="majorEastAsia" w:cstheme="majorBidi"/>
      <w:u w:val="single"/>
    </w:rPr>
  </w:style>
  <w:style w:type="character" w:customStyle="1" w:styleId="MtrCar">
    <w:name w:val="Métré Car"/>
    <w:basedOn w:val="Policepardfaut"/>
    <w:link w:val="Mtr"/>
    <w:rsid w:val="002E72B3"/>
    <w:rPr>
      <w:rFonts w:ascii="Cambria" w:eastAsiaTheme="majorEastAsia" w:hAnsi="Cambria" w:cstheme="majorBidi"/>
      <w:u w:val="single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e5Gyxr+ssfGmMKulj7ch9q0Vg==">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732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Louis ROB</cp:lastModifiedBy>
  <cp:revision>16</cp:revision>
  <dcterms:created xsi:type="dcterms:W3CDTF">2020-04-19T17:40:00Z</dcterms:created>
  <dcterms:modified xsi:type="dcterms:W3CDTF">2020-05-15T08:10:00Z</dcterms:modified>
</cp:coreProperties>
</file>