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15C7" w14:textId="77777777" w:rsidR="00AA675A" w:rsidRPr="00AB65FF" w:rsidRDefault="00000000">
      <w:pPr>
        <w:spacing w:after="100"/>
        <w:jc w:val="center"/>
        <w:widowControl w:val="1"/>
      </w:pPr>
      <w:r>
        <w:rPr>
          <w:rFonts w:ascii="Arial" w:hAnsi="Arial"/>
          <w:b/>
          <w:sz w:val="32"/>
        </w:rPr>
        <w:t>FICHAMENTO DE LEITURA</w:t>
      </w:r>
    </w:p>
    <w:p w14:paraId="3F3C56CC" w14:textId="77777777" w:rsidR="00AA675A" w:rsidRPr="00AB65FF" w:rsidRDefault="00000000">
      <w:pPr>
        <w:spacing w:after="50"/>
        <w:jc w:val="center"/>
        <w:widowControl w:val="1"/>
      </w:pPr>
      <w:r>
        <w:rPr>
          <w:rFonts w:ascii="Arial" w:hAnsi="Arial"/>
          <w:sz w:val="22"/>
        </w:rPr>
        <w:t>Disciplina: Métodos Qualitativos de Pesquisa em Ciência Política</w:t>
      </w:r>
    </w:p>
    <w:p w14:paraId="08DAB258" w14:textId="77777777" w:rsidR="00AA675A" w:rsidRPr="00AB65FF" w:rsidRDefault="00000000">
      <w:pPr>
        <w:spacing w:after="50"/>
        <w:jc w:val="center"/>
        <w:widowControl w:val="1"/>
      </w:pPr>
      <w:r>
        <w:rPr>
          <w:rFonts w:ascii="Arial" w:hAnsi="Arial"/>
          <w:sz w:val="22"/>
        </w:rPr>
        <w:t>Professor: Julio Cesar de Aguiar</w:t>
      </w:r>
    </w:p>
    <w:p w14:paraId="48F89277" w14:textId="77777777" w:rsidR="00AA675A" w:rsidRPr="00AB65FF" w:rsidRDefault="00000000">
      <w:pPr>
        <w:spacing w:after="50"/>
        <w:jc w:val="center"/>
        <w:widowControl w:val="1"/>
      </w:pPr>
      <w:r>
        <w:rPr>
          <w:rFonts w:ascii="Arial" w:hAnsi="Arial"/>
          <w:sz w:val="22"/>
        </w:rPr>
        <w:t>Aluno(a): Gustavo Magalhães Mendes de Tarso</w:t>
      </w:r>
    </w:p>
    <w:p w14:paraId="0317B76D" w14:textId="77777777" w:rsidR="00AA675A" w:rsidRPr="00AB65FF" w:rsidRDefault="00000000">
      <w:pPr>
        <w:pBdr>
          <w:bottom w:val="single" w:sz="4" w:space="8" w:color="D9D9D9"/>
        </w:pBdr>
        <w:spacing w:after="300"/>
        <w:jc w:val="center"/>
        <w:widowControl w:val="1"/>
      </w:pPr>
      <w:r>
        <w:rPr>
          <w:rFonts w:ascii="Arial" w:hAnsi="Arial"/>
          <w:sz w:val="22"/>
        </w:rPr>
        <w:t>Data: 20 de agosto de 2026</w:t>
      </w:r>
    </w:p>
    <w:p>
      <w:pPr>
        <w:pStyle w:val="Heading1"/>
        <w:widowControl w:val="1"/>
      </w:pPr>
      <w:r>
        <w:t>1. REFERÊNCIAS BIBLIOGRÁFICAS</w:t>
      </w:r>
    </w:p>
    <w:p>
      <w:pPr>
        <w:spacing w:after="100"/>
        <w:ind w:left="0" w:firstLine="0"/>
        <w:jc w:val="both"/>
        <w:widowControl w:val="1"/>
      </w:pPr>
      <w:r>
        <w:rPr>
          <w:b/>
        </w:rPr>
        <w:t xml:space="preserve">Texto 1: </w:t>
      </w:r>
      <w:r>
        <w:t>BRAUN, Virginia; CLARKE, Victoria. Using thematic analysis in psychology. Qualitative Research in Psychology, v. 3, n. 2, p. 77-101, 2006. DOI: 10.1191/1478088706qp063oa.</w:t>
      </w:r>
    </w:p>
    <w:p>
      <w:pPr>
        <w:spacing w:after="100"/>
        <w:ind w:left="0" w:firstLine="0"/>
        <w:jc w:val="both"/>
        <w:widowControl w:val="1"/>
      </w:pPr>
      <w:r>
        <w:rPr>
          <w:b/>
        </w:rPr>
        <w:t xml:space="preserve">Texto 2: </w:t>
      </w:r>
      <w:r>
        <w:t>SOUZA, Luciana Karine de. Pesquisa com análise qualitativa de dados: conhecendo a Análise Temática. Arquivos Brasileiros de Psicologia, Rio de Janeiro, v. 71, n. 2, p. 51-67, 2019.</w:t>
      </w:r>
    </w:p>
    <w:p>
      <w:pPr>
        <w:spacing w:after="100"/>
        <w:ind w:left="0" w:firstLine="0"/>
        <w:jc w:val="both"/>
        <w:widowControl w:val="1"/>
      </w:pPr>
      <w:r>
        <w:rPr>
          <w:b/>
        </w:rPr>
        <w:t xml:space="preserve">Texto 3: </w:t>
      </w:r>
      <w:r>
        <w:t>ROSA, Liane Serra da; MACKEDANZ, Luiz Fernando. A análise temática como metodologia na pesquisa qualitativa em educação em ciências. Atos de Pesquisa em Educação, Blumenau, v. 16, e8574, 2021. DOI: 10.7867/1809-0354202116e8574.</w:t>
      </w:r>
    </w:p>
    <w:p>
      <w:pPr>
        <w:pStyle w:val="Heading1"/>
        <w:widowControl w:val="1"/>
      </w:pPr>
      <w:r>
        <w:t>2. SÍNTESE DOS TEXTOS</w:t>
      </w:r>
    </w:p>
    <w:p>
      <w:pPr>
        <w:pStyle w:val="FichamentoSubtitulo"/>
        <w:widowControl w:val="1"/>
      </w:pPr>
      <w:r>
        <w:t>Texto 1 - Braun e Clarke (2006)</w:t>
      </w:r>
    </w:p>
    <w:p>
      <w:pPr>
        <w:spacing w:after="120" w:line="276" w:lineRule="auto"/>
        <w:ind w:firstLine="709"/>
        <w:jc w:val="both"/>
        <w:widowControl w:val="1"/>
      </w:pPr>
      <w:r>
        <w:t>Braun e Clarke partem de um problema bastante concreto: a análise temática já era amplamente usada na pesquisa qualitativa, sobretudo na Psicologia, mas frequentemente aparecia sem uma definição clara ou mesmo sem ser assumida como método. O artigo procura preencher essa lacuna, apresentando a Análise Temática (AT) como um método próprio para identificar, analisar e relatar padrões de significado em um conjunto de dados. Ao mesmo tempo em que defendem sua acessibilidade, as autoras procuram afastar a ideia de que flexibilidade significa ausência de rigor. Por isso, o texto não se limita às seis fases de análise: discute também as decisões que precisam ser explicitadas, como a opção por uma orientação indutiva ou teórica, por temas semânticos ou latentes e pela posição epistemológica que sustenta a interpretação.</w:t>
      </w:r>
    </w:p>
    <w:p>
      <w:pPr>
        <w:spacing w:after="120" w:line="276" w:lineRule="auto"/>
        <w:ind w:firstLine="709"/>
        <w:jc w:val="both"/>
        <w:widowControl w:val="1"/>
      </w:pPr>
      <w:r>
        <w:t>A contribuição mais importante do artigo, a meu ver, está em mostrar que a AT não é uma técnica neutra que simplesmente revela temas já existentes nos dados. O pesquisador participa ativamente da construção analítica, selecionando padrões, atribuindo relevância e articulando os achados à pergunta de pesquisa. Essa concepção aparece também quando Braun e Clarke rejeitam a linguagem segundo a qual os temas simplesmente 'emergem'. O artigo termina discutindo armadilhas frequentes, critérios de qualidade, vantagens e limitações do método. Com isso, oferece não apenas um roteiro operacional, mas um vocabulário metodológico que permite justificar de modo transparente o que foi feito e por quê.</w:t>
      </w:r>
    </w:p>
    <w:p>
      <w:pPr>
        <w:pStyle w:val="FichamentoSubtitulo"/>
        <w:widowControl w:val="1"/>
      </w:pPr>
      <w:r>
        <w:t>Texto 2 - Souza (2019)</w:t>
      </w:r>
    </w:p>
    <w:p>
      <w:pPr>
        <w:spacing w:after="120" w:line="276" w:lineRule="auto"/>
        <w:ind w:firstLine="709"/>
        <w:jc w:val="both"/>
        <w:widowControl w:val="1"/>
      </w:pPr>
      <w:r>
        <w:t>Souza retoma a proposta de Braun e Clarke com uma finalidade mais didática e aplicada, dirigida especialmente a pesquisadores que estão começando a trabalhar com dados qualitativos. O texto apresenta a AT em língua portuguesa, detalha sua preparação e percorre as seis fases com exemplos baseados em dados de pesquisa brasileiros. A autora enfatiza a recursividade do processo: familiarização, codificação, construção e revisão de temas, nomeação e escrita do relatório não funcionam como etapas estanques. A escrita acompanha a análise desde o início, assim como o registro de decisões, hipóteses e mudanças de interpretação.</w:t>
      </w:r>
    </w:p>
    <w:p>
      <w:pPr>
        <w:spacing w:after="120" w:line="276" w:lineRule="auto"/>
        <w:ind w:firstLine="709"/>
        <w:jc w:val="both"/>
        <w:widowControl w:val="1"/>
      </w:pPr>
      <w:r>
        <w:t>O artigo amplia a discussão ao introduzir diferentes famílias de análise temática - Coding Reliability, Codebook e Reflexive - e ao contrastar temas meramente descritivos, chamados de 'tema cesta', com temas interpretativamente desenvolvidos, ou 'tema livro de histórias'. Souza também chama atenção para a prevalência: um tema não se torna relevante apenas porque aparece mais vezes. Ao final, apresenta sete vantagens da AT, recomendações para editores e pareceristas e alguns limites importantes. Entre eles, está o risco de transformar as seis fases em receita, negligenciar a familiarização com os dados ou confundir análise qualitativa com contagem de ocorrências. Sua contribuição específica é tornar o método mais acessível ao contexto brasileiro sem reduzir a complexidade das decisões analíticas.</w:t>
      </w:r>
    </w:p>
    <w:p>
      <w:pPr>
        <w:pStyle w:val="FichamentoSubtitulo"/>
        <w:widowControl w:val="1"/>
      </w:pPr>
      <w:r>
        <w:t>Texto 3 - Rosa e Mackedanz (2021)</w:t>
      </w:r>
    </w:p>
    <w:p>
      <w:pPr>
        <w:spacing w:after="120" w:line="276" w:lineRule="auto"/>
        <w:ind w:firstLine="709"/>
        <w:jc w:val="both"/>
        <w:widowControl w:val="1"/>
      </w:pPr>
      <w:r>
        <w:t>Rosa e Mackedanz deslocam a discussão para a Educação em Ciências. Antes de apresentar a Análise Temática, os autores situam diferentes procedimentos de análise qualitativa em relação à Análise de Conteúdo, à Análise do Discurso e a abordagens hermenêuticas. O argumento central é que a AT oferece maior liberdade porque não obriga o pesquisador a aderir, desde o início, a um único arcabouço teórico. Essa característica permitiria analisar discursos e textos de maneira mais aberta e, posteriormente, dialogar com diferentes referenciais teóricos. O artigo recupera as decisões entre indução e dedução, níveis semântico e latente e as seis fases descritas por Braun e Clarke.</w:t>
      </w:r>
    </w:p>
    <w:p>
      <w:pPr>
        <w:spacing w:after="120" w:line="276" w:lineRule="auto"/>
        <w:ind w:firstLine="709"/>
        <w:jc w:val="both"/>
        <w:widowControl w:val="1"/>
      </w:pPr>
      <w:r>
        <w:t>A parte mais concreta do texto é a aplicação da AT a uma pesquisa com 16 professores de Ciências da rede escolar de Rio Grande (RS), voltada à formação continuada e à pós-graduação. Os autores descrevem como passaram da leitura exploratória e da geração de códigos à revisão e denominação dos temas. O processo resultou em três eixos: formação continuada como possibilidade de inovação pedagógica; formação continuada como ascensão pessoal e profissional; e desafios da docência. Esse terceiro eixo é desenvolvido com maior profundidade e evidencia obstáculos como carga de trabalho, condições institucionais e dificuldade de conciliar atividade profissional e pós-graduação. O texto, portanto, funciona como demonstração de que a AT pode ser transportada da Psicologia e da Saúde para a Educação e para problemas de natureza institucional e política.</w:t>
      </w:r>
    </w:p>
    <w:p>
      <w:pPr>
        <w:pStyle w:val="Heading1"/>
        <w:widowControl w:val="1"/>
      </w:pPr>
      <w:r>
        <w:t>3. PRINCIPAIS CONCEITOS E ARGUMENTOS</w:t>
      </w:r>
    </w:p>
    <w:p>
      <w:pPr>
        <w:pStyle w:val="FichamentoSubtitulo"/>
        <w:widowControl w:val="1"/>
      </w:pPr>
      <w:r>
        <w:t>Texto 1 - Braun e Clarke (2006)</w:t>
      </w:r>
    </w:p>
    <w:p>
      <w:pPr>
        <w:spacing w:after="100"/>
        <w:ind w:firstLine="0"/>
        <w:jc w:val="both"/>
        <w:widowControl w:val="1"/>
      </w:pPr>
      <w:r>
        <w:rPr>
          <w:b/>
        </w:rPr>
        <w:t xml:space="preserve">Análise Temática: </w:t>
      </w:r>
      <w:r>
        <w:t>Método destinado a identificar, analisar e relatar padrões de significado dentro de um conjunto de dados. Pode produzir desde uma descrição rica do material até uma interpretação mais aprofundada, dependendo da pergunta de pesquisa e das escolhas teóricas do pesquisador.</w:t>
      </w:r>
    </w:p>
    <w:p>
      <w:pPr>
        <w:spacing w:after="100"/>
        <w:ind w:firstLine="0"/>
        <w:jc w:val="both"/>
        <w:widowControl w:val="1"/>
      </w:pPr>
      <w:r>
        <w:rPr>
          <w:b/>
        </w:rPr>
        <w:t xml:space="preserve">Tema e prevalência: </w:t>
      </w:r>
      <w:r>
        <w:t>Um tema precisa capturar algo importante em relação à pergunta de pesquisa e organizar um padrão de significado. Sua importância não é determinada automaticamente pela frequência: um tema menos recorrente pode ser analiticamente decisivo se responder a um aspecto central do problema investigado.</w:t>
      </w:r>
    </w:p>
    <w:p>
      <w:pPr>
        <w:spacing w:after="100"/>
        <w:ind w:firstLine="0"/>
        <w:jc w:val="both"/>
        <w:widowControl w:val="1"/>
      </w:pPr>
      <w:r>
        <w:rPr>
          <w:b/>
        </w:rPr>
        <w:t xml:space="preserve">Indução/dedução e níveis semântico/latente: </w:t>
      </w:r>
      <w:r>
        <w:t>A codificação pode ser mais orientada pelos próprios dados ou por interesses teóricos prévios. Além disso, a análise pode permanecer próxima dos sentidos explícitos das falas e textos ou buscar pressupostos, ideias e estruturas subjacentes que organizam esses sentidos.</w:t>
      </w:r>
    </w:p>
    <w:p>
      <w:pPr>
        <w:spacing w:after="100"/>
        <w:ind w:firstLine="0"/>
        <w:jc w:val="both"/>
        <w:widowControl w:val="1"/>
      </w:pPr>
      <w:r>
        <w:rPr>
          <w:b/>
        </w:rPr>
        <w:t xml:space="preserve">Papel ativo do pesquisador: </w:t>
      </w:r>
      <w:r>
        <w:t>Os temas não são tratados como entidades que simplesmente existem no material à espera de descoberta. O pesquisador reconhece padrões, toma decisões e constrói uma narrativa analítica. Por isso, transparência epistemológica e coerência entre método, teoria e interpretação são parte do rigor.</w:t>
      </w:r>
    </w:p>
    <w:p>
      <w:pPr>
        <w:pStyle w:val="FichamentoSubtitulo"/>
        <w:widowControl w:val="1"/>
      </w:pPr>
      <w:r>
        <w:t>Texto 2 - Souza (2019)</w:t>
      </w:r>
    </w:p>
    <w:p>
      <w:pPr>
        <w:spacing w:after="100"/>
        <w:ind w:firstLine="0"/>
        <w:jc w:val="both"/>
        <w:widowControl w:val="1"/>
      </w:pPr>
      <w:r>
        <w:rPr>
          <w:b/>
        </w:rPr>
        <w:t xml:space="preserve">Recursividade: </w:t>
      </w:r>
      <w:r>
        <w:t>A AT é apresentada como um processo de ida e volta entre dados, códigos, temas e interpretação. As seis fases organizam o trabalho, mas não constituem uma sequência rígida; revisões e recodificações fazem parte do próprio amadurecimento analítico.</w:t>
      </w:r>
    </w:p>
    <w:p>
      <w:pPr>
        <w:spacing w:after="100"/>
        <w:ind w:firstLine="0"/>
        <w:jc w:val="both"/>
        <w:widowControl w:val="1"/>
      </w:pPr>
      <w:r>
        <w:rPr>
          <w:b/>
        </w:rPr>
        <w:t xml:space="preserve">Coding Reliability, Codebook e Reflexive: </w:t>
      </w:r>
      <w:r>
        <w:t>Souza apresenta três famílias de análise temática. A primeira se aproxima de uma lógica de confiabilidade e concordância entre codificadores; a segunda utiliza uma grade de códigos mais estruturada; a reflexiva valoriza a flexibilidade, a imersão nos dados e o papel interpretativo do pesquisador.</w:t>
      </w:r>
    </w:p>
    <w:p>
      <w:pPr>
        <w:spacing w:after="100"/>
        <w:ind w:firstLine="0"/>
        <w:jc w:val="both"/>
        <w:widowControl w:val="1"/>
      </w:pPr>
      <w:r>
        <w:rPr>
          <w:b/>
        </w:rPr>
        <w:t xml:space="preserve">Tema cesta e tema livro de histórias: </w:t>
      </w:r>
      <w:r>
        <w:t>O 'tema cesta' reúne conteúdos de forma predominantemente descritiva, enquanto o 'tema livro de histórias' representa um resultado interpretativo mais desenvolvido, com coerência interna e capacidade de contar algo analiticamente relevante sobre o fenômeno.</w:t>
      </w:r>
    </w:p>
    <w:p>
      <w:pPr>
        <w:spacing w:after="100"/>
        <w:ind w:firstLine="0"/>
        <w:jc w:val="both"/>
        <w:widowControl w:val="1"/>
      </w:pPr>
      <w:r>
        <w:rPr>
          <w:b/>
        </w:rPr>
        <w:t xml:space="preserve">Homogeneidade interna e heterogeneidade externa: </w:t>
      </w:r>
      <w:r>
        <w:t>Na revisão dos temas, os dados reunidos em cada tema precisam compartilhar um núcleo coerente, enquanto temas diferentes devem apresentar fronteiras analíticas reconhecíveis. Esse critério ajuda a evitar sobreposição e categorias excessivamente amplas.</w:t>
      </w:r>
    </w:p>
    <w:p>
      <w:pPr>
        <w:pStyle w:val="FichamentoSubtitulo"/>
        <w:widowControl w:val="1"/>
      </w:pPr>
      <w:r>
        <w:t>Texto 3 - Rosa e Mackedanz (2021)</w:t>
      </w:r>
    </w:p>
    <w:p>
      <w:pPr>
        <w:spacing w:after="100"/>
        <w:ind w:firstLine="0"/>
        <w:jc w:val="both"/>
        <w:widowControl w:val="1"/>
      </w:pPr>
      <w:r>
        <w:rPr>
          <w:b/>
        </w:rPr>
        <w:t xml:space="preserve">Liberdade teórica da Análise Temática: </w:t>
      </w:r>
      <w:r>
        <w:t>Os autores defendem que a AT não exige vinculação necessária a uma corrente teórica única e pode permitir que o pesquisador organize os dados antes de realizar uma interlocução mais específica com determinado referencial. Essa liberdade é apresentada como uma vantagem para pesquisas em Educação e Ensino.</w:t>
      </w:r>
    </w:p>
    <w:p>
      <w:pPr>
        <w:spacing w:after="100"/>
        <w:ind w:firstLine="0"/>
        <w:jc w:val="both"/>
        <w:widowControl w:val="1"/>
      </w:pPr>
      <w:r>
        <w:rPr>
          <w:b/>
        </w:rPr>
        <w:t xml:space="preserve">Espectro entre conteúdo e discurso: </w:t>
      </w:r>
      <w:r>
        <w:t>O artigo contrasta a Análise de Conteúdo, mais voltada à materialidade e à categorização, com a Análise do Discurso, orientada à produção de sentidos e às condições ideológicas. A AT é situada como alternativa capaz de trabalhar tanto aspectos semânticos quanto latentes.</w:t>
      </w:r>
    </w:p>
    <w:p>
      <w:pPr>
        <w:spacing w:after="100"/>
        <w:ind w:firstLine="0"/>
        <w:jc w:val="both"/>
        <w:widowControl w:val="1"/>
      </w:pPr>
      <w:r>
        <w:rPr>
          <w:b/>
        </w:rPr>
        <w:t xml:space="preserve">Temas a priori e temas construídos durante a análise: </w:t>
      </w:r>
      <w:r>
        <w:t>Na aplicação empírica, alguns temas iniciais decorrem da própria questão de pesquisa, enquanto outros são reformulados ou criados no contato com os dados. O exemplo mostra que uma orientação inicial não impede a revisão dos temas quando os códigos deixam de caber adequadamente nas categorias previstas.</w:t>
      </w:r>
    </w:p>
    <w:p>
      <w:pPr>
        <w:spacing w:after="100"/>
        <w:ind w:firstLine="0"/>
        <w:jc w:val="both"/>
        <w:widowControl w:val="1"/>
      </w:pPr>
      <w:r>
        <w:rPr>
          <w:b/>
        </w:rPr>
        <w:t xml:space="preserve">Aplicação à formação docente: </w:t>
      </w:r>
      <w:r>
        <w:t>A análise dos questionários transforma dificuldades e expectativas dos professores em temas que articulam formação continuada, inovação, ascensão profissional e condições concretas de trabalho. A AT funciona, assim, como ponte entre relatos individuais e problemas institucionais mais amplos.</w:t>
      </w:r>
    </w:p>
    <w:p>
      <w:pPr>
        <w:pStyle w:val="Heading1"/>
        <w:widowControl w:val="1"/>
      </w:pPr>
      <w:r>
        <w:t>4. ANÁLISE CRÍTICA E REFLEXÕES PESSOAIS</w:t>
      </w:r>
    </w:p>
    <w:p>
      <w:pPr>
        <w:spacing w:after="120" w:line="276" w:lineRule="auto"/>
        <w:ind w:firstLine="709"/>
        <w:jc w:val="both"/>
        <w:widowControl w:val="1"/>
      </w:pPr>
      <w:r>
        <w:t>A leitura conjunta dos três textos me deixou com a impressão de que a maior força da Análise Temática é também o ponto que exige mais cuidado: sua flexibilidade. Braun e Clarke conseguem explicar bem essa tensão. O método é acessível e adaptável, mas não significa que qualquer agrupamento de falas possa ser chamado de análise. É preciso explicitar escolhas, trabalhar os dados de forma sistemática e produzir temas que façam mais do que resumir respostas. Nesse aspecto, considero o texto de Souza especialmente útil, porque traduz essas exigências para uma linguagem mais operacional sem esconder que o trabalho é demorado, recursivo e dependente de julgamento. A distinção entre 'tema cesta' e 'tema livro de histórias' é particularmente esclarecedora: ela ajuda a perceber por que uma boa análise precisa avançar da organização do material para uma interpretação capaz de sustentar um argumento.</w:t>
      </w:r>
    </w:p>
    <w:p>
      <w:pPr>
        <w:spacing w:after="120" w:line="276" w:lineRule="auto"/>
        <w:ind w:firstLine="709"/>
        <w:jc w:val="both"/>
        <w:widowControl w:val="1"/>
      </w:pPr>
      <w:r>
        <w:t>O ponto que mais me chamou atenção aparece quando comparo Braun e Clarke com Rosa e Mackedanz. Estes últimos apresentam a liberdade teórica da AT como possibilidade de realizar uma análise sem pressupor uma teoria subjacente e chegam a associar isso à ausência de viés desde a produção dos dados. Eu considero essa afirmação problemática se for tomada literalmente. O próprio artigo de Braun e Clarke sustenta que os dados não são codificados em um 'vácuo epistemológico' e insiste no papel ativo do pesquisador. Além disso, Rosa e Mackedanz reconhecem, em sua introdução, que toda análise textual está ligada a quem analisa e assumem uma posição epistemológica ao discutir o processo qualitativo. Para mim, a formulação mais consistente seria dizer que a AT não é vinculada obrigatoriamente a um único referencial teórico, e não que ela elimina pressupostos ou vieses. Essa diferença parece pequena, mas tem implicações importantes para a transparência metodológica.</w:t>
      </w:r>
    </w:p>
    <w:p>
      <w:pPr>
        <w:spacing w:after="120" w:line="276" w:lineRule="auto"/>
        <w:ind w:firstLine="709"/>
        <w:jc w:val="both"/>
        <w:widowControl w:val="1"/>
      </w:pPr>
      <w:r>
        <w:t>Apesar dessa ressalva, considero a aplicabilidade do método bastante ampla. O exemplo da formação de professores mostra que a AT não precisa ficar restrita à Psicologia: ela permite organizar experiências individuais e, ao mesmo tempo, revelar problemas institucionais que atravessam essas experiências. Vejo, porém, um risco recorrente na aproximação entre análise temática e contagem de ocorrências. Em estudos de políticas públicas, um tema raro pode ser mais relevante do que um tema frequente se apontar uma falha grave de implementação, um conflito normativo ou uma experiência sistematicamente invisibilizada. Por isso, eu usaria a frequência como informação auxiliar, nunca como critério suficiente para definir importância analítica.</w:t>
      </w:r>
    </w:p>
    <w:p>
      <w:pPr>
        <w:pStyle w:val="Heading1"/>
        <w:widowControl w:val="1"/>
      </w:pPr>
      <w:r>
        <w:t>5. CONEXÕES E DIÁLOGOS ENTRE OS TEXTOS</w:t>
      </w:r>
    </w:p>
    <w:p>
      <w:pPr>
        <w:spacing w:after="120" w:line="276" w:lineRule="auto"/>
        <w:ind w:firstLine="709"/>
        <w:jc w:val="both"/>
        <w:widowControl w:val="1"/>
      </w:pPr>
      <w:r>
        <w:t>Os três textos podem ser lidos como etapas de um mesmo percurso. Braun e Clarke (2006) oferecem a formulação metodológica de base: definem a AT, organizam suas decisões e apresentam as seis fases. Souza (2019) retoma essa proposta em contexto brasileiro, amplia a discussão com desenvolvimentos posteriores e procura mostrar como o método é efetivamente conduzido. Rosa e Mackedanz (2021), por sua vez, testam a portabilidade da AT para outro campo, a Educação em Ciências, e apresentam um caso concreto em que os temas são construídos, revisados e articulados a um problema de formação docente. Há, portanto, uma passagem da fundamentação para a didatização e, depois, para a aplicação.</w:t>
      </w:r>
    </w:p>
    <w:p>
      <w:pPr>
        <w:spacing w:after="120" w:line="276" w:lineRule="auto"/>
        <w:ind w:firstLine="709"/>
        <w:jc w:val="both"/>
        <w:widowControl w:val="1"/>
      </w:pPr>
      <w:r>
        <w:t>A concordância principal está na defesa da flexibilidade, da recursividade e das seis fases como orientação, não como receita. Também há convergência quanto à possibilidade de trabalhar com caminhos indutivos e dedutivos e com diferentes níveis de interpretação. A divergência mais relevante está na forma de tratar a relação entre teoria e análise. Braun e Clarke afirmam que a AT não está presa a um único quadro teórico, mas exigem que a posição epistemológica seja reconhecida; Rosa e Mackedanz enfatizam a possibilidade de postergar o diálogo teórico e chegam a falar em ausência de viés. Souza fica numa posição intermediária: valoriza a independência e a flexibilidade da AT, mas também destaca as decisões do pesquisador, a necessidade de coerência e o caráter ativo da interpretação.</w:t>
      </w:r>
    </w:p>
    <w:p>
      <w:pPr>
        <w:pStyle w:val="Heading1"/>
        <w:widowControl w:val="1"/>
      </w:pPr>
      <w:r>
        <w:t>6. APLICAÇÕES EM POLÍTICAS PÚBLICAS E GOVERNO</w:t>
      </w:r>
    </w:p>
    <w:p>
      <w:pPr>
        <w:spacing w:after="120" w:line="276" w:lineRule="auto"/>
        <w:ind w:firstLine="709"/>
        <w:jc w:val="both"/>
        <w:widowControl w:val="1"/>
      </w:pPr>
      <w:r>
        <w:t>Vejo uma aplicação direta da Análise Temática em estudos de formulação, implementação e avaliação de políticas públicas. Entrevistas com gestores, servidores da linha de frente, usuários e representantes da sociedade civil podem ser analisadas para identificar padrões de percepção sobre acesso, barreiras institucionais, capacidade estatal, coordenação entre órgãos, efeitos não previstos e critérios informais usados na execução de uma política. Documentos administrativos, manifestações em consultas públicas, relatórios de ouvidoria e atas de reuniões também podem compor o corpus. A possibilidade de combinar uma orientação dedutiva - guiada, por exemplo, por dimensões previamente definidas de implementação - com abertura para temas não previstos é particularmente útil em avaliações que precisam responder a perguntas concretas sem perder achados inesperados.</w:t>
      </w:r>
    </w:p>
    <w:p>
      <w:pPr>
        <w:spacing w:after="120" w:line="276" w:lineRule="auto"/>
        <w:ind w:firstLine="709"/>
        <w:jc w:val="both"/>
        <w:widowControl w:val="1"/>
      </w:pPr>
      <w:r>
        <w:t>Também considero valiosa a distinção entre análise semântica e latente. Em uma pesquisa sobre um programa governamental, o nível semântico permitiria organizar aquilo que os atores dizem explicitamente sobre o funcionamento do programa; uma análise latente poderia explorar pressupostos sobre mérito, responsabilidade, cidadania, risco ou autoridade que estruturam essas falas. Esse ganho interpretativo, entretanto, depende da transparência defendida por Braun e Clarke: seria necessário deixar claro qual perspectiva orienta a leitura e como os temas foram construídos. Em políticas públicas, onde os dados frequentemente envolvem conflitos de interesse e assimetrias de poder, essa explicitação não é apenas uma exigência acadêmica; ela ajuda a tornar a análise mais auditável e a separar evidência empírica, interpretação e julgamento normativo.</w:t>
      </w:r>
    </w:p>
    <w:p>
      <w:pPr>
        <w:pStyle w:val="Heading1"/>
        <w:widowControl w:val="1"/>
      </w:pPr>
      <w:r>
        <w:t>7. QUESTÕES PARA APROFUNDAMENTO</w:t>
      </w:r>
    </w:p>
    <w:p>
      <w:pPr>
        <w:spacing w:after="120"/>
        <w:ind w:left="340" w:hanging="340"/>
        <w:jc w:val="both"/>
        <w:widowControl w:val="1"/>
      </w:pPr>
      <w:r>
        <w:rPr>
          <w:b/>
        </w:rPr>
        <w:t xml:space="preserve">1. </w:t>
      </w:r>
      <w:r>
        <w:t>Como preservar a flexibilidade da Análise Temática sem permitir que ela se transforme em um procedimento excessivamente dependente de decisões pouco transparentes do pesquisador, especialmente em temas politicamente controversos?</w:t>
      </w:r>
    </w:p>
    <w:p>
      <w:pPr>
        <w:spacing w:after="120"/>
        <w:ind w:left="340" w:hanging="340"/>
        <w:jc w:val="both"/>
        <w:widowControl w:val="1"/>
      </w:pPr>
      <w:r>
        <w:rPr>
          <w:b/>
        </w:rPr>
        <w:t xml:space="preserve">2. </w:t>
      </w:r>
      <w:r>
        <w:t>Quais critérios são mais adequados para distinguir um tema analiticamente importante de um tema apenas frequente quando o corpus reúne diferentes grupos de atores, como gestores, burocratas de nível de rua e cidadãos?</w:t>
      </w:r>
    </w:p>
    <w:p>
      <w:pPr>
        <w:spacing w:after="120"/>
        <w:ind w:left="340" w:hanging="340"/>
        <w:jc w:val="both"/>
        <w:widowControl w:val="1"/>
      </w:pPr>
      <w:r>
        <w:rPr>
          <w:b/>
        </w:rPr>
        <w:t xml:space="preserve">3. </w:t>
      </w:r>
      <w:r>
        <w:t>Até que ponto é metodologicamente defensável falar em uma análise 'independente de teoria' em pesquisas de políticas públicas, considerando que as próprias categorias institucionais e perguntas de pesquisa já carregam pressupostos sobre Estado, poder, direitos e funcionamento das organizações?</w:t>
      </w:r>
    </w:p>
    <w:sectPr w:rsidR="00DB08D0" w:rsidRPr="00AB65F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20204"/>
    <w:multiLevelType w:val="hybridMultilevel"/>
    <w:tmpl w:val="E6FAAD46"/>
    <w:lvl w:ilvl="0" w:tplc="0CAEA948">
      <w:start w:val="1"/>
      <w:numFmt w:val="bullet"/>
      <w:lvlText w:val="•"/>
      <w:lvlJc w:val="left"/>
      <w:pPr>
        <w:ind w:left="720" w:hanging="360"/>
      </w:pPr>
    </w:lvl>
    <w:lvl w:ilvl="1" w:tplc="C6DC8E10">
      <w:numFmt w:val="decimal"/>
      <w:lvlText w:val=""/>
      <w:lvlJc w:val="left"/>
    </w:lvl>
    <w:lvl w:ilvl="2" w:tplc="8D0C7B72">
      <w:numFmt w:val="decimal"/>
      <w:lvlText w:val=""/>
      <w:lvlJc w:val="left"/>
    </w:lvl>
    <w:lvl w:ilvl="3" w:tplc="55A8939A">
      <w:numFmt w:val="decimal"/>
      <w:lvlText w:val=""/>
      <w:lvlJc w:val="left"/>
    </w:lvl>
    <w:lvl w:ilvl="4" w:tplc="F34E9A98">
      <w:numFmt w:val="decimal"/>
      <w:lvlText w:val=""/>
      <w:lvlJc w:val="left"/>
    </w:lvl>
    <w:lvl w:ilvl="5" w:tplc="4E86D984">
      <w:numFmt w:val="decimal"/>
      <w:lvlText w:val=""/>
      <w:lvlJc w:val="left"/>
    </w:lvl>
    <w:lvl w:ilvl="6" w:tplc="3B34A6FE">
      <w:numFmt w:val="decimal"/>
      <w:lvlText w:val=""/>
      <w:lvlJc w:val="left"/>
    </w:lvl>
    <w:lvl w:ilvl="7" w:tplc="D80E2D78">
      <w:numFmt w:val="decimal"/>
      <w:lvlText w:val=""/>
      <w:lvlJc w:val="left"/>
    </w:lvl>
    <w:lvl w:ilvl="8" w:tplc="CEEE1DEE">
      <w:numFmt w:val="decimal"/>
      <w:lvlText w:val=""/>
      <w:lvlJc w:val="left"/>
    </w:lvl>
  </w:abstractNum>
  <w:abstractNum w:abstractNumId="1" w15:restartNumberingAfterBreak="0">
    <w:nsid w:val="5EC62BB3"/>
    <w:multiLevelType w:val="hybridMultilevel"/>
    <w:tmpl w:val="6074A466"/>
    <w:lvl w:ilvl="0" w:tplc="7BC4825E">
      <w:start w:val="1"/>
      <w:numFmt w:val="bullet"/>
      <w:lvlText w:val="●"/>
      <w:lvlJc w:val="left"/>
      <w:pPr>
        <w:ind w:left="720" w:hanging="360"/>
      </w:pPr>
    </w:lvl>
    <w:lvl w:ilvl="1" w:tplc="DDA8F624">
      <w:start w:val="1"/>
      <w:numFmt w:val="bullet"/>
      <w:lvlText w:val="○"/>
      <w:lvlJc w:val="left"/>
      <w:pPr>
        <w:ind w:left="1440" w:hanging="360"/>
      </w:pPr>
    </w:lvl>
    <w:lvl w:ilvl="2" w:tplc="5A06F13A">
      <w:start w:val="1"/>
      <w:numFmt w:val="bullet"/>
      <w:lvlText w:val="■"/>
      <w:lvlJc w:val="left"/>
      <w:pPr>
        <w:ind w:left="2160" w:hanging="360"/>
      </w:pPr>
    </w:lvl>
    <w:lvl w:ilvl="3" w:tplc="05169DF4">
      <w:start w:val="1"/>
      <w:numFmt w:val="bullet"/>
      <w:lvlText w:val="●"/>
      <w:lvlJc w:val="left"/>
      <w:pPr>
        <w:ind w:left="2880" w:hanging="360"/>
      </w:pPr>
    </w:lvl>
    <w:lvl w:ilvl="4" w:tplc="219E1CA2">
      <w:start w:val="1"/>
      <w:numFmt w:val="bullet"/>
      <w:lvlText w:val="○"/>
      <w:lvlJc w:val="left"/>
      <w:pPr>
        <w:ind w:left="3600" w:hanging="360"/>
      </w:pPr>
    </w:lvl>
    <w:lvl w:ilvl="5" w:tplc="F90AAD2A">
      <w:start w:val="1"/>
      <w:numFmt w:val="bullet"/>
      <w:lvlText w:val="■"/>
      <w:lvlJc w:val="left"/>
      <w:pPr>
        <w:ind w:left="4320" w:hanging="360"/>
      </w:pPr>
    </w:lvl>
    <w:lvl w:ilvl="6" w:tplc="CD7C9CE4">
      <w:start w:val="1"/>
      <w:numFmt w:val="bullet"/>
      <w:lvlText w:val="●"/>
      <w:lvlJc w:val="left"/>
      <w:pPr>
        <w:ind w:left="5040" w:hanging="360"/>
      </w:pPr>
    </w:lvl>
    <w:lvl w:ilvl="7" w:tplc="4E1AA68C">
      <w:start w:val="1"/>
      <w:numFmt w:val="bullet"/>
      <w:lvlText w:val="●"/>
      <w:lvlJc w:val="left"/>
      <w:pPr>
        <w:ind w:left="5760" w:hanging="360"/>
      </w:pPr>
    </w:lvl>
    <w:lvl w:ilvl="8" w:tplc="EBB41F70">
      <w:start w:val="1"/>
      <w:numFmt w:val="bullet"/>
      <w:lvlText w:val="●"/>
      <w:lvlJc w:val="left"/>
      <w:pPr>
        <w:ind w:left="6480" w:hanging="360"/>
      </w:pPr>
    </w:lvl>
  </w:abstractNum>
  <w:num w:numId="1" w16cid:durableId="2137676704">
    <w:abstractNumId w:val="1"/>
    <w:lvlOverride w:ilvl="0">
      <w:startOverride w:val="1"/>
    </w:lvlOverride>
  </w:num>
  <w:num w:numId="2" w16cid:durableId="1988237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75A"/>
    <w:rsid w:val="0052682E"/>
    <w:rsid w:val="006E247F"/>
    <w:rsid w:val="00716CED"/>
    <w:rsid w:val="008C2035"/>
    <w:rsid w:val="00AA675A"/>
    <w:rsid w:val="00AB65FF"/>
    <w:rsid w:val="00DB0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2ADAE"/>
  <w15:docId w15:val="{E3FBADD5-18B0-4505-A013-ABDDBEC6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hAnsi="Arial" w:eastAsia="Arial"/>
      <w:sz w:val="22"/>
      <w:lang w:val="pt-BR"/>
    </w:rPr>
  </w:style>
  <w:style w:type="paragraph" w:styleId="Heading1">
    <w:name w:val="heading 1"/>
    <w:uiPriority w:val="9"/>
    <w:qFormat/>
    <w:pPr>
      <w:keepNext/>
      <w:spacing w:before="240" w:after="120"/>
      <w:outlineLvl w:val="0"/>
    </w:pPr>
    <w:rPr>
      <w:rFonts w:ascii="Arial" w:hAnsi="Arial" w:eastAsia="Arial"/>
      <w:b/>
      <w:bCs/>
      <w:color w:val="1F567B"/>
      <w:sz w:val="26"/>
      <w:szCs w:val="28"/>
    </w:rPr>
  </w:style>
  <w:style w:type="paragraph" w:styleId="Heading2">
    <w:name w:val="heading 2"/>
    <w:uiPriority w:val="9"/>
    <w:semiHidden/>
    <w:unhideWhenUsed/>
    <w:qFormat/>
    <w:pPr>
      <w:spacing w:before="250" w:after="120"/>
      <w:outlineLvl w:val="1"/>
    </w:pPr>
    <w:rPr>
      <w:b/>
      <w:bCs/>
      <w:color w:val="2874A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ichamentoSubtitulo">
    <w:name w:val="Fichamento Subtitulo"/>
    <w:pPr>
      <w:keepNext/>
      <w:spacing w:before="160" w:after="80"/>
    </w:pPr>
    <w:rPr>
      <w:rFonts w:ascii="Arial" w:hAnsi="Arial" w:eastAsia="Arial"/>
      <w:b/>
      <w:color w:val="2D2D2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Julio Cesar de Aguiar</cp:lastModifiedBy>
  <cp:revision>2</cp:revision>
  <dcterms:created xsi:type="dcterms:W3CDTF">2026-02-16T14:43:00Z</dcterms:created>
  <dcterms:modified xsi:type="dcterms:W3CDTF">2026-02-16T14:43:00Z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709fb301-3860-4755-96ad-7f7a847cf4b2</vt:lpwstr>
  </property>
</Properties>
</file>