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HealthData Cloud Cybersecurity Risk Assessment</w:t>
      </w:r>
    </w:p>
    <w:p>
      <w:pPr>
        <w:jc w:val="left"/>
      </w:pPr>
      <w:r>
        <w:rPr>
          <w:i/>
          <w:color w:val="505050"/>
          <w:sz w:val="22"/>
        </w:rPr>
        <w:t>NIST-aligned assessment of business-critical assets, key risk scenarios, and treatment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Client / Entity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HealthData Cloud (fictional)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GRC Analyst Portfolio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Framework Basis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NIST SP 800-30 concepts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Document Type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Risk Assessment Report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1.0</w:t>
            </w:r>
          </w:p>
        </w:tc>
      </w:tr>
    </w:tbl>
    <w:p/>
    <w:p>
      <w:r>
        <w:rPr>
          <w:i/>
        </w:rPr>
        <w:t>Prepared by Gustavo do Carmo Lemes as part of a hands-on GRC portfolio project. Assessment methodology follows NIST SP 800-30 risk analysis concepts, adapted for a fictional healthcare SaaS scenario.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</w:rPr>
        <w:t>1. Executive Summary</w:t>
      </w:r>
    </w:p>
    <w:p>
      <w:pPr>
        <w:spacing w:after="120" w:line="276" w:lineRule="auto"/>
      </w:pPr>
      <w:r>
        <w:t>This assessment evaluates cybersecurity risk exposure for HealthData Cloud, a fictional software-as-a-service provider that stores personally identifiable information and protected health information. The assessment identified three primary risk themes: credential-based attacks, inadequate logging and detection coverage, and dependence on third-party services without mature resilience requirements.</w:t>
      </w:r>
    </w:p>
    <w:p>
      <w:pPr>
        <w:spacing w:after="120" w:line="276" w:lineRule="auto"/>
      </w:pPr>
      <w:r>
        <w:t>Based on inherent risk scoring, phishing-enabled credential theft, unauthorized database access, and ransomware present the highest current exposure. Recommended priorities are to implement multi-factor authentication, formalize security monitoring and incident logging, strengthen backup resilience, and expand third-party due diligence for critical vendors.</w:t>
      </w:r>
    </w:p>
    <w:p>
      <w:pPr>
        <w:pStyle w:val="Heading1"/>
        <w:spacing w:before="240" w:after="120"/>
      </w:pPr>
      <w:r>
        <w:rPr>
          <w:color w:val="1F4E79"/>
        </w:rPr>
        <w:t>2. Assessment Scope and Methodology</w:t>
      </w:r>
    </w:p>
    <w:p>
      <w:pPr>
        <w:pStyle w:val="ListBullet"/>
        <w:spacing w:after="40"/>
        <w:ind w:left="0"/>
      </w:pPr>
      <w:r>
        <w:t>Assessment scope includes the production application, customer database, cloud identity platform, corporate email, employee endpoints, and critical third-party dependencies.</w:t>
      </w:r>
    </w:p>
    <w:p>
      <w:pPr>
        <w:pStyle w:val="ListBullet"/>
        <w:spacing w:after="40"/>
        <w:ind w:left="0"/>
      </w:pPr>
      <w:r>
        <w:t>Methodology aligns with core concepts from NIST SP 800-30 and common enterprise risk management practice.</w:t>
      </w:r>
    </w:p>
    <w:p>
      <w:pPr>
        <w:pStyle w:val="ListBullet"/>
        <w:spacing w:after="40"/>
        <w:ind w:left="0"/>
      </w:pPr>
      <w:r>
        <w:t>Each risk was evaluated using a 1-5 scale for likelihood and business impact. Inherent risk score equals Likelihood x Impact; residual risk score reflects the estimated risk after current controls.</w:t>
      </w:r>
    </w:p>
    <w:p>
      <w:pPr>
        <w:pStyle w:val="Heading1"/>
        <w:spacing w:before="240" w:after="120"/>
      </w:pPr>
      <w:r>
        <w:rPr>
          <w:color w:val="1F4E79"/>
        </w:rPr>
        <w:t>3. Critical Asset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Business Function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Data Sensitivity</w:t>
            </w:r>
          </w:p>
        </w:tc>
        <w:tc>
          <w:tcPr>
            <w:tcW w:type="dxa" w:w="2592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Primary Owner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Customer Database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Stores patient and customer records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High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Head of Engineering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>
              <w:t>Production Web Application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Delivers core SaaS platform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High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Application Engineering Manager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>
              <w:t>Cloud Identity Platform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Provides authentication and privileged access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High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IT Security Lead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Corporate Email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Internal and external business communications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Medium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IT Operations Manager</w:t>
            </w:r>
          </w:p>
        </w:tc>
      </w:tr>
      <w:tr>
        <w:tc>
          <w:tcPr>
            <w:tcW w:type="dxa" w:w="2592"/>
          </w:tcPr>
          <w:p>
            <w:pPr>
              <w:spacing w:after="0" w:line="252" w:lineRule="auto"/>
            </w:pPr>
            <w:r>
              <w:t>Employee Endpoints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Operational workforce productivity and access</w:t>
            </w:r>
          </w:p>
        </w:tc>
        <w:tc>
          <w:tcPr>
            <w:tcW w:type="dxa" w:w="2592"/>
          </w:tcPr>
          <w:p>
            <w:pPr>
              <w:spacing w:after="0" w:line="252" w:lineRule="auto"/>
              <w:jc w:val="center"/>
            </w:pPr>
            <w:r>
              <w:t>Medium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t>IT Operations Manager</w:t>
            </w:r>
          </w:p>
        </w:tc>
      </w:tr>
    </w:tbl>
    <w:p/>
    <w:p>
      <w:pPr>
        <w:pStyle w:val="Heading1"/>
        <w:spacing w:before="240" w:after="120"/>
      </w:pPr>
      <w:r>
        <w:rPr>
          <w:color w:val="1F4E79"/>
        </w:rPr>
        <w:t>4. Key Threats and Vulnerabilities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Threat Scenario</w:t>
            </w:r>
          </w:p>
        </w:tc>
        <w:tc>
          <w:tcPr>
            <w:tcW w:type="dxa" w:w="3457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Key Vulnerability</w:t>
            </w:r>
          </w:p>
        </w:tc>
        <w:tc>
          <w:tcPr>
            <w:tcW w:type="dxa" w:w="3457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Current Condition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</w:pPr>
            <w:r>
              <w:t>Phishing and credential theft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MFA not consistently enforced for all users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High probability of account compromise from user-targeted attacks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</w:pPr>
            <w:r>
              <w:t>Ransomware through endpoint infection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Inconsistent endpoint control coverage and backup recovery testing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Potential interruption to operations and customer support functions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</w:pPr>
            <w:r>
              <w:t>Unauthorized database access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Privileged access reviews informal and logging coverage limited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Delayed detection of misuse or anomalous access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</w:pPr>
            <w:r>
              <w:t>Third-party service outage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Vendor resilience criteria not consistently assessed before onboarding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Operational dependence without documented recovery expectations</w:t>
            </w:r>
          </w:p>
        </w:tc>
      </w:tr>
    </w:tbl>
    <w:p/>
    <w:p>
      <w:pPr>
        <w:pStyle w:val="Heading1"/>
        <w:spacing w:before="240" w:after="120"/>
      </w:pPr>
      <w:r>
        <w:rPr>
          <w:color w:val="1F4E79"/>
        </w:rPr>
        <w:t>5. Top Risk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Risk Statement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Inherent Risk</w:t>
            </w:r>
          </w:p>
        </w:tc>
        <w:tc>
          <w:tcPr>
            <w:tcW w:type="dxa" w:w="1728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Target Treatment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R-01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t>Phishing attack leads to compromise of a cloud identity account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20 - Critical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t>Implement MFA and phishing-resistant awareness training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R-02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t>Unauthorized access to customer database results in data exposure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20 - Critical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t>Strengthen privileged access, logging, and quarterly reviews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R-03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t>Ransomware infection affects employee endpoints and shared services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16 - High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t>Improve endpoint controls, segmentation, and tested backups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R-04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t>Security monitoring gaps delay incident detection and escalation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after="0" w:line="252" w:lineRule="auto"/>
              <w:jc w:val="center"/>
            </w:pPr>
            <w:r>
              <w:t>12 - High</w:t>
            </w:r>
          </w:p>
        </w:tc>
        <w:tc>
          <w:tcPr>
            <w:tcW w:type="dxa" w:w="1728"/>
          </w:tcPr>
          <w:p>
            <w:pPr>
              <w:spacing w:after="0" w:line="252" w:lineRule="auto"/>
            </w:pPr>
            <w:r>
              <w:t>Centralize logs and define alerting use cases</w:t>
            </w:r>
          </w:p>
        </w:tc>
      </w:tr>
    </w:tbl>
    <w:p/>
    <w:p>
      <w:pPr>
        <w:pStyle w:val="Heading1"/>
        <w:spacing w:before="240" w:after="120"/>
      </w:pPr>
      <w:r>
        <w:rPr>
          <w:color w:val="1F4E79"/>
        </w:rPr>
        <w:t>6. Recommended 90-Day Action Plan</w:t>
      </w:r>
    </w:p>
    <w:p>
      <w:pPr>
        <w:pStyle w:val="ListNumber"/>
        <w:spacing w:after="40"/>
      </w:pPr>
      <w:r>
        <w:t>Enforce multi-factor authentication for email, VPN, privileged access, and administrator accounts.</w:t>
      </w:r>
    </w:p>
    <w:p>
      <w:pPr>
        <w:pStyle w:val="ListNumber"/>
        <w:spacing w:after="40"/>
      </w:pPr>
      <w:r>
        <w:t>Implement centralized logging for identity, endpoint, cloud, and application events; define severity thresholds and alert ownership.</w:t>
      </w:r>
    </w:p>
    <w:p>
      <w:pPr>
        <w:pStyle w:val="ListNumber"/>
        <w:spacing w:after="40"/>
      </w:pPr>
      <w:r>
        <w:t>Conduct an access review for privileged roles and database administrators; revoke or justify excessive access.</w:t>
      </w:r>
    </w:p>
    <w:p>
      <w:pPr>
        <w:pStyle w:val="ListNumber"/>
        <w:spacing w:after="40"/>
      </w:pPr>
      <w:r>
        <w:t>Test backup restoration for one customer-critical workload and document recovery time assumptions.</w:t>
      </w:r>
    </w:p>
    <w:p>
      <w:pPr>
        <w:pStyle w:val="ListNumber"/>
        <w:spacing w:after="40"/>
      </w:pPr>
      <w:r>
        <w:t>Adopt a critical-vendor questionnaire and require continuity, security, and incident-notification commitments.</w:t>
      </w:r>
    </w:p>
    <w:sectPr w:rsidR="00FC693F" w:rsidRPr="0006063C" w:rsidSect="00034616">
      <w:pgSz w:w="12240" w:h="15840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