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8"/>
        </w:rPr>
        <w:t>Third-Party Vendor Risk Assessment Methodology</w:t>
      </w:r>
    </w:p>
    <w:p>
      <w:pPr>
        <w:jc w:val="left"/>
      </w:pPr>
      <w:r>
        <w:rPr>
          <w:i/>
          <w:color w:val="505050"/>
          <w:sz w:val="22"/>
        </w:rPr>
        <w:t>Weighted vendor due diligence model for critical and data-sensitive service providers</w:t>
      </w:r>
    </w:p>
    <w:tbl>
      <w:tblPr>
        <w:tblStyle w:val="TableGrid"/>
        <w:tblW w:type="auto" w:w="0"/>
        <w:tblLook w:firstColumn="1" w:firstRow="1" w:lastColumn="0" w:lastRow="0" w:noHBand="0" w:noVBand="1" w:val="04A0"/>
      </w:tblPr>
      <w:tblGrid>
        <w:gridCol w:w="5185"/>
        <w:gridCol w:w="5185"/>
      </w:tblGrid>
      <w:tr>
        <w:tc>
          <w:tcPr>
            <w:tcW w:type="dxa" w:w="5185"/>
            <w:shd w:fill="1F4E79"/>
          </w:tcPr>
          <w:p>
            <w:pPr>
              <w:spacing w:after="0" w:before="0" w:line="240" w:lineRule="auto"/>
            </w:pPr>
            <w:r>
              <w:rPr>
                <w:b/>
                <w:color w:val="FFFFFF"/>
              </w:rPr>
              <w:t>Client / Entity</w:t>
            </w:r>
          </w:p>
        </w:tc>
        <w:tc>
          <w:tcPr>
            <w:tcW w:type="dxa" w:w="5185"/>
          </w:tcPr>
          <w:p>
            <w:pPr>
              <w:spacing w:after="0" w:before="0" w:line="240" w:lineRule="auto"/>
            </w:pPr>
            <w:r>
              <w:t>Sample Enterprise (fictional)</w:t>
            </w:r>
          </w:p>
        </w:tc>
      </w:tr>
      <w:tr>
        <w:tc>
          <w:tcPr>
            <w:tcW w:type="dxa" w:w="5185"/>
            <w:shd w:fill="1F4E79"/>
          </w:tcPr>
          <w:p>
            <w:pPr>
              <w:spacing w:after="0" w:before="0" w:line="240" w:lineRule="auto"/>
            </w:pPr>
            <w:r>
              <w:rPr>
                <w:b/>
                <w:color w:val="FFFFFF"/>
              </w:rPr>
              <w:t>Prepared By</w:t>
            </w:r>
          </w:p>
        </w:tc>
        <w:tc>
          <w:tcPr>
            <w:tcW w:type="dxa" w:w="5185"/>
          </w:tcPr>
          <w:p>
            <w:pPr>
              <w:spacing w:after="0" w:before="0" w:line="240" w:lineRule="auto"/>
            </w:pPr>
            <w:r>
              <w:t>GRC Analyst Portfolio</w:t>
            </w:r>
          </w:p>
        </w:tc>
      </w:tr>
      <w:tr>
        <w:tc>
          <w:tcPr>
            <w:tcW w:type="dxa" w:w="5185"/>
            <w:shd w:fill="1F4E79"/>
          </w:tcPr>
          <w:p>
            <w:pPr>
              <w:spacing w:after="0" w:before="0" w:line="240" w:lineRule="auto"/>
            </w:pPr>
            <w:r>
              <w:rPr>
                <w:b/>
                <w:color w:val="FFFFFF"/>
              </w:rPr>
              <w:t>Framework Basis</w:t>
            </w:r>
          </w:p>
        </w:tc>
        <w:tc>
          <w:tcPr>
            <w:tcW w:type="dxa" w:w="5185"/>
          </w:tcPr>
          <w:p>
            <w:pPr>
              <w:spacing w:after="0" w:before="0" w:line="240" w:lineRule="auto"/>
            </w:pPr>
            <w:r>
              <w:t>Risk-based vendor due diligence</w:t>
            </w:r>
          </w:p>
        </w:tc>
      </w:tr>
      <w:tr>
        <w:tc>
          <w:tcPr>
            <w:tcW w:type="dxa" w:w="5185"/>
            <w:shd w:fill="1F4E79"/>
          </w:tcPr>
          <w:p>
            <w:pPr>
              <w:spacing w:after="0" w:before="0" w:line="240" w:lineRule="auto"/>
            </w:pPr>
            <w:r>
              <w:rPr>
                <w:b/>
                <w:color w:val="FFFFFF"/>
              </w:rPr>
              <w:t>Document Type</w:t>
            </w:r>
          </w:p>
        </w:tc>
        <w:tc>
          <w:tcPr>
            <w:tcW w:type="dxa" w:w="5185"/>
          </w:tcPr>
          <w:p>
            <w:pPr>
              <w:spacing w:after="0" w:before="0" w:line="240" w:lineRule="auto"/>
            </w:pPr>
            <w:r>
              <w:t>Methodology and Assessment Report</w:t>
            </w:r>
          </w:p>
        </w:tc>
      </w:tr>
      <w:tr>
        <w:tc>
          <w:tcPr>
            <w:tcW w:type="dxa" w:w="5185"/>
            <w:shd w:fill="1F4E79"/>
          </w:tcPr>
          <w:p>
            <w:pPr>
              <w:spacing w:after="0" w:before="0" w:line="240" w:lineRule="auto"/>
            </w:pPr>
            <w:r>
              <w:rPr>
                <w:b/>
                <w:color w:val="FFFFFF"/>
              </w:rPr>
              <w:t>Version</w:t>
            </w:r>
          </w:p>
        </w:tc>
        <w:tc>
          <w:tcPr>
            <w:tcW w:type="dxa" w:w="5185"/>
          </w:tcPr>
          <w:p>
            <w:pPr>
              <w:spacing w:after="0" w:before="0" w:line="240" w:lineRule="auto"/>
            </w:pPr>
            <w:r>
              <w:t>1.0</w:t>
            </w:r>
          </w:p>
        </w:tc>
      </w:tr>
    </w:tbl>
    <w:p/>
    <w:p>
      <w:r>
        <w:rPr>
          <w:i/>
        </w:rPr>
        <w:t>Prepared by Gustavo do Carmo Lemes to demonstrate a practical, weighted approach to third-party and vendor risk evaluation, informed by real supplier assessment experience.</w:t>
      </w:r>
    </w:p>
    <w:p>
      <w:r>
        <w:br w:type="page"/>
      </w:r>
    </w:p>
    <w:p>
      <w:pPr>
        <w:pStyle w:val="Heading1"/>
        <w:spacing w:before="240" w:after="120"/>
      </w:pPr>
      <w:r>
        <w:rPr>
          <w:color w:val="1F4E79"/>
        </w:rPr>
        <w:t>1. Methodology Overview</w:t>
      </w:r>
    </w:p>
    <w:p>
      <w:pPr>
        <w:spacing w:after="120" w:line="276" w:lineRule="auto"/>
      </w:pPr>
      <w:r>
        <w:t>This project simulates a practical third-party risk assessment methodology for evaluating vendors that process sensitive information or support critical business operations. The model uses weighted domains that emphasize security governance, identity and access management, data protection, resilience, and incident response.</w:t>
      </w:r>
    </w:p>
    <w:p>
      <w:pPr>
        <w:pStyle w:val="ListBullet"/>
        <w:spacing w:after="40"/>
        <w:ind w:left="0"/>
      </w:pPr>
      <w:r>
        <w:t>Tier 1 vendors are those with access to regulated data, production workloads, or mission-critical services.</w:t>
      </w:r>
    </w:p>
    <w:p>
      <w:pPr>
        <w:pStyle w:val="ListBullet"/>
        <w:spacing w:after="40"/>
        <w:ind w:left="0"/>
      </w:pPr>
      <w:r>
        <w:t>Assessment scoring uses a weighted percentage model to distinguish acceptable, conditional, and unacceptable risk levels.</w:t>
      </w:r>
    </w:p>
    <w:p>
      <w:pPr>
        <w:pStyle w:val="ListBullet"/>
        <w:spacing w:after="40"/>
        <w:ind w:left="0"/>
      </w:pPr>
      <w:r>
        <w:t>Assessment outputs include due diligence findings, compensating control requirements, and review cadence recommendations.</w:t>
      </w:r>
    </w:p>
    <w:p>
      <w:pPr>
        <w:pStyle w:val="Heading1"/>
        <w:spacing w:before="240" w:after="120"/>
      </w:pPr>
      <w:r>
        <w:rPr>
          <w:color w:val="1F4E79"/>
        </w:rPr>
        <w:t>2. Weighted Domains</w:t>
      </w:r>
    </w:p>
    <w:tbl>
      <w:tblPr>
        <w:tblStyle w:val="TableGrid"/>
        <w:tblW w:type="auto" w:w="0"/>
        <w:tblLook w:firstColumn="1" w:firstRow="1" w:lastColumn="0" w:lastRow="0" w:noHBand="0" w:noVBand="1" w:val="04A0"/>
      </w:tblPr>
      <w:tblGrid>
        <w:gridCol w:w="3457"/>
        <w:gridCol w:w="3457"/>
        <w:gridCol w:w="3457"/>
      </w:tblGrid>
      <w:tr>
        <w:tc>
          <w:tcPr>
            <w:tcW w:type="dxa" w:w="3457"/>
            <w:shd w:fill="1F4E79"/>
          </w:tcPr>
          <w:p>
            <w:pPr>
              <w:spacing w:after="0"/>
              <w:jc w:val="center"/>
            </w:pPr>
            <w:r>
              <w:rPr>
                <w:b/>
                <w:color w:val="FFFFFF"/>
                <w:sz w:val="20"/>
              </w:rPr>
              <w:t>Domain</w:t>
            </w:r>
          </w:p>
        </w:tc>
        <w:tc>
          <w:tcPr>
            <w:tcW w:type="dxa" w:w="3457"/>
            <w:shd w:fill="1F4E79"/>
          </w:tcPr>
          <w:p>
            <w:pPr>
              <w:spacing w:after="0"/>
              <w:jc w:val="center"/>
            </w:pPr>
            <w:r>
              <w:rPr>
                <w:b/>
                <w:color w:val="FFFFFF"/>
                <w:sz w:val="20"/>
              </w:rPr>
              <w:t>Weight</w:t>
            </w:r>
          </w:p>
        </w:tc>
        <w:tc>
          <w:tcPr>
            <w:tcW w:type="dxa" w:w="3457"/>
            <w:shd w:fill="1F4E79"/>
          </w:tcPr>
          <w:p>
            <w:pPr>
              <w:spacing w:after="0"/>
              <w:jc w:val="center"/>
            </w:pPr>
            <w:r>
              <w:rPr>
                <w:b/>
                <w:color w:val="FFFFFF"/>
                <w:sz w:val="20"/>
              </w:rPr>
              <w:t>Purpose</w:t>
            </w:r>
          </w:p>
        </w:tc>
      </w:tr>
      <w:tr>
        <w:tc>
          <w:tcPr>
            <w:tcW w:type="dxa" w:w="3457"/>
          </w:tcPr>
          <w:p>
            <w:pPr>
              <w:spacing w:after="0" w:line="252" w:lineRule="auto"/>
            </w:pPr>
            <w:r>
              <w:t>Governance and Policy</w:t>
            </w:r>
          </w:p>
        </w:tc>
        <w:tc>
          <w:tcPr>
            <w:tcW w:type="dxa" w:w="3457"/>
          </w:tcPr>
          <w:p>
            <w:pPr>
              <w:spacing w:after="0" w:line="252" w:lineRule="auto"/>
              <w:jc w:val="center"/>
            </w:pPr>
            <w:r>
              <w:t>15%</w:t>
            </w:r>
          </w:p>
        </w:tc>
        <w:tc>
          <w:tcPr>
            <w:tcW w:type="dxa" w:w="3457"/>
          </w:tcPr>
          <w:p>
            <w:pPr>
              <w:spacing w:after="0" w:line="252" w:lineRule="auto"/>
            </w:pPr>
            <w:r>
              <w:t>Confirms leadership oversight, documented policies, and accountability</w:t>
            </w:r>
          </w:p>
        </w:tc>
      </w:tr>
      <w:tr>
        <w:tc>
          <w:tcPr>
            <w:tcW w:type="dxa" w:w="3457"/>
          </w:tcPr>
          <w:p>
            <w:pPr>
              <w:spacing w:after="0" w:line="252" w:lineRule="auto"/>
            </w:pPr>
            <w:r>
              <w:t>Identity and Access Management</w:t>
            </w:r>
          </w:p>
        </w:tc>
        <w:tc>
          <w:tcPr>
            <w:tcW w:type="dxa" w:w="3457"/>
          </w:tcPr>
          <w:p>
            <w:pPr>
              <w:spacing w:after="0" w:line="252" w:lineRule="auto"/>
              <w:jc w:val="center"/>
            </w:pPr>
            <w:r>
              <w:t>20%</w:t>
            </w:r>
          </w:p>
        </w:tc>
        <w:tc>
          <w:tcPr>
            <w:tcW w:type="dxa" w:w="3457"/>
          </w:tcPr>
          <w:p>
            <w:pPr>
              <w:spacing w:after="0" w:line="252" w:lineRule="auto"/>
            </w:pPr>
            <w:r>
              <w:t>Validates MFA, least privilege, and access review practices</w:t>
            </w:r>
          </w:p>
        </w:tc>
      </w:tr>
      <w:tr>
        <w:tc>
          <w:tcPr>
            <w:tcW w:type="dxa" w:w="3457"/>
          </w:tcPr>
          <w:p>
            <w:pPr>
              <w:spacing w:after="0" w:line="252" w:lineRule="auto"/>
              <w:jc w:val="center"/>
            </w:pPr>
            <w:r>
              <w:t>Data Protection</w:t>
            </w:r>
          </w:p>
        </w:tc>
        <w:tc>
          <w:tcPr>
            <w:tcW w:type="dxa" w:w="3457"/>
          </w:tcPr>
          <w:p>
            <w:pPr>
              <w:spacing w:after="0" w:line="252" w:lineRule="auto"/>
              <w:jc w:val="center"/>
            </w:pPr>
            <w:r>
              <w:t>20%</w:t>
            </w:r>
          </w:p>
        </w:tc>
        <w:tc>
          <w:tcPr>
            <w:tcW w:type="dxa" w:w="3457"/>
          </w:tcPr>
          <w:p>
            <w:pPr>
              <w:spacing w:after="0" w:line="252" w:lineRule="auto"/>
            </w:pPr>
            <w:r>
              <w:t>Evaluates encryption, retention, and handling of confidential data</w:t>
            </w:r>
          </w:p>
        </w:tc>
      </w:tr>
      <w:tr>
        <w:tc>
          <w:tcPr>
            <w:tcW w:type="dxa" w:w="3457"/>
          </w:tcPr>
          <w:p>
            <w:pPr>
              <w:spacing w:after="0" w:line="252" w:lineRule="auto"/>
            </w:pPr>
            <w:r>
              <w:t>Vulnerability and Endpoint Security</w:t>
            </w:r>
          </w:p>
        </w:tc>
        <w:tc>
          <w:tcPr>
            <w:tcW w:type="dxa" w:w="3457"/>
          </w:tcPr>
          <w:p>
            <w:pPr>
              <w:spacing w:after="0" w:line="252" w:lineRule="auto"/>
              <w:jc w:val="center"/>
            </w:pPr>
            <w:r>
              <w:t>15%</w:t>
            </w:r>
          </w:p>
        </w:tc>
        <w:tc>
          <w:tcPr>
            <w:tcW w:type="dxa" w:w="3457"/>
          </w:tcPr>
          <w:p>
            <w:pPr>
              <w:spacing w:after="0" w:line="252" w:lineRule="auto"/>
            </w:pPr>
            <w:r>
              <w:t>Assesses patching, secure configuration, and endpoint controls</w:t>
            </w:r>
          </w:p>
        </w:tc>
      </w:tr>
      <w:tr>
        <w:tc>
          <w:tcPr>
            <w:tcW w:type="dxa" w:w="3457"/>
          </w:tcPr>
          <w:p>
            <w:pPr>
              <w:spacing w:after="0" w:line="252" w:lineRule="auto"/>
            </w:pPr>
            <w:r>
              <w:t>Business Continuity and Resilience</w:t>
            </w:r>
          </w:p>
        </w:tc>
        <w:tc>
          <w:tcPr>
            <w:tcW w:type="dxa" w:w="3457"/>
          </w:tcPr>
          <w:p>
            <w:pPr>
              <w:spacing w:after="0" w:line="252" w:lineRule="auto"/>
              <w:jc w:val="center"/>
            </w:pPr>
            <w:r>
              <w:t>15%</w:t>
            </w:r>
          </w:p>
        </w:tc>
        <w:tc>
          <w:tcPr>
            <w:tcW w:type="dxa" w:w="3457"/>
          </w:tcPr>
          <w:p>
            <w:pPr>
              <w:spacing w:after="0" w:line="252" w:lineRule="auto"/>
            </w:pPr>
            <w:r>
              <w:t>Measures backup, redundancy, and service continuity readiness</w:t>
            </w:r>
          </w:p>
        </w:tc>
      </w:tr>
      <w:tr>
        <w:tc>
          <w:tcPr>
            <w:tcW w:type="dxa" w:w="3457"/>
          </w:tcPr>
          <w:p>
            <w:pPr>
              <w:spacing w:after="0" w:line="252" w:lineRule="auto"/>
            </w:pPr>
            <w:r>
              <w:t>Incident Response and Notification</w:t>
            </w:r>
          </w:p>
        </w:tc>
        <w:tc>
          <w:tcPr>
            <w:tcW w:type="dxa" w:w="3457"/>
          </w:tcPr>
          <w:p>
            <w:pPr>
              <w:spacing w:after="0" w:line="252" w:lineRule="auto"/>
              <w:jc w:val="center"/>
            </w:pPr>
            <w:r>
              <w:t>15%</w:t>
            </w:r>
          </w:p>
        </w:tc>
        <w:tc>
          <w:tcPr>
            <w:tcW w:type="dxa" w:w="3457"/>
          </w:tcPr>
          <w:p>
            <w:pPr>
              <w:spacing w:after="0" w:line="252" w:lineRule="auto"/>
            </w:pPr>
            <w:r>
              <w:t>Confirms response capability and contractual notification timelines</w:t>
            </w:r>
          </w:p>
        </w:tc>
      </w:tr>
    </w:tbl>
    <w:p/>
    <w:p>
      <w:pPr>
        <w:pStyle w:val="Heading1"/>
        <w:spacing w:before="240" w:after="120"/>
      </w:pPr>
      <w:r>
        <w:rPr>
          <w:color w:val="1F4E79"/>
        </w:rPr>
        <w:t>3. Sample Assessment Outcome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1F4E79"/>
          </w:tcPr>
          <w:p>
            <w:pPr>
              <w:spacing w:after="0"/>
              <w:jc w:val="center"/>
            </w:pPr>
            <w:r>
              <w:rPr>
                <w:b/>
                <w:color w:val="FFFFFF"/>
                <w:sz w:val="20"/>
              </w:rPr>
              <w:t>Vendor</w:t>
            </w:r>
          </w:p>
        </w:tc>
        <w:tc>
          <w:tcPr>
            <w:tcW w:type="dxa" w:w="2074"/>
            <w:shd w:fill="1F4E79"/>
          </w:tcPr>
          <w:p>
            <w:pPr>
              <w:spacing w:after="0"/>
              <w:jc w:val="center"/>
            </w:pPr>
            <w:r>
              <w:rPr>
                <w:b/>
                <w:color w:val="FFFFFF"/>
                <w:sz w:val="20"/>
              </w:rPr>
              <w:t>Service Type</w:t>
            </w:r>
          </w:p>
        </w:tc>
        <w:tc>
          <w:tcPr>
            <w:tcW w:type="dxa" w:w="2074"/>
            <w:shd w:fill="1F4E79"/>
          </w:tcPr>
          <w:p>
            <w:pPr>
              <w:spacing w:after="0"/>
              <w:jc w:val="center"/>
            </w:pPr>
            <w:r>
              <w:rPr>
                <w:b/>
                <w:color w:val="FFFFFF"/>
                <w:sz w:val="20"/>
              </w:rPr>
              <w:t>Tier</w:t>
            </w:r>
          </w:p>
        </w:tc>
        <w:tc>
          <w:tcPr>
            <w:tcW w:type="dxa" w:w="2074"/>
            <w:shd w:fill="1F4E79"/>
          </w:tcPr>
          <w:p>
            <w:pPr>
              <w:spacing w:after="0"/>
              <w:jc w:val="center"/>
            </w:pPr>
            <w:r>
              <w:rPr>
                <w:b/>
                <w:color w:val="FFFFFF"/>
                <w:sz w:val="20"/>
              </w:rPr>
              <w:t>Assessment Result</w:t>
            </w:r>
          </w:p>
        </w:tc>
        <w:tc>
          <w:tcPr>
            <w:tcW w:type="dxa" w:w="2074"/>
            <w:shd w:fill="1F4E79"/>
          </w:tcPr>
          <w:p>
            <w:pPr>
              <w:spacing w:after="0"/>
              <w:jc w:val="center"/>
            </w:pPr>
            <w:r>
              <w:rPr>
                <w:b/>
                <w:color w:val="FFFFFF"/>
                <w:sz w:val="20"/>
              </w:rPr>
              <w:t>Required Actions</w:t>
            </w:r>
          </w:p>
        </w:tc>
      </w:tr>
      <w:tr>
        <w:tc>
          <w:tcPr>
            <w:tcW w:type="dxa" w:w="2074"/>
          </w:tcPr>
          <w:p>
            <w:pPr>
              <w:spacing w:after="0" w:line="252" w:lineRule="auto"/>
            </w:pPr>
            <w:r>
              <w:t>NorthBridge Cloud Hosting</w:t>
            </w:r>
          </w:p>
        </w:tc>
        <w:tc>
          <w:tcPr>
            <w:tcW w:type="dxa" w:w="2074"/>
          </w:tcPr>
          <w:p>
            <w:pPr>
              <w:spacing w:after="0" w:line="252" w:lineRule="auto"/>
            </w:pPr>
            <w:r>
              <w:t>Production cloud infrastructure</w:t>
            </w:r>
          </w:p>
        </w:tc>
        <w:tc>
          <w:tcPr>
            <w:tcW w:type="dxa" w:w="2074"/>
          </w:tcPr>
          <w:p>
            <w:pPr>
              <w:spacing w:after="0" w:line="252" w:lineRule="auto"/>
              <w:jc w:val="center"/>
            </w:pPr>
            <w:r>
              <w:t>1</w:t>
            </w:r>
          </w:p>
        </w:tc>
        <w:tc>
          <w:tcPr>
            <w:tcW w:type="dxa" w:w="2074"/>
          </w:tcPr>
          <w:p>
            <w:pPr>
              <w:spacing w:after="0" w:line="252" w:lineRule="auto"/>
            </w:pPr>
            <w:r>
              <w:t>Conditional Approval</w:t>
            </w:r>
          </w:p>
        </w:tc>
        <w:tc>
          <w:tcPr>
            <w:tcW w:type="dxa" w:w="2074"/>
          </w:tcPr>
          <w:p>
            <w:pPr>
              <w:spacing w:after="0" w:line="252" w:lineRule="auto"/>
            </w:pPr>
            <w:r>
              <w:t>Contractual breach-notification clause, annual pen test evidence, backup test results</w:t>
            </w:r>
          </w:p>
        </w:tc>
      </w:tr>
      <w:tr>
        <w:tc>
          <w:tcPr>
            <w:tcW w:type="dxa" w:w="2074"/>
          </w:tcPr>
          <w:p>
            <w:pPr>
              <w:spacing w:after="0" w:line="252" w:lineRule="auto"/>
            </w:pPr>
            <w:r>
              <w:t>Pulse Marketing Agency</w:t>
            </w:r>
          </w:p>
        </w:tc>
        <w:tc>
          <w:tcPr>
            <w:tcW w:type="dxa" w:w="2074"/>
          </w:tcPr>
          <w:p>
            <w:pPr>
              <w:spacing w:after="0" w:line="252" w:lineRule="auto"/>
            </w:pPr>
            <w:r>
              <w:t>Campaign services without regulated data</w:t>
            </w:r>
          </w:p>
        </w:tc>
        <w:tc>
          <w:tcPr>
            <w:tcW w:type="dxa" w:w="2074"/>
          </w:tcPr>
          <w:p>
            <w:pPr>
              <w:spacing w:after="0" w:line="252" w:lineRule="auto"/>
              <w:jc w:val="center"/>
            </w:pPr>
            <w:r>
              <w:t>3</w:t>
            </w:r>
          </w:p>
        </w:tc>
        <w:tc>
          <w:tcPr>
            <w:tcW w:type="dxa" w:w="2074"/>
          </w:tcPr>
          <w:p>
            <w:pPr>
              <w:spacing w:after="0" w:line="252" w:lineRule="auto"/>
              <w:jc w:val="center"/>
            </w:pPr>
            <w:r>
              <w:t>Approved</w:t>
            </w:r>
          </w:p>
        </w:tc>
        <w:tc>
          <w:tcPr>
            <w:tcW w:type="dxa" w:w="2074"/>
          </w:tcPr>
          <w:p>
            <w:pPr>
              <w:spacing w:after="0" w:line="252" w:lineRule="auto"/>
            </w:pPr>
            <w:r>
              <w:t>Review questionnaire annually</w:t>
            </w:r>
          </w:p>
        </w:tc>
      </w:tr>
      <w:tr>
        <w:tc>
          <w:tcPr>
            <w:tcW w:type="dxa" w:w="2074"/>
          </w:tcPr>
          <w:p>
            <w:pPr>
              <w:spacing w:after="0" w:line="252" w:lineRule="auto"/>
            </w:pPr>
            <w:r>
              <w:t>ClaimSync API Partner</w:t>
            </w:r>
          </w:p>
        </w:tc>
        <w:tc>
          <w:tcPr>
            <w:tcW w:type="dxa" w:w="2074"/>
          </w:tcPr>
          <w:p>
            <w:pPr>
              <w:spacing w:after="0" w:line="252" w:lineRule="auto"/>
            </w:pPr>
            <w:r>
              <w:t>Claims data processing integration</w:t>
            </w:r>
          </w:p>
        </w:tc>
        <w:tc>
          <w:tcPr>
            <w:tcW w:type="dxa" w:w="2074"/>
          </w:tcPr>
          <w:p>
            <w:pPr>
              <w:spacing w:after="0" w:line="252" w:lineRule="auto"/>
              <w:jc w:val="center"/>
            </w:pPr>
            <w:r>
              <w:t>1</w:t>
            </w:r>
          </w:p>
        </w:tc>
        <w:tc>
          <w:tcPr>
            <w:tcW w:type="dxa" w:w="2074"/>
          </w:tcPr>
          <w:p>
            <w:pPr>
              <w:spacing w:after="0" w:line="252" w:lineRule="auto"/>
            </w:pPr>
            <w:r>
              <w:t>Conditional Approval</w:t>
            </w:r>
          </w:p>
        </w:tc>
        <w:tc>
          <w:tcPr>
            <w:tcW w:type="dxa" w:w="2074"/>
          </w:tcPr>
          <w:p>
            <w:pPr>
              <w:spacing w:after="0" w:line="252" w:lineRule="auto"/>
            </w:pPr>
            <w:r>
              <w:t>Complete MFA evidence review and encryption attestation</w:t>
            </w:r>
          </w:p>
        </w:tc>
      </w:tr>
    </w:tbl>
    <w:p/>
    <w:sectPr w:rsidR="00FC693F" w:rsidRPr="0006063C" w:rsidSect="00034616">
      <w:pgSz w:w="12240" w:h="15840"/>
      <w:pgMar w:top="1020" w:right="85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