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Information Security Policy Pack</w:t>
      </w:r>
    </w:p>
    <w:p>
      <w:pPr>
        <w:jc w:val="left"/>
      </w:pPr>
      <w:r>
        <w:rPr>
          <w:i/>
          <w:color w:val="505050"/>
          <w:sz w:val="22"/>
        </w:rPr>
        <w:t>Governance baseline for a mid-sized organization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Document Owner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Security Governance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Review Cycle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Annual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1.0</w:t>
            </w:r>
          </w:p>
        </w:tc>
      </w:tr>
      <w:tr>
        <w:tc>
          <w:tcPr>
            <w:tcW w:type="dxa" w:w="5185"/>
            <w:shd w:fill="1F4E79"/>
          </w:tcPr>
          <w:p>
            <w:pPr>
              <w:spacing w:after="0" w:before="0" w:line="240" w:lineRule="auto"/>
            </w:pPr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5185"/>
          </w:tcPr>
          <w:p>
            <w:pPr>
              <w:spacing w:after="0" w:before="0" w:line="240" w:lineRule="auto"/>
            </w:pPr>
            <w:r>
              <w:t>Internal Use</w:t>
            </w:r>
          </w:p>
        </w:tc>
      </w:tr>
    </w:tbl>
    <w:p/>
    <w:p>
      <w:r>
        <w:rPr>
          <w:i/>
        </w:rPr>
        <w:t>Prepared by Gustavo do Carmo Lemes as a governance documentation exercise, reflecting the structure and rigor expected in a real information security policy set.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4E79"/>
        </w:rPr>
        <w:t>1. Information Security Policy</w:t>
      </w:r>
    </w:p>
    <w:p>
      <w:pPr>
        <w:spacing w:after="120" w:line="276" w:lineRule="auto"/>
      </w:pPr>
      <w:r>
        <w:t>Purpose: Define the organization’s overall commitment to protecting information assets and maintaining security governance across people, process, and technology.</w:t>
      </w:r>
    </w:p>
    <w:p>
      <w:pPr>
        <w:spacing w:after="120" w:line="276" w:lineRule="auto"/>
      </w:pPr>
      <w:r>
        <w:t>Scope: Applies to employees, contractors, third parties, information assets, and systems that store, process, or transmit organizational data.</w:t>
      </w:r>
    </w:p>
    <w:p>
      <w:pPr>
        <w:pStyle w:val="Heading2"/>
        <w:spacing w:before="160" w:after="120"/>
      </w:pPr>
      <w:r>
        <w:rPr>
          <w:color w:val="2E75B6"/>
        </w:rPr>
        <w:t>Policy Statements</w:t>
      </w:r>
    </w:p>
    <w:p>
      <w:pPr>
        <w:pStyle w:val="ListBullet"/>
        <w:spacing w:after="40"/>
        <w:ind w:left="0"/>
      </w:pPr>
      <w:r>
        <w:t>Information assets shall be protected according to business criticality, sensitivity, and regulatory obligations.</w:t>
      </w:r>
    </w:p>
    <w:p>
      <w:pPr>
        <w:pStyle w:val="ListBullet"/>
        <w:spacing w:after="40"/>
        <w:ind w:left="0"/>
      </w:pPr>
      <w:r>
        <w:t>Security roles and responsibilities shall be assigned for all critical systems and business processes.</w:t>
      </w:r>
    </w:p>
    <w:p>
      <w:pPr>
        <w:pStyle w:val="ListBullet"/>
        <w:spacing w:after="40"/>
        <w:ind w:left="0"/>
      </w:pPr>
      <w:r>
        <w:t>Exceptions to security requirements must be documented, risk-assessed, approved, and reviewed periodically.</w:t>
      </w:r>
    </w:p>
    <w:p>
      <w:pPr>
        <w:pStyle w:val="ListBullet"/>
        <w:spacing w:after="40"/>
        <w:ind w:left="0"/>
      </w:pPr>
      <w:r>
        <w:t>Security incidents and policy violations shall be reported promptly through approved channels.</w:t>
      </w:r>
    </w:p>
    <w:p>
      <w:pPr>
        <w:pStyle w:val="Heading2"/>
        <w:spacing w:before="160" w:after="120"/>
      </w:pPr>
      <w:r>
        <w:rPr>
          <w:color w:val="2E75B6"/>
        </w:rPr>
        <w:t>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185"/>
            <w:shd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</w:pPr>
            <w:r>
              <w:t>Executive Leadership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Provide strategic oversight and support for security governance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  <w:jc w:val="center"/>
            </w:pPr>
            <w:r>
              <w:t>Security Team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Maintain standards, monitor compliance, and advise on risk treatment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  <w:jc w:val="center"/>
            </w:pPr>
            <w:r>
              <w:t>System Owners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Ensure controls are implemented for assigned systems</w:t>
            </w:r>
          </w:p>
        </w:tc>
      </w:tr>
      <w:tr>
        <w:tc>
          <w:tcPr>
            <w:tcW w:type="dxa" w:w="5185"/>
          </w:tcPr>
          <w:p>
            <w:pPr>
              <w:spacing w:after="0" w:line="252" w:lineRule="auto"/>
              <w:jc w:val="center"/>
            </w:pPr>
            <w:r>
              <w:t>All Personnel</w:t>
            </w:r>
          </w:p>
        </w:tc>
        <w:tc>
          <w:tcPr>
            <w:tcW w:type="dxa" w:w="5185"/>
          </w:tcPr>
          <w:p>
            <w:pPr>
              <w:spacing w:after="0" w:line="252" w:lineRule="auto"/>
            </w:pPr>
            <w:r>
              <w:t>Follow policy requirements and report incidents or suspicious activity</w:t>
            </w:r>
          </w:p>
        </w:tc>
      </w:tr>
    </w:tbl>
    <w:p/>
    <w:p>
      <w:pPr>
        <w:pStyle w:val="Heading1"/>
        <w:spacing w:before="240" w:after="120"/>
      </w:pPr>
      <w:r>
        <w:rPr>
          <w:color w:val="1F4E79"/>
        </w:rPr>
        <w:t>2. Access Control Policy</w:t>
      </w:r>
    </w:p>
    <w:p>
      <w:pPr>
        <w:spacing w:after="120" w:line="276" w:lineRule="auto"/>
      </w:pPr>
      <w:r>
        <w:t>Purpose: Ensure that access to systems and data is granted, modified, reviewed, and revoked in a controlled manner consistent with least privilege and business need.</w:t>
      </w:r>
    </w:p>
    <w:p>
      <w:pPr>
        <w:pStyle w:val="Heading2"/>
        <w:spacing w:before="160" w:after="120"/>
      </w:pPr>
      <w:r>
        <w:rPr>
          <w:color w:val="2E75B6"/>
        </w:rPr>
        <w:t>Requirements</w:t>
      </w:r>
    </w:p>
    <w:p>
      <w:pPr>
        <w:pStyle w:val="ListBullet"/>
        <w:spacing w:after="40"/>
        <w:ind w:left="0"/>
      </w:pPr>
      <w:r>
        <w:t>Every user account must be uniquely assigned to an identifiable individual or managed service account owner.</w:t>
      </w:r>
    </w:p>
    <w:p>
      <w:pPr>
        <w:pStyle w:val="ListBullet"/>
        <w:spacing w:after="40"/>
        <w:ind w:left="0"/>
      </w:pPr>
      <w:r>
        <w:t>Access requests must be approved by the relevant manager and system owner before provisioning.</w:t>
      </w:r>
    </w:p>
    <w:p>
      <w:pPr>
        <w:pStyle w:val="ListBullet"/>
        <w:spacing w:after="40"/>
        <w:ind w:left="0"/>
      </w:pPr>
      <w:r>
        <w:t>Privileged access must be tightly restricted, logged, and reviewed at least quarterly.</w:t>
      </w:r>
    </w:p>
    <w:p>
      <w:pPr>
        <w:pStyle w:val="ListBullet"/>
        <w:spacing w:after="40"/>
        <w:ind w:left="0"/>
      </w:pPr>
      <w:r>
        <w:t>Dormant accounts and terminated-user access must be removed promptly according to defined offboarding timelines.</w:t>
      </w:r>
    </w:p>
    <w:p>
      <w:pPr>
        <w:pStyle w:val="Heading1"/>
        <w:spacing w:before="240" w:after="120"/>
      </w:pPr>
      <w:r>
        <w:rPr>
          <w:color w:val="1F4E79"/>
        </w:rPr>
        <w:t>3. Password and Authentication Standard</w:t>
      </w:r>
    </w:p>
    <w:p>
      <w:pPr>
        <w:pStyle w:val="ListBullet"/>
        <w:spacing w:after="40"/>
        <w:ind w:left="0"/>
      </w:pPr>
      <w:r>
        <w:t>Passwords must be at least 12 characters in length or use an approved passphrase model.</w:t>
      </w:r>
    </w:p>
    <w:p>
      <w:pPr>
        <w:pStyle w:val="ListBullet"/>
        <w:spacing w:after="40"/>
        <w:ind w:left="0"/>
      </w:pPr>
      <w:r>
        <w:t>Multi-factor authentication is required for administrator accounts, remote access, and systems handling confidential data.</w:t>
      </w:r>
    </w:p>
    <w:p>
      <w:pPr>
        <w:pStyle w:val="ListBullet"/>
        <w:spacing w:after="40"/>
        <w:ind w:left="0"/>
      </w:pPr>
      <w:r>
        <w:t>Default passwords must be changed before systems are placed into service.</w:t>
      </w:r>
    </w:p>
    <w:p>
      <w:pPr>
        <w:pStyle w:val="ListBullet"/>
        <w:spacing w:after="40"/>
        <w:ind w:left="0"/>
      </w:pPr>
      <w:r>
        <w:t>Shared accounts are prohibited unless formally approved, documented, and technically controlled.</w:t>
      </w:r>
    </w:p>
    <w:p>
      <w:pPr>
        <w:pStyle w:val="Heading1"/>
        <w:spacing w:before="240" w:after="120"/>
      </w:pPr>
      <w:r>
        <w:rPr>
          <w:color w:val="1F4E79"/>
        </w:rPr>
        <w:t>4. Incident Response Policy</w:t>
      </w:r>
    </w:p>
    <w:p>
      <w:pPr>
        <w:spacing w:after="120" w:line="276" w:lineRule="auto"/>
      </w:pPr>
      <w:r>
        <w:t>Purpose: Establish a consistent approach for identifying, escalating, containing, investigating, and recovering from information security incidents.</w:t>
      </w:r>
    </w:p>
    <w:p>
      <w:pPr>
        <w:pStyle w:val="Heading2"/>
        <w:spacing w:before="160" w:after="120"/>
      </w:pPr>
      <w:r>
        <w:rPr>
          <w:color w:val="2E75B6"/>
        </w:rPr>
        <w:t>Incident Lifecycle</w:t>
      </w:r>
    </w:p>
    <w:p>
      <w:pPr>
        <w:pStyle w:val="ListNumber"/>
        <w:spacing w:after="40"/>
      </w:pPr>
      <w:r>
        <w:t>Identification and reporting</w:t>
      </w:r>
    </w:p>
    <w:p>
      <w:pPr>
        <w:pStyle w:val="ListNumber"/>
        <w:spacing w:after="40"/>
      </w:pPr>
      <w:r>
        <w:t>Triage and severity classification</w:t>
      </w:r>
    </w:p>
    <w:p>
      <w:pPr>
        <w:pStyle w:val="ListNumber"/>
        <w:spacing w:after="40"/>
      </w:pPr>
      <w:r>
        <w:t>Containment and eradication</w:t>
      </w:r>
    </w:p>
    <w:p>
      <w:pPr>
        <w:pStyle w:val="ListNumber"/>
        <w:spacing w:after="40"/>
      </w:pPr>
      <w:r>
        <w:t>Recovery and service validation</w:t>
      </w:r>
    </w:p>
    <w:p>
      <w:pPr>
        <w:pStyle w:val="ListNumber"/>
        <w:spacing w:after="40"/>
      </w:pPr>
      <w:r>
        <w:t>Post-incident review and lessons learned</w:t>
      </w:r>
    </w:p>
    <w:p>
      <w:pPr>
        <w:pStyle w:val="Heading2"/>
        <w:spacing w:before="160" w:after="120"/>
      </w:pPr>
      <w:r>
        <w:rPr>
          <w:color w:val="2E75B6"/>
        </w:rPr>
        <w:t>Escalation Principles</w:t>
      </w:r>
    </w:p>
    <w:p>
      <w:pPr>
        <w:pStyle w:val="ListBullet"/>
        <w:spacing w:after="40"/>
        <w:ind w:left="0"/>
      </w:pPr>
      <w:r>
        <w:t>High-severity incidents require notification of security leadership and relevant business owners without delay.</w:t>
      </w:r>
    </w:p>
    <w:p>
      <w:pPr>
        <w:pStyle w:val="ListBullet"/>
        <w:spacing w:after="40"/>
        <w:ind w:left="0"/>
      </w:pPr>
      <w:r>
        <w:t>Potential legal, regulatory, or privacy impacts must be coordinated with legal and privacy stakeholders.</w:t>
      </w:r>
    </w:p>
    <w:p>
      <w:pPr>
        <w:pStyle w:val="ListBullet"/>
        <w:spacing w:after="40"/>
        <w:ind w:left="0"/>
      </w:pPr>
      <w:r>
        <w:t>Customer or external communications must be approved through designated communications channels.</w:t>
      </w:r>
    </w:p>
    <w:sectPr w:rsidR="00FC693F" w:rsidRPr="0006063C" w:rsidSect="00034616">
      <w:pgSz w:w="12240" w:h="15840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