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Ransomware Tabletop Exercise</w:t>
      </w:r>
    </w:p>
    <w:p>
      <w:pPr>
        <w:jc w:val="left"/>
      </w:pPr>
      <w:r>
        <w:rPr>
          <w:i/>
          <w:color w:val="505050"/>
          <w:sz w:val="22"/>
        </w:rPr>
        <w:t>Incident response scenario, expected decisions, and after-action improvement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Sample Enterprise (fictional)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Prepared By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GRC Analyst Portfolio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Exercise Type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Tabletop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Threat Theme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Ransomware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1.0</w:t>
            </w:r>
          </w:p>
        </w:tc>
      </w:tr>
    </w:tbl>
    <w:p/>
    <w:p>
      <w:r>
        <w:rPr>
          <w:i/>
        </w:rPr>
        <w:t>Prepared by Gustavo do Carmo Lemes to practice designing and facilitating a tabletop exercise, from scenario design through after-action reporting.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</w:rPr>
        <w:t>1. Scenario Summary</w:t>
      </w:r>
    </w:p>
    <w:p>
      <w:pPr>
        <w:spacing w:after="120" w:line="276" w:lineRule="auto"/>
      </w:pPr>
      <w:r>
        <w:t>This tabletop exercise simulates a ransomware event initiated through a successful phishing email sent to the finance function. The scenario challenges incident command, containment, communications, and business recovery decision-making.</w:t>
      </w:r>
    </w:p>
    <w:p>
      <w:pPr>
        <w:pStyle w:val="Heading1"/>
        <w:spacing w:before="240" w:after="120"/>
      </w:pPr>
      <w:r>
        <w:rPr>
          <w:color w:val="1F4E79"/>
        </w:rPr>
        <w:t>2. Exercise Objectives</w:t>
      </w:r>
    </w:p>
    <w:p>
      <w:pPr>
        <w:pStyle w:val="ListBullet"/>
        <w:spacing w:after="40"/>
        <w:ind w:left="0"/>
      </w:pPr>
      <w:r>
        <w:t>Validate incident triage and escalation paths.</w:t>
      </w:r>
    </w:p>
    <w:p>
      <w:pPr>
        <w:pStyle w:val="ListBullet"/>
        <w:spacing w:after="40"/>
        <w:ind w:left="0"/>
      </w:pPr>
      <w:r>
        <w:t>Assess whether leadership receives timely, decision-ready information.</w:t>
      </w:r>
    </w:p>
    <w:p>
      <w:pPr>
        <w:pStyle w:val="ListBullet"/>
        <w:spacing w:after="40"/>
        <w:ind w:left="0"/>
      </w:pPr>
      <w:r>
        <w:t>Test alignment between security, IT operations, legal, and communications.</w:t>
      </w:r>
    </w:p>
    <w:p>
      <w:pPr>
        <w:pStyle w:val="ListBullet"/>
        <w:spacing w:after="40"/>
        <w:ind w:left="0"/>
      </w:pPr>
      <w:r>
        <w:t>Identify gaps in backup assumptions, endpoint containment, and third-party coordination.</w:t>
      </w:r>
    </w:p>
    <w:p>
      <w:pPr>
        <w:pStyle w:val="Heading1"/>
        <w:spacing w:before="240" w:after="120"/>
      </w:pPr>
      <w:r>
        <w:rPr>
          <w:color w:val="1F4E79"/>
        </w:rPr>
        <w:t>3. Key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3457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Inject / Event</w:t>
            </w:r>
          </w:p>
        </w:tc>
        <w:tc>
          <w:tcPr>
            <w:tcW w:type="dxa" w:w="3457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Expected Team Response</w:t>
            </w:r>
          </w:p>
        </w:tc>
      </w:tr>
      <w:tr>
        <w:tc>
          <w:tcPr>
            <w:tcW w:type="dxa" w:w="3457"/>
          </w:tcPr>
          <w:p>
            <w:pPr>
              <w:spacing w:after="0" w:line="252" w:lineRule="auto"/>
              <w:jc w:val="center"/>
            </w:pPr>
            <w:r>
              <w:t>08:15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Finance user reports unusual file encryption and ransom note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Open severity-one incident and isolate affected endpoint</w:t>
            </w:r>
          </w:p>
        </w:tc>
      </w:tr>
      <w:tr>
        <w:tc>
          <w:tcPr>
            <w:tcW w:type="dxa" w:w="3457"/>
          </w:tcPr>
          <w:p>
            <w:pPr>
              <w:spacing w:after="0" w:line="252" w:lineRule="auto"/>
              <w:jc w:val="center"/>
            </w:pPr>
            <w:r>
              <w:t>08:40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Multiple shared drives become inaccessible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Trigger broader containment and review identity compromise indicators</w:t>
            </w:r>
          </w:p>
        </w:tc>
      </w:tr>
      <w:tr>
        <w:tc>
          <w:tcPr>
            <w:tcW w:type="dxa" w:w="3457"/>
          </w:tcPr>
          <w:p>
            <w:pPr>
              <w:spacing w:after="0" w:line="252" w:lineRule="auto"/>
              <w:jc w:val="center"/>
            </w:pPr>
            <w:r>
              <w:t>09:00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Customer support reports service disruption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Engage business continuity lead and executive communications</w:t>
            </w:r>
          </w:p>
        </w:tc>
      </w:tr>
      <w:tr>
        <w:tc>
          <w:tcPr>
            <w:tcW w:type="dxa" w:w="3457"/>
          </w:tcPr>
          <w:p>
            <w:pPr>
              <w:spacing w:after="0" w:line="252" w:lineRule="auto"/>
              <w:jc w:val="center"/>
            </w:pPr>
            <w:r>
              <w:t>10:00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Threat actor claims exfiltration of data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Coordinate legal, privacy, and notification decision-making</w:t>
            </w:r>
          </w:p>
        </w:tc>
      </w:tr>
    </w:tbl>
    <w:p/>
    <w:p>
      <w:pPr>
        <w:pStyle w:val="Heading1"/>
        <w:spacing w:before="240" w:after="120"/>
      </w:pPr>
      <w:r>
        <w:rPr>
          <w:color w:val="1F4E79"/>
        </w:rPr>
        <w:t>4. After-Action Improvements</w:t>
      </w:r>
    </w:p>
    <w:p>
      <w:pPr>
        <w:pStyle w:val="ListNumber"/>
        <w:spacing w:after="40"/>
      </w:pPr>
      <w:r>
        <w:t>Predefine authority to isolate devices and disable accounts during high-confidence ransomware events.</w:t>
      </w:r>
    </w:p>
    <w:p>
      <w:pPr>
        <w:pStyle w:val="ListNumber"/>
        <w:spacing w:after="40"/>
      </w:pPr>
      <w:r>
        <w:t>Maintain a current executive notification matrix with legal and privacy contacts.</w:t>
      </w:r>
    </w:p>
    <w:p>
      <w:pPr>
        <w:pStyle w:val="ListNumber"/>
        <w:spacing w:after="40"/>
      </w:pPr>
      <w:r>
        <w:t>Verify recovery priorities for customer-critical applications and shared services.</w:t>
      </w:r>
    </w:p>
    <w:p>
      <w:pPr>
        <w:pStyle w:val="ListNumber"/>
        <w:spacing w:after="40"/>
      </w:pPr>
      <w:r>
        <w:t>Document decision criteria for involving cyber insurance, outside counsel, and law enforcement.</w:t>
      </w:r>
    </w:p>
    <w:sectPr w:rsidR="00FC693F" w:rsidRPr="0006063C" w:rsidSect="00034616">
      <w:pgSz w:w="12240" w:h="15840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