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ISO 27001 Control Mapping Report</w:t>
      </w:r>
    </w:p>
    <w:p>
      <w:pPr>
        <w:jc w:val="left"/>
      </w:pPr>
      <w:r>
        <w:rPr>
          <w:i/>
          <w:color w:val="505050"/>
          <w:sz w:val="22"/>
        </w:rPr>
        <w:t>Crosswalk of selected control themes to implementation evidence and NIST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Sample Enterprise (fictional)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GRC Analyst Portfolio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Framework Basis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ISO/IEC 27001 control mapping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Document Type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Control Mapping Report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</w:tbl>
    <w:p/>
    <w:p>
      <w:r>
        <w:rPr>
          <w:i/>
        </w:rPr>
        <w:t>Prepared by Gustavo do Carmo Lemes to practice translating ISO/IEC 27001 Annex A requirements into concrete implementation evidence and ownership.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Objective</w:t>
      </w:r>
    </w:p>
    <w:p>
      <w:pPr>
        <w:spacing w:after="120" w:line="276" w:lineRule="auto"/>
      </w:pPr>
      <w:r>
        <w:t>This project maps selected ISO/IEC 27001 Annex A control themes to implementation evidence and related NIST CSF references. It is intended to demonstrate control translation, audit readiness thinking, and practical interpretation of governance requirements.</w:t>
      </w:r>
    </w:p>
    <w:p>
      <w:pPr>
        <w:pStyle w:val="Heading1"/>
        <w:spacing w:before="240" w:after="120"/>
      </w:pPr>
      <w:r>
        <w:rPr>
          <w:color w:val="1F4E79"/>
        </w:rPr>
        <w:t>2. Crosswalk Approach</w:t>
      </w:r>
    </w:p>
    <w:p>
      <w:pPr>
        <w:pStyle w:val="ListBullet"/>
        <w:spacing w:after="40"/>
        <w:ind w:left="0"/>
      </w:pPr>
      <w:r>
        <w:t>Selected controls emphasize policy governance, access control, logging, supplier security, backup, and incident management.</w:t>
      </w:r>
    </w:p>
    <w:p>
      <w:pPr>
        <w:pStyle w:val="ListBullet"/>
        <w:spacing w:after="40"/>
        <w:ind w:left="0"/>
      </w:pPr>
      <w:r>
        <w:t>Each mapped control identifies expected implementation evidence and ownership.</w:t>
      </w:r>
    </w:p>
    <w:p>
      <w:pPr>
        <w:pStyle w:val="ListBullet"/>
        <w:spacing w:after="40"/>
        <w:ind w:left="0"/>
      </w:pPr>
      <w:r>
        <w:t>The crosswalk supports control rationalization and helps teams explain how one control environment aligns to multiple frameworks.</w:t>
      </w:r>
    </w:p>
    <w:p>
      <w:pPr>
        <w:pStyle w:val="Heading1"/>
        <w:spacing w:before="240" w:after="120"/>
      </w:pPr>
      <w:r>
        <w:rPr>
          <w:color w:val="1F4E79"/>
        </w:rPr>
        <w:t>3. Sample Control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ISO 27001 Theme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Implementation Evidence</w:t>
            </w:r>
          </w:p>
        </w:tc>
        <w:tc>
          <w:tcPr>
            <w:tcW w:type="dxa" w:w="3457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Related NIST CSF Reference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Information Security Policies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Approved policy suite, annual review record</w:t>
            </w:r>
          </w:p>
        </w:tc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GV.PO / ID.GV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Identity and Access Management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Provisioning workflow, role review evidence, MFA enforcement</w:t>
            </w:r>
          </w:p>
        </w:tc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PR.AA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Logging and Monitoring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Central log aggregation, alert procedures, retention settings</w:t>
            </w:r>
          </w:p>
        </w:tc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DE.CM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Supplier Relationships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Security due diligence, contract clauses, annual review</w:t>
            </w:r>
          </w:p>
        </w:tc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ID.SC</w:t>
            </w:r>
          </w:p>
        </w:tc>
      </w:tr>
      <w:tr>
        <w:tc>
          <w:tcPr>
            <w:tcW w:type="dxa" w:w="3457"/>
          </w:tcPr>
          <w:p>
            <w:pPr>
              <w:spacing w:after="0" w:line="252" w:lineRule="auto"/>
            </w:pPr>
            <w:r>
              <w:t>Backup and Recovery</w:t>
            </w:r>
          </w:p>
        </w:tc>
        <w:tc>
          <w:tcPr>
            <w:tcW w:type="dxa" w:w="3457"/>
          </w:tcPr>
          <w:p>
            <w:pPr>
              <w:spacing w:after="0" w:line="252" w:lineRule="auto"/>
            </w:pPr>
            <w:r>
              <w:t>Backup schedule, restoration test evidence, recovery roles</w:t>
            </w:r>
          </w:p>
        </w:tc>
        <w:tc>
          <w:tcPr>
            <w:tcW w:type="dxa" w:w="3457"/>
          </w:tcPr>
          <w:p>
            <w:pPr>
              <w:spacing w:after="0" w:line="252" w:lineRule="auto"/>
              <w:jc w:val="center"/>
            </w:pPr>
            <w:r>
              <w:t>RC.RP / RC.IM</w:t>
            </w:r>
          </w:p>
        </w:tc>
      </w:tr>
    </w:tbl>
    <w:p/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