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SOC 2 Readiness Assessment</w:t>
      </w:r>
    </w:p>
    <w:p>
      <w:pPr>
        <w:jc w:val="left"/>
      </w:pPr>
      <w:r>
        <w:rPr>
          <w:i/>
          <w:color w:val="505050"/>
          <w:sz w:val="22"/>
        </w:rPr>
        <w:t>Trust Services Criteria readiness review with prioritized remediation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Sample Enterprise (fictional)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GRC Analyst Portfolio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Framework Basis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SOC 2 Trust Services Criteria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Document Type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Readiness Assessment Report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</w:tbl>
    <w:p/>
    <w:p>
      <w:r>
        <w:rPr>
          <w:i/>
        </w:rPr>
        <w:t>Prepared by Gustavo do Carmo Lemes to practice evaluating control readiness against the SOC 2 Trust Services Criteria ahead of a formal examination.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Readiness Summary</w:t>
      </w:r>
    </w:p>
    <w:p>
      <w:pPr>
        <w:spacing w:after="120" w:line="276" w:lineRule="auto"/>
      </w:pPr>
      <w:r>
        <w:t>This readiness assessment reviews a fictional organization's control environment against the SOC 2 Trust Services Criteria, with a primary focus on Security and selected Availability considerations. The current state shows a documented baseline, but evidence maturity and formal monitoring require strengthening before an external examination.</w:t>
      </w:r>
    </w:p>
    <w:p>
      <w:pPr>
        <w:spacing w:after="120" w:line="276" w:lineRule="auto"/>
      </w:pPr>
      <w:r>
        <w:t>The most important readiness themes are evidence retention, formal control ownership, access review cadence, logging coverage, and change-management traceability.</w:t>
      </w:r>
    </w:p>
    <w:p>
      <w:pPr>
        <w:pStyle w:val="Heading1"/>
        <w:spacing w:before="240" w:after="120"/>
      </w:pPr>
      <w:r>
        <w:rPr>
          <w:color w:val="1F4E79"/>
        </w:rPr>
        <w:t>2. Assessment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Implemented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Control exists and evidence is available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</w:pPr>
            <w:r>
              <w:t>Partially Implemented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Control exists but evidence, scope, or consistency is insufficient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Planned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Improvement is identified but not yet operational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Not Implemented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No meaningful control or evidence is currently present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3. Representative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Readiness Impact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>
              <w:t>CC6.1 Logical Access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MFA is incomplete for all users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High-risk access control weakness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Critical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>
              <w:t>CC7.2 Change Management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Change approvals are inconsistently documented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Weak audit evidence and oversight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CC7.3 Monitoring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Alerting use cases not formally defined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Delayed identification of suspicious activity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A1.2 Availability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Recovery testing not performed on a recurring schedule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Availability commitments may not be provable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Medium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4. 120-Day Readiness Plan</w:t>
      </w:r>
    </w:p>
    <w:p>
      <w:pPr>
        <w:pStyle w:val="ListNumber"/>
        <w:spacing w:after="40"/>
      </w:pPr>
      <w:r>
        <w:t>Assign named owners to all in-scope controls and evidence artifacts.</w:t>
      </w:r>
    </w:p>
    <w:p>
      <w:pPr>
        <w:pStyle w:val="ListNumber"/>
        <w:spacing w:after="40"/>
      </w:pPr>
      <w:r>
        <w:t>Require MFA for workforce, administrator, and remote-access identities.</w:t>
      </w:r>
    </w:p>
    <w:p>
      <w:pPr>
        <w:pStyle w:val="ListNumber"/>
        <w:spacing w:after="40"/>
      </w:pPr>
      <w:r>
        <w:t>Create a formal evidence library for access reviews, changes, incident response, and backups.</w:t>
      </w:r>
    </w:p>
    <w:p>
      <w:pPr>
        <w:pStyle w:val="ListNumber"/>
        <w:spacing w:after="40"/>
      </w:pPr>
      <w:r>
        <w:t>Define periodic monitoring reviews and retain records of investigations and follow-up actions.</w:t>
      </w:r>
    </w:p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