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 S10-S11-S12</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16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20</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31</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37</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39</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54</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66</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67</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pPr>
        <w:pStyle w:val="APA"/>
      </w:pPr>
      <w:r>
        <w:t xml:space="preserve">Estado de la implementación en las entregas S10 a S12. Las cuatro capas descritas tienen ya una materialización en el repositorio del proyecto. La capa de presentación es la aplicación .NET MAUI (carpeta HotelReservas, versión 0.3), que incorpora el prototipo funcional de las pantallas transaccionales. Las capas de lógica de negocio y de acceso a datos se implementaron en la API REST HotelReservas.Api, construida con ASP.NET Core 8 y Entity Framework Core: expone los recursos de autenticación (token JWT), disponibilidad, reservas, huéspedes, comprobantes y asistente; la confirmación de reserva ejecuta el procedimiento almacenado con bloqueo y responde con el código 201 cuando la transacción se confirma o 409 cuando otra sesión tomó la habitación, y los cambios de estado aplican concurrencia optimista con la columna ROWVERSION. La capa de almacenamiento son los scripts 01 a 06 de SQL Server. El servicio de inteligencia artificial de la sección 13 se implementó dentro de la API como un componente de la capa de lógica de negocio. La sección 14 relaciona cada recurso de la API con los casos de uso que atiende.</w:t>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pPr>
        <w:pStyle w:val="APA"/>
      </w:pPr>
      <w:r>
        <w:t xml:space="preserve">Ajuste del diseño de datos en la Fase III. Para atender el requerimiento RF16, la tabla RESERVA desglosa el precio en cuatro columnas adicionales: subtotal, que es el producto de las noches por la tarifa vigente; tasa_iva, con el valor 0,19 de la tarifa general del impuesto sobre las ventas o 0 cuando aplica la exención; impuesto, igual al subtotal multiplicado por la tasa; y exento_iva, un indicador que se activa para el huésped extranjero no residente, cuyo servicio de alojamiento está exento del IVA conforme al artículo 481 del Estatuto Tributario (Presidencia de la República de Colombia, 1989). La columna valor_total pasa a representar el precio neto y una restricción CHECK garantiza que valor_total sea igual a subtotal más impuesto, de manera que el desglose que se muestra al huésped y el que se registra en PAGO y en COMPROBANTE sean siempre coherentes. La tabla HUESPED añade el indicador extranjero_no_residente, del que se toma el valor por defecto de la exención, y el campo telefono, ya existente, es el destino del comprobante compartible por WhatsApp (RF17). La reserva rápida para huésped frecuente (RF18) no requiere columnas nuevas: se calcula sobre las reservas del huésped en estado confirmada, en casa o finalizada. Estos ajustes se implementan en el script 05 del repositorio, que también actualiza el procedimiento de confirmación para calcular el impuesto dentro de la misma transacción.</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dieciocho requerimientos funcionales del proyecto. Los quince primeros se corresponden uno a uno con los casos de uso de la sección 5, lo que conserva la trazabilidad construida en la Fase II y evita que aparezcan funciones no respaldadas por el diseño; los tres últimos (RF16 a RF18) se incorporan en esta fase a partir de la revisión del prototipo: el cálculo de impuestos para informar el precio neto y dos funciones diferenciadoras, el comprobante compartible por WhatsApp y la reserva rápida para el huésped frecuente, que simplifican el uso de la aplicación frente a otras soluciones de reservas.</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o administrador).</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Sesión iniciada con un token válido y un menú acorde con el perfil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huésped</w:t>
            </w:r>
          </w:p>
        </w:tc>
        <w:tc>
          <w:tcPr>
            <w:tcW w:w="3250" w:type="dxa"/>
          </w:tcPr>
          <w:p>
            <w:pPr>
              <w:spacing w:before="40" w:after="40" w:line="240" w:lineRule="auto"/>
            </w:pPr>
            <w:r>
              <w:rPr>
                <w:sz w:val="20"/>
                <w:szCs w:val="20"/>
              </w:rPr>
              <w:t xml:space="preserve">Capturar tipo y número de documento, nombres, apellidos, teléfono y correo del huésped, impidiendo documentos duplicados.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almacenado con identificador único y disponible para asociarse a reservas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una habitación y un periodo, verificando de nuevo la disponibilidad dentro de la misma transacción.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confirmada con código único,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abono posterior.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Pago registrado y vinculado a la reserva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reserva</w:t>
            </w:r>
          </w:p>
        </w:tc>
        <w:tc>
          <w:tcPr>
            <w:tcW w:w="3250" w:type="dxa"/>
          </w:tcPr>
          <w:p>
            <w:pPr>
              <w:spacing w:before="40" w:after="40" w:line="240" w:lineRule="auto"/>
            </w:pPr>
            <w:r>
              <w:rPr>
                <w:sz w:val="20"/>
                <w:szCs w:val="20"/>
              </w:rPr>
              <w:t xml:space="preserve">Dejar sin efecto una reserva confirmada, registrar el motivo y liberar la habitación para las fechas asociadas.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cancelada, pago revertido según la política y habitación liberada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actualizar tipos de habitación, habitaciones, estados (incluido mantenimiento) y tarifas con vigencia.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activar o desactivar cuentas del personal y asignarles el perfil.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r>
        <w:trPr>
          <w:cantSplit/>
        </w:trPr>
        <w:tc>
          <w:tcPr>
            <w:tcW w:w="1000" w:type="dxa"/>
          </w:tcPr>
          <w:p>
            <w:pPr>
              <w:spacing w:before="40" w:after="40" w:line="240" w:lineRule="auto"/>
            </w:pPr>
            <w:r>
              <w:rPr>
                <w:sz w:val="20"/>
                <w:szCs w:val="20"/>
              </w:rPr>
              <w:t xml:space="preserve">RF16</w:t>
            </w:r>
          </w:p>
        </w:tc>
        <w:tc>
          <w:tcPr>
            <w:tcW w:w="1450" w:type="dxa"/>
          </w:tcPr>
          <w:p>
            <w:pPr>
              <w:spacing w:before="40" w:after="40" w:line="240" w:lineRule="auto"/>
            </w:pPr>
            <w:r>
              <w:rPr>
                <w:sz w:val="20"/>
                <w:szCs w:val="20"/>
              </w:rPr>
              <w:t xml:space="preserve">Calcular impuestos y precio neto</w:t>
            </w:r>
          </w:p>
        </w:tc>
        <w:tc>
          <w:tcPr>
            <w:tcW w:w="3250" w:type="dxa"/>
          </w:tcPr>
          <w:p>
            <w:pPr>
              <w:spacing w:before="40" w:after="40" w:line="240" w:lineRule="auto"/>
            </w:pPr>
            <w:r>
              <w:rPr>
                <w:sz w:val="20"/>
                <w:szCs w:val="20"/>
              </w:rPr>
              <w:t xml:space="preserve">Desglosar el valor de la reserva en subtotal de alojamiento, IVA del 19 % y precio neto, aplicando la exención del IVA cuando el huésped es extranjero no residente, y registrar el desglose en la reserva, el pago y el comprobante.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 subtotal, impuesto y precio neto coherentes (valor_total = subtotal + impuesto); el huésped conoce el valor final antes de confirmar (extiende CU-04 y CU-06).</w:t>
            </w:r>
          </w:p>
        </w:tc>
      </w:tr>
      <w:tr>
        <w:trPr>
          <w:cantSplit/>
        </w:trPr>
        <w:tc>
          <w:tcPr>
            <w:tcW w:w="1000" w:type="dxa"/>
          </w:tcPr>
          <w:p>
            <w:pPr>
              <w:spacing w:before="40" w:after="40" w:line="240" w:lineRule="auto"/>
            </w:pPr>
            <w:r>
              <w:rPr>
                <w:sz w:val="20"/>
                <w:szCs w:val="20"/>
              </w:rPr>
              <w:t xml:space="preserve">RF17</w:t>
            </w:r>
          </w:p>
        </w:tc>
        <w:tc>
          <w:tcPr>
            <w:tcW w:w="1450" w:type="dxa"/>
          </w:tcPr>
          <w:p>
            <w:pPr>
              <w:spacing w:before="40" w:after="40" w:line="240" w:lineRule="auto"/>
            </w:pPr>
            <w:r>
              <w:rPr>
                <w:sz w:val="20"/>
                <w:szCs w:val="20"/>
              </w:rPr>
              <w:t xml:space="preserve">Compartir comprobante por WhatsApp</w:t>
            </w:r>
          </w:p>
        </w:tc>
        <w:tc>
          <w:tcPr>
            <w:tcW w:w="3250" w:type="dxa"/>
          </w:tcPr>
          <w:p>
            <w:pPr>
              <w:spacing w:before="40" w:after="40" w:line="240" w:lineRule="auto"/>
            </w:pPr>
            <w:r>
              <w:rPr>
                <w:sz w:val="20"/>
                <w:szCs w:val="20"/>
              </w:rPr>
              <w:t xml:space="preserve">Generar, a partir del comprobante, un mensaje con el código de reserva, el huésped, la habitación, las fechas y el desglose del precio, y enviarlo al teléfono del huésped por WhatsApp o copiarlo al portapapeles.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Mensaje enviado al número registrado del huésped en un toque, sin transcribir datos; disponible también desde el historial (extiende CU-06).</w:t>
            </w:r>
          </w:p>
        </w:tc>
      </w:tr>
      <w:tr>
        <w:trPr>
          <w:cantSplit/>
        </w:trPr>
        <w:tc>
          <w:tcPr>
            <w:tcW w:w="1000" w:type="dxa"/>
          </w:tcPr>
          <w:p>
            <w:pPr>
              <w:spacing w:before="40" w:after="40" w:line="240" w:lineRule="auto"/>
            </w:pPr>
            <w:r>
              <w:rPr>
                <w:sz w:val="20"/>
                <w:szCs w:val="20"/>
              </w:rPr>
              <w:t xml:space="preserve">RF18</w:t>
            </w:r>
          </w:p>
        </w:tc>
        <w:tc>
          <w:tcPr>
            <w:tcW w:w="1450" w:type="dxa"/>
          </w:tcPr>
          <w:p>
            <w:pPr>
              <w:spacing w:before="40" w:after="40" w:line="240" w:lineRule="auto"/>
            </w:pPr>
            <w:r>
              <w:rPr>
                <w:sz w:val="20"/>
                <w:szCs w:val="20"/>
              </w:rPr>
              <w:t xml:space="preserve">Reserva rápida para huésped frecuente</w:t>
            </w:r>
          </w:p>
        </w:tc>
        <w:tc>
          <w:tcPr>
            <w:tcW w:w="3250" w:type="dxa"/>
          </w:tcPr>
          <w:p>
            <w:pPr>
              <w:spacing w:before="40" w:after="40" w:line="240" w:lineRule="auto"/>
            </w:pPr>
            <w:r>
              <w:rPr>
                <w:sz w:val="20"/>
                <w:szCs w:val="20"/>
              </w:rPr>
              <w:t xml:space="preserve">Reconocer al huésped por su número de documento, mostrar su número de estadías y las preferencias de la última (tipo de habitación, personas, noches y medio de pago) y precargar con ellas la consulta de disponibilidad y la confirmación.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con dos o más estadías identificado y reserva precargada en un toque; el recepcionista solo elige la habitación y confirma (extiende CU-03 y CU-04).</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 Los requerimientos RF16 a RF18 no crean casos de uso nuevos, sino que amplían la transacción de confirmación y el comprobante: RF16 incorpora en la propia transacción el cálculo del IVA y del precio neto, de modo que el valor que ve el huésped es el que queda registrado en RESERVA, PAGO y COMPROBANTE; RF17 reutiliza el comprobante ya emitido para enviarlo por WhatsApp; y RF18 se apoya en el historial de reservas del huésped para precargar la consulta de disponibilidad y la confirmación, sin omitir la verificación de disponibilidad con bloqueo.</w:t>
      </w:r>
    </w:p>
    <w:p>
      <w:pPr>
        <w:pStyle w:val="APA"/>
        <w:jc w:val="center"/>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El precio neto es el valor final que paga el huésped: el subtotal del alojamiento más el impuesto sobre las ventas (IVA), que en Colombia grava los servicios hoteleros con la tarifa general del 19 %, salvo cuando se prestan a extranjeros no residentes, caso en el que el servicio está exento (Presidencia de la República de Colombia, 1989). El huésped frecuente es aquel que ha completado dos o más estadías en el hotel y cuyas preferencias, registradas en sus reservas anteriores, permiten agilizar una nueva reserva. Estos conceptos definen el vocabulario con el que se nombraron los casos de uso, las clases y las tablas en las secciones anteriores.</w:t>
      </w:r>
    </w:p>
    <w:p>
      <w:pPr>
        <w:pStyle w:val="APA"/>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rPr>
          <w:b/>
          <w:bCs/>
        </w:rPr>
      </w:pPr>
      <w:bookmarkStart w:id="1011" w:name="_TocF31011"/>
      <w:r>
        <w:rPr>
          <w:b/>
          <w:bCs/>
        </w:rPr>
        <w:t xml:space="preserve">12. MARCO CONTEXTUAL</w:t>
      </w:r>
      <w:bookmarkEnd w:id="1011"/>
    </w:p>
    <w:p>
      <w:pPr>
        <w:pStyle w:val="APA"/>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revisar el precio neto con su desglose de impuestos, registrar el pago y recibir el comprobante en una sola secuencia de pantallas. Dos funciones distinguen a la aplicación de otras soluciones de reservas: el comprobante se envía al huésped por WhatsApp en un toque, sin transcribir datos, y el huésped frecuente se reconoce por su documento para repetir su última estadía con los filtros y el medio de pago ya cargados. El prototipo funcional de la APK (versión 0.3) contiene estas pantallas; la API REST HotelReservas.Api, construida en las entregas S10 a S12, implementa la lógica de negocio y el acceso a datos que las respaldan, y la conexión definitiva de la aplicación móvil a la API es la actividad siguiente.</w:t>
      </w:r>
    </w:p>
    <w:p>
      <w:pPr>
        <w:pStyle w:val="APA"/>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diseñó conceptualmente en la Fase III y se implementó en la API REST en las entregas S10 a S12, limitado a funciones de lectura, de modo que no forma parte del núcleo transaccional ni lo modifica.</w:t>
      </w:r>
    </w:p>
    <w:p>
      <w:pPr>
        <w:pStyle w:val="APA"/>
        <w:jc w:val="center"/>
        <w:rPr>
          <w:b/>
          <w:bCs/>
        </w:rPr>
      </w:pPr>
      <w:bookmarkStart w:id="1018" w:name="_TocF31018"/>
      <w:r>
        <w:rPr>
          <w:b/>
          <w:bCs/>
        </w:rPr>
        <w:t xml:space="preserve">13. MARCO INTEGRADOR: INCORPORACIÓN DEL SERVICIO DE INTELIGENCIA ARTIFICIAL</w:t>
      </w:r>
      <w:bookmarkEnd w:id="1018"/>
    </w:p>
    <w:p>
      <w:pPr>
        <w:pStyle w:val="APA"/>
        <w:rPr>
          <w:b/>
          <w:bCs/>
        </w:rPr>
      </w:pPr>
      <w:bookmarkStart w:id="1019" w:name="_TocF31019"/>
      <w:r>
        <w:rPr>
          <w:b/>
          <w:bCs/>
        </w:rPr>
        <w:t xml:space="preserve">13.1 SERVICIO DE INTELIGENCIA ARTIFICIAL INCORPORADO</w:t>
      </w:r>
      <w:bookmarkEnd w:id="1019"/>
    </w:p>
    <w:p>
      <w:pPr>
        <w:pStyle w:val="APA"/>
      </w:pPr>
      <w:r>
        <w:t xml:space="preserve">Se incorpora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 Los cinco componentes fueron implementados en las entregas S10 a S12 en el proyecto HotelReservas.Api del repositorio; al final de la sección 13.3.5, la Tabla 5 indica el archivo que materializa cada uno.</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La tabla se crea con el script 06 del repositorio y registra además el intérprete que atendió la consulta y la duración en milisegundos; una restricción CHECK solo admite los nombres de las cinco funciones del catálogo.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pPr>
      <w:r>
        <w:t xml:space="preserve">En la implementación, la clase InterpreteAzureOpenAI consume el servicio por su interfaz REST de finalización de chat con temperatura cero, en dos llamadas: la primera entrega la pregunta y la descripción de las funciones y recibe la función elegida con sus parámetros; la segunda entrega el resultado real de la función y recibe la respuesta redactada. El punto de conexión, la clave y el nombre del despliegue se leen de la configuración de la API. Como salvaguarda de disponibilidad, cuando no hay credenciales configuradas o el servicio no responde, la API conmuta de forma automática a un intérprete de reglas (clase InterpreteReglas) que reconoce las mismas consultas mediante expresiones regulares, interpreta las fechas en español (por ejemplo, del 16 al 18 de octubre) y ejecuta el mismo catálogo de funciones; el usuario recibe el mismo tipo de respuesta y la bitácora registra con cuál de los dos intérpretes se atendió cada consulta. Esto permite demostrar el servicio sin conexión a internet y acotar el costo del servicio externo.</w:t>
      </w:r>
    </w:p>
    <w:p>
      <w:pPr>
        <w:pStyle w:val="APA"/>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consultarTarifa, consultarReserva, consultarLlegadas y consultarReservasConfirmadas), la ejecuta reutilizando los mismos servicios del negocio de los casos de uso CU-03 y CU-12, registra la consulta en CONSULTA_ASISTENTE y devuelve a la aplicación la respuesta redactada junto con los datos estructurados. La Figura 8 muestra la secuencia completa. En el código, estas piezas corresponden a las clases AsistenteController, OrquestadorAsistente, FiltroDatosPersonales y CatalogoFunciones; el catálogo se expone también en el recurso /api/asistente/funciones para que pueda auditarse qué funciones recibe el modelo.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recurso /api/asistente de la API por HTTPS, enviando la consulta en formato JSON y recibiendo la respuesta redactada, la función consultada, los datos estructurados y el intérprete que la atendió. La sección 14 presenta el prototipo de esta pantalla junto con las pantallas transaccionales.</w:t>
      </w:r>
    </w:p>
    <w:p>
      <w:pPr>
        <w:pStyle w:val="APA"/>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 En la implementación, los tres valores (punto de conexión, clave y despliegue) se leen de la sección AzureOpenAI del archivo de configuración de la API o de variables de entorno del servidor, y el archivo publicado en el repositorio los deja vacíos, de modo que el servicio de reglas atiende las consultas hasta que el administrador los configure.</w:t>
      </w:r>
    </w:p>
    <w:p>
      <w:pPr>
        <w:pStyle w:val="APA"/>
        <w:ind w:firstLine="0"/>
        <w:rPr>
          <w:b/>
          <w:bCs/>
        </w:rPr>
      </w:pPr>
      <w:r>
        <w:rPr>
          <w:b/>
          <w:bCs/>
        </w:rPr>
        <w:t xml:space="preserve">Tabla 5 Correspondencia entre los componentes del servicio de inteligencia artificial y su implementación</w:t>
      </w:r>
    </w:p>
    <w:tbl>
      <w:tblPr>
        <w:tblStyle w:val="Tablaconcuadrcula"/>
        <w:tblW w:w="9350" w:type="dxa"/>
        <w:jc w:val="center"/>
        <w:tblLook w:val="04A0" w:firstRow="1" w:lastRow="0" w:firstColumn="1" w:lastColumn="0" w:noHBand="0" w:noVBand="1"/>
      </w:tblPr>
      <w:tblGrid>
        <w:gridCol w:w="1900"/>
        <w:gridCol w:w="3500"/>
        <w:gridCol w:w="3950"/>
      </w:tblGrid>
      <w:tr>
        <w:trPr>
          <w:tblHeader/>
        </w:trPr>
        <w:tc>
          <w:tcPr>
            <w:tcW w:w="1900" w:type="dxa"/>
            <w:shd w:val="clear" w:color="auto" w:fill="EEF3FA"/>
          </w:tcPr>
          <w:p>
            <w:pPr>
              <w:spacing w:before="40" w:after="40" w:line="240" w:lineRule="auto"/>
            </w:pPr>
            <w:r>
              <w:rPr>
                <w:b/>
                <w:bCs/>
                <w:sz w:val="20"/>
                <w:szCs w:val="20"/>
              </w:rPr>
              <w:t xml:space="preserve">Componente</w:t>
            </w:r>
          </w:p>
        </w:tc>
        <w:tc>
          <w:tcPr>
            <w:tcW w:w="3500" w:type="dxa"/>
            <w:shd w:val="clear" w:color="auto" w:fill="EEF3FA"/>
          </w:tcPr>
          <w:p>
            <w:pPr>
              <w:spacing w:before="40" w:after="40" w:line="240" w:lineRule="auto"/>
            </w:pPr>
            <w:r>
              <w:rPr>
                <w:b/>
                <w:bCs/>
                <w:sz w:val="20"/>
                <w:szCs w:val="20"/>
              </w:rPr>
              <w:t xml:space="preserve">Archivos del repositorio</w:t>
            </w:r>
          </w:p>
        </w:tc>
        <w:tc>
          <w:tcPr>
            <w:tcW w:w="3950" w:type="dxa"/>
            <w:shd w:val="clear" w:color="auto" w:fill="EEF3FA"/>
          </w:tcPr>
          <w:p>
            <w:pPr>
              <w:spacing w:before="40" w:after="40" w:line="240" w:lineRule="auto"/>
            </w:pPr>
            <w:r>
              <w:rPr>
                <w:b/>
                <w:bCs/>
                <w:sz w:val="20"/>
                <w:szCs w:val="20"/>
              </w:rPr>
              <w:t xml:space="preserve">Qué implementan</w:t>
            </w:r>
          </w:p>
        </w:tc>
      </w:tr>
      <w:tr>
        <w:trPr>
          <w:cantSplit/>
        </w:trPr>
        <w:tc>
          <w:tcPr>
            <w:tcW w:w="1900" w:type="dxa"/>
          </w:tcPr>
          <w:p>
            <w:pPr>
              <w:spacing w:before="40" w:after="40" w:line="240" w:lineRule="auto"/>
            </w:pPr>
            <w:r>
              <w:rPr>
                <w:sz w:val="20"/>
                <w:szCs w:val="20"/>
              </w:rPr>
              <w:t xml:space="preserve">Modelo de datos</w:t>
            </w:r>
          </w:p>
        </w:tc>
        <w:tc>
          <w:tcPr>
            <w:tcW w:w="3500" w:type="dxa"/>
          </w:tcPr>
          <w:p>
            <w:pPr>
              <w:spacing w:before="40" w:after="40" w:line="240" w:lineRule="auto"/>
            </w:pPr>
            <w:r>
              <w:rPr>
                <w:sz w:val="20"/>
                <w:szCs w:val="20"/>
              </w:rPr>
              <w:t xml:space="preserve">database/06_consulta_asistente.sql; Data/Entidades.cs y Data/HotelReservasContext.cs</w:t>
            </w:r>
          </w:p>
        </w:tc>
        <w:tc>
          <w:tcPr>
            <w:tcW w:w="3950" w:type="dxa"/>
          </w:tcPr>
          <w:p>
            <w:pPr>
              <w:spacing w:before="40" w:after="40" w:line="240" w:lineRule="auto"/>
            </w:pPr>
            <w:r>
              <w:rPr>
                <w:sz w:val="20"/>
                <w:szCs w:val="20"/>
              </w:rPr>
              <w:t xml:space="preserve">Tabla CONSULTA_ASISTENTE y su mapeo en Entity Framework Core; el asistente solo lee las demás tablas.</w:t>
            </w:r>
          </w:p>
        </w:tc>
      </w:tr>
      <w:tr>
        <w:trPr>
          <w:cantSplit/>
        </w:trPr>
        <w:tc>
          <w:tcPr>
            <w:tcW w:w="1900" w:type="dxa"/>
          </w:tcPr>
          <w:p>
            <w:pPr>
              <w:spacing w:before="40" w:after="40" w:line="240" w:lineRule="auto"/>
            </w:pPr>
            <w:r>
              <w:rPr>
                <w:sz w:val="20"/>
                <w:szCs w:val="20"/>
              </w:rPr>
              <w:t xml:space="preserve">Modelo de inteligencia artificial</w:t>
            </w:r>
          </w:p>
        </w:tc>
        <w:tc>
          <w:tcPr>
            <w:tcW w:w="3500" w:type="dxa"/>
          </w:tcPr>
          <w:p>
            <w:pPr>
              <w:spacing w:before="40" w:after="40" w:line="240" w:lineRule="auto"/>
            </w:pPr>
            <w:r>
              <w:rPr>
                <w:sz w:val="20"/>
                <w:szCs w:val="20"/>
              </w:rPr>
              <w:t xml:space="preserve">Asistente/InterpreteAzureOpenAI.cs; Asistente/InterpreteReglas.cs</w:t>
            </w:r>
          </w:p>
        </w:tc>
        <w:tc>
          <w:tcPr>
            <w:tcW w:w="3950" w:type="dxa"/>
          </w:tcPr>
          <w:p>
            <w:pPr>
              <w:spacing w:before="40" w:after="40" w:line="240" w:lineRule="auto"/>
            </w:pPr>
            <w:r>
              <w:rPr>
                <w:sz w:val="20"/>
                <w:szCs w:val="20"/>
              </w:rPr>
              <w:t xml:space="preserve">GPT-4o por Azure OpenAI Service con llamada a funciones y mensaje de sistema fijo; intérprete de reglas de respaldo.</w:t>
            </w:r>
          </w:p>
        </w:tc>
      </w:tr>
      <w:tr>
        <w:trPr>
          <w:cantSplit/>
        </w:trPr>
        <w:tc>
          <w:tcPr>
            <w:tcW w:w="1900" w:type="dxa"/>
          </w:tcPr>
          <w:p>
            <w:pPr>
              <w:spacing w:before="40" w:after="40" w:line="240" w:lineRule="auto"/>
            </w:pPr>
            <w:r>
              <w:rPr>
                <w:sz w:val="20"/>
                <w:szCs w:val="20"/>
              </w:rPr>
              <w:t xml:space="preserve">Lógica de integración</w:t>
            </w:r>
          </w:p>
        </w:tc>
        <w:tc>
          <w:tcPr>
            <w:tcW w:w="3500" w:type="dxa"/>
          </w:tcPr>
          <w:p>
            <w:pPr>
              <w:spacing w:before="40" w:after="40" w:line="240" w:lineRule="auto"/>
            </w:pPr>
            <w:r>
              <w:rPr>
                <w:sz w:val="20"/>
                <w:szCs w:val="20"/>
              </w:rPr>
              <w:t xml:space="preserve">Controllers/AsistenteController.cs; Asistente/OrquestadorAsistente.cs; Asistente/CatalogoFunciones.cs</w:t>
            </w:r>
          </w:p>
        </w:tc>
        <w:tc>
          <w:tcPr>
            <w:tcW w:w="3950" w:type="dxa"/>
          </w:tcPr>
          <w:p>
            <w:pPr>
              <w:spacing w:before="40" w:after="40" w:line="240" w:lineRule="auto"/>
            </w:pPr>
            <w:r>
              <w:rPr>
                <w:sz w:val="20"/>
                <w:szCs w:val="20"/>
              </w:rPr>
              <w:t xml:space="preserve">Recurso /api/asistente con JWT, filtro de datos personales, validación contra el catálogo, ejecución y registro.</w:t>
            </w:r>
          </w:p>
        </w:tc>
      </w:tr>
      <w:tr>
        <w:trPr>
          <w:cantSplit/>
        </w:trPr>
        <w:tc>
          <w:tcPr>
            <w:tcW w:w="1900" w:type="dxa"/>
          </w:tcPr>
          <w:p>
            <w:pPr>
              <w:spacing w:before="40" w:after="40" w:line="240" w:lineRule="auto"/>
            </w:pPr>
            <w:r>
              <w:rPr>
                <w:sz w:val="20"/>
                <w:szCs w:val="20"/>
              </w:rPr>
              <w:t xml:space="preserve">Interfaz de usuario</w:t>
            </w:r>
          </w:p>
        </w:tc>
        <w:tc>
          <w:tcPr>
            <w:tcW w:w="3500" w:type="dxa"/>
          </w:tcPr>
          <w:p>
            <w:pPr>
              <w:spacing w:before="40" w:after="40" w:line="240" w:lineRule="auto"/>
            </w:pPr>
            <w:r>
              <w:rPr>
                <w:sz w:val="20"/>
                <w:szCs w:val="20"/>
              </w:rPr>
              <w:t xml:space="preserve">HotelReservas/Resources/Raw/prototipo.html (pantalla Asistente)</w:t>
            </w:r>
          </w:p>
        </w:tc>
        <w:tc>
          <w:tcPr>
            <w:tcW w:w="3950" w:type="dxa"/>
          </w:tcPr>
          <w:p>
            <w:pPr>
              <w:spacing w:before="40" w:after="40" w:line="240" w:lineRule="auto"/>
            </w:pPr>
            <w:r>
              <w:rPr>
                <w:sz w:val="20"/>
                <w:szCs w:val="20"/>
              </w:rPr>
              <w:t xml:space="preserve">Conversación, chips de consultas frecuentes y cita de la función consultada; conexión a la API pendiente.</w:t>
            </w:r>
          </w:p>
        </w:tc>
      </w:tr>
      <w:tr>
        <w:trPr>
          <w:cantSplit/>
        </w:trPr>
        <w:tc>
          <w:tcPr>
            <w:tcW w:w="1900" w:type="dxa"/>
          </w:tcPr>
          <w:p>
            <w:pPr>
              <w:spacing w:before="40" w:after="40" w:line="240" w:lineRule="auto"/>
            </w:pPr>
            <w:r>
              <w:rPr>
                <w:sz w:val="20"/>
                <w:szCs w:val="20"/>
              </w:rPr>
              <w:t xml:space="preserve">Infraestructura</w:t>
            </w:r>
          </w:p>
        </w:tc>
        <w:tc>
          <w:tcPr>
            <w:tcW w:w="3500" w:type="dxa"/>
          </w:tcPr>
          <w:p>
            <w:pPr>
              <w:spacing w:before="40" w:after="40" w:line="240" w:lineRule="auto"/>
            </w:pPr>
            <w:r>
              <w:rPr>
                <w:sz w:val="20"/>
                <w:szCs w:val="20"/>
              </w:rPr>
              <w:t xml:space="preserve">HotelReservas.Api/appsettings.json (sección AzureOpenAI); Program.cs</w:t>
            </w:r>
          </w:p>
        </w:tc>
        <w:tc>
          <w:tcPr>
            <w:tcW w:w="3950" w:type="dxa"/>
          </w:tcPr>
          <w:p>
            <w:pPr>
              <w:spacing w:before="40" w:after="40" w:line="240" w:lineRule="auto"/>
            </w:pPr>
            <w:r>
              <w:rPr>
                <w:sz w:val="20"/>
                <w:szCs w:val="20"/>
              </w:rPr>
              <w:t xml:space="preserve">Credenciales en la configuración de la API, HTTPS, tiempo máximo de espera y conmutación automática al respaldo.</w:t>
            </w:r>
          </w:p>
        </w:tc>
      </w:tr>
    </w:tbl>
    <w:p>
      <w:pPr>
        <w:pStyle w:val="APA"/>
      </w:pPr>
      <w:r>
        <w:t xml:space="preserve">Nota. Elaboración propia. Rutas relativas a la carpeta HotelReservas.Api del repositorio, salvo donde se indica otra carpeta.</w:t>
      </w:r>
    </w:p>
    <w:p>
      <w:pPr>
        <w:pStyle w:val="APA"/>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En las entregas S10 a S12 el servicio quedó implementado en la API con las tres salvaguardas descritas y con el intérprete de reglas como respaldo; las actividades siguientes son conectar la pantalla móvil al recurso, configurar el recurso de Azure OpenAI y medir con usuarios los indicadores de la sección 13.4.</w:t>
      </w:r>
    </w:p>
    <w:p>
      <w:pPr>
        <w:pStyle w:val="APA"/>
        <w:jc w:val="center"/>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el prototipo funcional de las pantallas transaccionales y del asistente, integrado en la APK (versión 0.3) y disponible también como página interactiva en el repositorio, que simula la API y la base de datos con los datos del script 03 y permite ejecutar la transacción de confirmación, la prueba de concurrencia, el cálculo de impuestos, el comprobante compartible y la reserva rápida. Todas las pantallas comparten la paleta institucional, la barra de pestañas con cinco destinos y la regla de que la aplicación solo muestra datos obtenidos de la API. Dicha API, HotelReservas.Api, forma parte del prototipo desde las entregas S10 a S12: la Tabla 6 relaciona sus recursos con los casos de uso y requerimientos que atienden, de modo que cada pantalla descrita a continuación tiene un recurso del servidor que la respalda.</w:t>
      </w:r>
    </w:p>
    <w:p>
      <w:pPr>
        <w:pStyle w:val="APA"/>
        <w:ind w:firstLine="0"/>
        <w:rPr>
          <w:b/>
          <w:bCs/>
        </w:rPr>
      </w:pPr>
      <w:r>
        <w:rPr>
          <w:b/>
          <w:bCs/>
        </w:rPr>
        <w:t xml:space="preserve">Tabla 6 Recursos de la API REST HotelReservas.Api y casos de uso que atienden</w:t>
      </w:r>
    </w:p>
    <w:tbl>
      <w:tblPr>
        <w:tblStyle w:val="Tablaconcuadrcula"/>
        <w:tblW w:w="9350" w:type="dxa"/>
        <w:jc w:val="center"/>
        <w:tblLook w:val="04A0" w:firstRow="1" w:lastRow="0" w:firstColumn="1" w:lastColumn="0" w:noHBand="0" w:noVBand="1"/>
      </w:tblPr>
      <w:tblGrid>
        <w:gridCol w:w="2900"/>
        <w:gridCol w:w="2250"/>
        <w:gridCol w:w="4200"/>
      </w:tblGrid>
      <w:tr>
        <w:trPr>
          <w:tblHeader/>
        </w:trPr>
        <w:tc>
          <w:tcPr>
            <w:tcW w:w="2900" w:type="dxa"/>
            <w:shd w:val="clear" w:color="auto" w:fill="EEF3FA"/>
          </w:tcPr>
          <w:p>
            <w:pPr>
              <w:spacing w:before="40" w:after="40" w:line="240" w:lineRule="auto"/>
            </w:pPr>
            <w:r>
              <w:rPr>
                <w:b/>
                <w:bCs/>
                <w:sz w:val="20"/>
                <w:szCs w:val="20"/>
              </w:rPr>
              <w:t xml:space="preserve">Recurso</w:t>
            </w:r>
          </w:p>
        </w:tc>
        <w:tc>
          <w:tcPr>
            <w:tcW w:w="2250" w:type="dxa"/>
            <w:shd w:val="clear" w:color="auto" w:fill="EEF3FA"/>
          </w:tcPr>
          <w:p>
            <w:pPr>
              <w:spacing w:before="40" w:after="40" w:line="240" w:lineRule="auto"/>
            </w:pPr>
            <w:r>
              <w:rPr>
                <w:b/>
                <w:bCs/>
                <w:sz w:val="20"/>
                <w:szCs w:val="20"/>
              </w:rPr>
              <w:t xml:space="preserve">Casos de uso y requerimientos</w:t>
            </w:r>
          </w:p>
        </w:tc>
        <w:tc>
          <w:tcPr>
            <w:tcW w:w="4200" w:type="dxa"/>
            <w:shd w:val="clear" w:color="auto" w:fill="EEF3FA"/>
          </w:tcPr>
          <w:p>
            <w:pPr>
              <w:spacing w:before="40" w:after="40" w:line="240" w:lineRule="auto"/>
            </w:pPr>
            <w:r>
              <w:rPr>
                <w:b/>
                <w:bCs/>
                <w:sz w:val="20"/>
                <w:szCs w:val="20"/>
              </w:rPr>
              <w:t xml:space="preserve">Función</w:t>
            </w:r>
          </w:p>
        </w:tc>
      </w:tr>
      <w:tr>
        <w:trPr>
          <w:cantSplit/>
        </w:trPr>
        <w:tc>
          <w:tcPr>
            <w:tcW w:w="2900" w:type="dxa"/>
          </w:tcPr>
          <w:p>
            <w:pPr>
              <w:spacing w:before="40" w:after="40" w:line="240" w:lineRule="auto"/>
            </w:pPr>
            <w:r>
              <w:rPr>
                <w:sz w:val="20"/>
                <w:szCs w:val="20"/>
              </w:rPr>
              <w:t xml:space="preserve">POST /api/auth/login</w:t>
            </w:r>
          </w:p>
        </w:tc>
        <w:tc>
          <w:tcPr>
            <w:tcW w:w="2250" w:type="dxa"/>
          </w:tcPr>
          <w:p>
            <w:pPr>
              <w:spacing w:before="40" w:after="40" w:line="240" w:lineRule="auto"/>
            </w:pPr>
            <w:r>
              <w:rPr>
                <w:sz w:val="20"/>
                <w:szCs w:val="20"/>
              </w:rPr>
              <w:t xml:space="preserve">CU-01, RF01, RNF01</w:t>
            </w:r>
          </w:p>
        </w:tc>
        <w:tc>
          <w:tcPr>
            <w:tcW w:w="4200" w:type="dxa"/>
          </w:tcPr>
          <w:p>
            <w:pPr>
              <w:spacing w:before="40" w:after="40" w:line="240" w:lineRule="auto"/>
            </w:pPr>
            <w:r>
              <w:rPr>
                <w:sz w:val="20"/>
                <w:szCs w:val="20"/>
              </w:rPr>
              <w:t xml:space="preserve">Valida correo y contraseña (hash PBKDF2) y emite el token JWT con el perfil.</w:t>
            </w:r>
          </w:p>
        </w:tc>
      </w:tr>
      <w:tr>
        <w:trPr>
          <w:cantSplit/>
        </w:trPr>
        <w:tc>
          <w:tcPr>
            <w:tcW w:w="2900" w:type="dxa"/>
          </w:tcPr>
          <w:p>
            <w:pPr>
              <w:spacing w:before="40" w:after="40" w:line="240" w:lineRule="auto"/>
            </w:pPr>
            <w:r>
              <w:rPr>
                <w:sz w:val="20"/>
                <w:szCs w:val="20"/>
              </w:rPr>
              <w:t xml:space="preserve">GET /api/disponibilidad</w:t>
            </w:r>
          </w:p>
        </w:tc>
        <w:tc>
          <w:tcPr>
            <w:tcW w:w="2250" w:type="dxa"/>
          </w:tcPr>
          <w:p>
            <w:pPr>
              <w:spacing w:before="40" w:after="40" w:line="240" w:lineRule="auto"/>
            </w:pPr>
            <w:r>
              <w:rPr>
                <w:sz w:val="20"/>
                <w:szCs w:val="20"/>
              </w:rPr>
              <w:t xml:space="preserve">CU-03, RF03, RF16</w:t>
            </w:r>
          </w:p>
        </w:tc>
        <w:tc>
          <w:tcPr>
            <w:tcW w:w="4200" w:type="dxa"/>
          </w:tcPr>
          <w:p>
            <w:pPr>
              <w:spacing w:before="40" w:after="40" w:line="240" w:lineRule="auto"/>
            </w:pPr>
            <w:r>
              <w:rPr>
                <w:sz w:val="20"/>
                <w:szCs w:val="20"/>
              </w:rPr>
              <w:t xml:space="preserve">Habitaciones libres, reservadas y en mantenimiento para un tipo y un intervalo, con subtotal, IVA y precio neto.</w:t>
            </w:r>
          </w:p>
        </w:tc>
      </w:tr>
      <w:tr>
        <w:trPr>
          <w:cantSplit/>
        </w:trPr>
        <w:tc>
          <w:tcPr>
            <w:tcW w:w="2900" w:type="dxa"/>
          </w:tcPr>
          <w:p>
            <w:pPr>
              <w:spacing w:before="40" w:after="40" w:line="240" w:lineRule="auto"/>
            </w:pPr>
            <w:r>
              <w:rPr>
                <w:sz w:val="20"/>
                <w:szCs w:val="20"/>
              </w:rPr>
              <w:t xml:space="preserve">POST /api/reservas</w:t>
            </w:r>
          </w:p>
        </w:tc>
        <w:tc>
          <w:tcPr>
            <w:tcW w:w="2250" w:type="dxa"/>
          </w:tcPr>
          <w:p>
            <w:pPr>
              <w:spacing w:before="40" w:after="40" w:line="240" w:lineRule="auto"/>
            </w:pPr>
            <w:r>
              <w:rPr>
                <w:sz w:val="20"/>
                <w:szCs w:val="20"/>
              </w:rPr>
              <w:t xml:space="preserve">CU-04, CU-05, CU-06, RF04, RF05, RF06, RF16, RNF02</w:t>
            </w:r>
          </w:p>
        </w:tc>
        <w:tc>
          <w:tcPr>
            <w:tcW w:w="4200" w:type="dxa"/>
          </w:tcPr>
          <w:p>
            <w:pPr>
              <w:spacing w:before="40" w:after="40" w:line="240" w:lineRule="auto"/>
            </w:pPr>
            <w:r>
              <w:rPr>
                <w:sz w:val="20"/>
                <w:szCs w:val="20"/>
              </w:rPr>
              <w:t xml:space="preserve">Ejecuta sp_ConfirmarReserva; responde 201 con código y comprobante o 409 si la habitación ya no está disponible.</w:t>
            </w:r>
          </w:p>
        </w:tc>
      </w:tr>
      <w:tr>
        <w:trPr>
          <w:cantSplit/>
        </w:trPr>
        <w:tc>
          <w:tcPr>
            <w:tcW w:w="2900" w:type="dxa"/>
          </w:tcPr>
          <w:p>
            <w:pPr>
              <w:spacing w:before="40" w:after="40" w:line="240" w:lineRule="auto"/>
            </w:pPr>
            <w:r>
              <w:rPr>
                <w:sz w:val="20"/>
                <w:szCs w:val="20"/>
              </w:rPr>
              <w:t xml:space="preserve">GET /api/reservas, GET /api/reservas/{codigo}</w:t>
            </w:r>
          </w:p>
        </w:tc>
        <w:tc>
          <w:tcPr>
            <w:tcW w:w="2250" w:type="dxa"/>
          </w:tcPr>
          <w:p>
            <w:pPr>
              <w:spacing w:before="40" w:after="40" w:line="240" w:lineRule="auto"/>
            </w:pPr>
            <w:r>
              <w:rPr>
                <w:sz w:val="20"/>
                <w:szCs w:val="20"/>
              </w:rPr>
              <w:t xml:space="preserve">CU-12, RF12, RNF05</w:t>
            </w:r>
          </w:p>
        </w:tc>
        <w:tc>
          <w:tcPr>
            <w:tcW w:w="4200" w:type="dxa"/>
          </w:tcPr>
          <w:p>
            <w:pPr>
              <w:spacing w:before="40" w:after="40" w:line="240" w:lineRule="auto"/>
            </w:pPr>
            <w:r>
              <w:rPr>
                <w:sz w:val="20"/>
                <w:szCs w:val="20"/>
              </w:rPr>
              <w:t xml:space="preserve">Historial y detalle con pagos, comprobante y bitácora.</w:t>
            </w:r>
          </w:p>
        </w:tc>
      </w:tr>
      <w:tr>
        <w:trPr>
          <w:cantSplit/>
        </w:trPr>
        <w:tc>
          <w:tcPr>
            <w:tcW w:w="2900" w:type="dxa"/>
          </w:tcPr>
          <w:p>
            <w:pPr>
              <w:spacing w:before="40" w:after="40" w:line="240" w:lineRule="auto"/>
            </w:pPr>
            <w:r>
              <w:rPr>
                <w:sz w:val="20"/>
                <w:szCs w:val="20"/>
              </w:rPr>
              <w:t xml:space="preserve">PUT /api/reservas/{codigo}/checkin, /checkout, /cancelar</w:t>
            </w:r>
          </w:p>
        </w:tc>
        <w:tc>
          <w:tcPr>
            <w:tcW w:w="2250" w:type="dxa"/>
          </w:tcPr>
          <w:p>
            <w:pPr>
              <w:spacing w:before="40" w:after="40" w:line="240" w:lineRule="auto"/>
            </w:pPr>
            <w:r>
              <w:rPr>
                <w:sz w:val="20"/>
                <w:szCs w:val="20"/>
              </w:rPr>
              <w:t xml:space="preserve">CU-08, CU-09, CU-10, RF08 a RF10</w:t>
            </w:r>
          </w:p>
        </w:tc>
        <w:tc>
          <w:tcPr>
            <w:tcW w:w="4200" w:type="dxa"/>
          </w:tcPr>
          <w:p>
            <w:pPr>
              <w:spacing w:before="40" w:after="40" w:line="240" w:lineRule="auto"/>
            </w:pPr>
            <w:r>
              <w:rPr>
                <w:sz w:val="20"/>
                <w:szCs w:val="20"/>
              </w:rPr>
              <w:t xml:space="preserve">Cambios de estado con concurrencia optimista (ROWVERSION); 409 si otra sesión modificó la reserva.</w:t>
            </w:r>
          </w:p>
        </w:tc>
      </w:tr>
      <w:tr>
        <w:trPr>
          <w:cantSplit/>
        </w:trPr>
        <w:tc>
          <w:tcPr>
            <w:tcW w:w="2900" w:type="dxa"/>
          </w:tcPr>
          <w:p>
            <w:pPr>
              <w:spacing w:before="40" w:after="40" w:line="240" w:lineRule="auto"/>
            </w:pPr>
            <w:r>
              <w:rPr>
                <w:sz w:val="20"/>
                <w:szCs w:val="20"/>
              </w:rPr>
              <w:t xml:space="preserve">GET y POST /api/huespedes</w:t>
            </w:r>
          </w:p>
        </w:tc>
        <w:tc>
          <w:tcPr>
            <w:tcW w:w="2250" w:type="dxa"/>
          </w:tcPr>
          <w:p>
            <w:pPr>
              <w:spacing w:before="40" w:after="40" w:line="240" w:lineRule="auto"/>
            </w:pPr>
            <w:r>
              <w:rPr>
                <w:sz w:val="20"/>
                <w:szCs w:val="20"/>
              </w:rPr>
              <w:t xml:space="preserve">CU-02, RF02, RF18</w:t>
            </w:r>
          </w:p>
        </w:tc>
        <w:tc>
          <w:tcPr>
            <w:tcW w:w="4200" w:type="dxa"/>
          </w:tcPr>
          <w:p>
            <w:pPr>
              <w:spacing w:before="40" w:after="40" w:line="240" w:lineRule="auto"/>
            </w:pPr>
            <w:r>
              <w:rPr>
                <w:sz w:val="20"/>
                <w:szCs w:val="20"/>
              </w:rPr>
              <w:t xml:space="preserve">Registro de huéspedes y perfil del huésped frecuente con las preferencias de su última estadía.</w:t>
            </w:r>
          </w:p>
        </w:tc>
      </w:tr>
      <w:tr>
        <w:trPr>
          <w:cantSplit/>
        </w:trPr>
        <w:tc>
          <w:tcPr>
            <w:tcW w:w="2900" w:type="dxa"/>
          </w:tcPr>
          <w:p>
            <w:pPr>
              <w:spacing w:before="40" w:after="40" w:line="240" w:lineRule="auto"/>
            </w:pPr>
            <w:r>
              <w:rPr>
                <w:sz w:val="20"/>
                <w:szCs w:val="20"/>
              </w:rPr>
              <w:t xml:space="preserve">GET /api/comprobantes/{numero}/compartir</w:t>
            </w:r>
          </w:p>
        </w:tc>
        <w:tc>
          <w:tcPr>
            <w:tcW w:w="2250" w:type="dxa"/>
          </w:tcPr>
          <w:p>
            <w:pPr>
              <w:spacing w:before="40" w:after="40" w:line="240" w:lineRule="auto"/>
            </w:pPr>
            <w:r>
              <w:rPr>
                <w:sz w:val="20"/>
                <w:szCs w:val="20"/>
              </w:rPr>
              <w:t xml:space="preserve">CU-06, RF17</w:t>
            </w:r>
          </w:p>
        </w:tc>
        <w:tc>
          <w:tcPr>
            <w:tcW w:w="4200" w:type="dxa"/>
          </w:tcPr>
          <w:p>
            <w:pPr>
              <w:spacing w:before="40" w:after="40" w:line="240" w:lineRule="auto"/>
            </w:pPr>
            <w:r>
              <w:rPr>
                <w:sz w:val="20"/>
                <w:szCs w:val="20"/>
              </w:rPr>
              <w:t xml:space="preserve">Texto del comprobante y enlace de WhatsApp al teléfono del huésped.</w:t>
            </w:r>
          </w:p>
        </w:tc>
      </w:tr>
      <w:tr>
        <w:trPr>
          <w:cantSplit/>
        </w:trPr>
        <w:tc>
          <w:tcPr>
            <w:tcW w:w="2900" w:type="dxa"/>
          </w:tcPr>
          <w:p>
            <w:pPr>
              <w:spacing w:before="40" w:after="40" w:line="240" w:lineRule="auto"/>
            </w:pPr>
            <w:r>
              <w:rPr>
                <w:sz w:val="20"/>
                <w:szCs w:val="20"/>
              </w:rPr>
              <w:t xml:space="preserve">POST /api/asistente</w:t>
            </w:r>
          </w:p>
        </w:tc>
        <w:tc>
          <w:tcPr>
            <w:tcW w:w="2250" w:type="dxa"/>
          </w:tcPr>
          <w:p>
            <w:pPr>
              <w:spacing w:before="40" w:after="40" w:line="240" w:lineRule="auto"/>
            </w:pPr>
            <w:r>
              <w:rPr>
                <w:sz w:val="20"/>
                <w:szCs w:val="20"/>
              </w:rPr>
              <w:t xml:space="preserve">Sección 13</w:t>
            </w:r>
          </w:p>
        </w:tc>
        <w:tc>
          <w:tcPr>
            <w:tcW w:w="4200" w:type="dxa"/>
          </w:tcPr>
          <w:p>
            <w:pPr>
              <w:spacing w:before="40" w:after="40" w:line="240" w:lineRule="auto"/>
            </w:pPr>
            <w:r>
              <w:rPr>
                <w:sz w:val="20"/>
                <w:szCs w:val="20"/>
              </w:rPr>
              <w:t xml:space="preserve">Consulta en lenguaje natural atendida por el servicio de inteligencia artificial (solo lectura).</w:t>
            </w:r>
          </w:p>
        </w:tc>
      </w:tr>
    </w:tbl>
    <w:p>
      <w:pPr>
        <w:pStyle w:val="APA"/>
      </w:pPr>
      <w:r>
        <w:t xml:space="preserve">Nota. Elaboración propia. Todos los recursos, salvo el inicio de sesión, exigen el token JWT; la documentación interactiva (Swagger) y el archivo de pruebas HotelReservas.Api.http acompañan al proyecto en el repositorio.</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Captura del prototipo funcional; los datos corresponden a los registros de prueba del script 03 del repositorio y los valores mostrados son precios netos con IVA incluido.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con desglose de impuestos (CU-04, CU-05 y CU-06; RF04, RF05 y RF16)</w:t>
      </w:r>
    </w:p>
    <w:p>
      <w:pPr>
        <w:pStyle w:val="APA"/>
      </w:pPr>
      <w:r>
        <w:t xml:space="preserve">Nota. Elaboración propia. Captura del prototipo funcional incluido en la APK; la etiqueta de huésped frecuente y la casilla de exención del IVA corresponden a RF18 y RF16.</w:t>
      </w:r>
    </w:p>
    <w:p>
      <w:pPr>
        <w:pStyle w:val="APA"/>
      </w:pPr>
      <w:r>
        <w:t xml:space="preserve">La Figura 11 corresponde a la confirmación de la reserva, la transacción crítica del sistema. La pantalla reúne al huésped, la habitación, las fechas y el precio calculado con la tarifa vigente, desglosado en subtotal de alojamiento, IVA del 19 % y precio neto, que es el valor que se registra como pago; la casilla de huésped extranjero no residente aplica la exención del IVA y recalcula el neto antes de confirmar (RF16).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590000"/>
            <wp:effectExtent l="0" t="0" r="0" b="0"/>
            <wp:docPr id="911" name="Figura 12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comprobante"/>
                    <pic:cNvPicPr/>
                  </pic:nvPicPr>
                  <pic:blipFill>
                    <a:blip r:embed="rIdP4"/>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12 Prototipo del comprobante compartible por WhatsApp tras la confirmación (RF06 y RF17)</w:t>
      </w:r>
    </w:p>
    <w:p>
      <w:pPr>
        <w:pStyle w:val="APA"/>
      </w:pPr>
      <w:r>
        <w:t xml:space="preserve">Nota. Elaboración propia. El texto del comprobante lo genera la API a partir de RESERVA, COMPROBANTE, HUESPED y PAGO; el botón abre WhatsApp con el mensaje dirigido al teléfono registrado del huésped.</w:t>
      </w:r>
    </w:p>
    <w:p>
      <w:pPr>
        <w:pStyle w:val="APA"/>
      </w:pPr>
      <w:r>
        <w:t xml:space="preserve">La Figura 12 muestra el resultado de la confirmación: el mensaje de éxito con el código de reserva, el número de comprobante y el precio neto, seguido del comprobante compartible. La aplicación solicita a la API el texto del comprobante, que se construye en el servidor con los datos ya registrados en la transacción (código, huésped, habitación, fechas, subtotal, impuesto, precio neto, medio de pago y estado) y lo entrega a WhatsApp con el número de teléfono del huésped, o lo copia al portapapeles cuando el huésped prefiere otro canal. Esta función responde a la problemática de la Fase I, pues el huésped recibe de inmediato una evidencia escrita de su reserva, y está disponible también desde el historial para cualquier reserva confirmada o en casa.</w:t>
      </w:r>
    </w:p>
    <w:p>
      <w:pPr>
        <w:pStyle w:val="APA"/>
        <w:ind w:firstLine="0"/>
        <w:jc w:val="center"/>
        <w:keepNext/>
        <w:spacing w:line="240" w:lineRule="auto"/>
      </w:pPr>
      <w:r>
        <w:drawing>
          <wp:inline distT="0" distB="0" distL="0" distR="0">
            <wp:extent cx="2600000" cy="5590000"/>
            <wp:effectExtent l="0" t="0" r="0" b="0"/>
            <wp:docPr id="912" name="Figura 13 reserv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reserva rápida"/>
                    <pic:cNvPicPr/>
                  </pic:nvPicPr>
                  <pic:blipFill>
                    <a:blip r:embed="rIdP5"/>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13 Prototipo de la reserva rápida para huésped frecuente en la pantalla de inicio (RF18)</w:t>
      </w:r>
    </w:p>
    <w:p>
      <w:pPr>
        <w:pStyle w:val="APA"/>
      </w:pPr>
      <w:r>
        <w:t xml:space="preserve">Nota. Elaboración propia. El perfil del huésped y sus preferencias provienen de las reservas anteriores registradas en la base de datos.</w:t>
      </w:r>
    </w:p>
    <w:p>
      <w:pPr>
        <w:pStyle w:val="APA"/>
      </w:pPr>
      <w:r>
        <w:t xml:space="preserve">La Figura 13 presenta la reserva rápida para huésped frecuente. El recepcionista digita únicamente el número de documento; la API consulta HUESPED y las reservas anteriores del huésped, determina si es frecuente (dos o más estadías) y devuelve las preferencias de su última estadía: tipo de habitación, número de personas, noches y medio de pago. Con el botón Repetir última estadía la aplicación precarga la consulta de disponibilidad y, al elegir la habitación, la pantalla de confirmación ya tiene seleccionados al huésped y su medio de pago, de modo que una reserva habitual se completa en tres toques. La verificación de disponibilidad con bloqueo y la transacción de confirmación son las mismas de la Figura 11: la simplificación está en la captura de datos, no en el control transaccional.</w:t>
      </w:r>
    </w:p>
    <w:p>
      <w:pPr>
        <w:pStyle w:val="APA"/>
        <w:ind w:firstLine="0"/>
        <w:jc w:val="center"/>
        <w:keepNext/>
        <w:spacing w:line="240" w:lineRule="auto"/>
      </w:pPr>
      <w:r>
        <w:drawing>
          <wp:inline distT="0" distB="0" distL="0" distR="0">
            <wp:extent cx="2600000" cy="5631000"/>
            <wp:effectExtent l="0" t="0" r="0" b="0"/>
            <wp:docPr id="910" name="Figura 14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14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14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 En la versión actual del prototipo incluido en la APK, la pantalla simula localmente estas respuestas con las mismas reglas del intérprete de respaldo; su conexión al recurso /api/asistente de la API, ya implementado, es la actividad siguiente.</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pPr>
        <w:pStyle w:val="APA"/>
      </w:pPr>
      <w:r>
        <w:t xml:space="preserve">El análisis y diseño de las Fases II y III convirtió la propuesta de la Fase I en una solución verificable. El objetivo general responde al problema de la sobreventa y los objetivos específicos se desarrollan en el documento: la arquitectura en capas concentra las transacciones en la API y en SQL Server; los quince casos de uso, el diagrama de clases, el modelo entidad-relación y las nueve tablas comparten las mismas entidades y cardinalidades; los dieciocho requerimientos funcionales y los cinco no funcionales fijan criterios comprobables de seguridad, integridad, rendimiento, usabilidad y trazabilidad; y los marcos conceptual y contextual sustentan las decisiones en los fundamentos transaccionales y en el entorno hotelero. De este modo, la prevención de reservas duplicadas queda incorporada en el motor de datos y deja de depender del cuidado de los colaboradores.</w:t>
      </w:r>
    </w:p>
    <w:p>
      <w:pPr>
        <w:pStyle w:val="APA"/>
      </w:pPr>
      <w:r>
        <w:t xml:space="preserve">Las entregas S10 a S12 llevaron ese diseño a la implementación. El prototipo funcional de la APK incorpora el desglose de impuestos y el precio neto, el comprobante compartible por WhatsApp y la reserva rápida para huésped frecuente; la API REST HotelReservas.Api materializa la lógica de negocio y el acceso a datos, con la confirmación sobre el procedimiento almacenado con bloqueo, concurrencia optimista en los cambios de estado y seguridad por token; y el servicio de inteligencia artificial, descrito por sus cinco componentes, quedó implementado como un asistente de solo lectura con un intérprete de reglas de respaldo, de manera que agiliza la atención sin intervenir en la transacción crítica. Las actividades siguientes son conectar la aplicación móvil a la API, verificar los criterios de la Tabla 3 mediante pruebas de aceptación, incluida la de dos sesiones concurrentes, y configurar el recurso de Azure OpenAI para medir con usuarios el resultado esperado del asistente.</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Presidencia de la República de Colombia. (1989). Decreto 624 de 1989, por el cual se expide el Estatuto Tributario de los impuestos administrados por la Dirección General de Impuestos Nacionales. </w:t>
      </w:r>
      <w:r>
        <w:rPr>
          <w:i/>
          <w:iCs/>
        </w:rPr>
        <w:t xml:space="preserve">Diario Oficial</w:t>
      </w:r>
      <w:r>
        <w:t xml:space="preserve">, 38756. Artículo 481, bienes y servicios exentos. https://www.secretariasenado.gov.co/senado/basedoc/estatuto_tributario.html</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 Id="rIdP4" Type="http://schemas.openxmlformats.org/officeDocument/2006/relationships/image" Target="media/image14.png"/><Relationship Id="rIdP5"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