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C8C4" w14:textId="28DFE428" w:rsidR="000B3A98" w:rsidRPr="000B3A98" w:rsidRDefault="000B3A98" w:rsidP="000B3A98">
      <w:pPr>
        <w:pStyle w:val="APA"/>
        <w:jc w:val="center"/>
        <w:rPr>
          <w:b/>
          <w:bCs/>
        </w:rPr>
      </w:pPr>
      <w:r w:rsidRPr="000B3A98">
        <w:rPr>
          <w:b/>
          <w:bCs/>
        </w:rPr>
        <w:t>GUIA 8 DE LABORATORIO - INFOME VIDEO TESTING (SPRING 3)</w:t>
      </w:r>
    </w:p>
    <w:p w14:paraId="5245B4E8" w14:textId="121EAEA7" w:rsidR="006339C0" w:rsidRPr="006339C0" w:rsidRDefault="006339C0" w:rsidP="006339C0">
      <w:pPr>
        <w:pStyle w:val="APA"/>
        <w:jc w:val="center"/>
        <w:rPr>
          <w:b/>
          <w:bCs/>
        </w:rPr>
      </w:pPr>
    </w:p>
    <w:p w14:paraId="371520AE" w14:textId="77777777" w:rsidR="00323FAC" w:rsidRDefault="00323FAC" w:rsidP="00323FAC">
      <w:pPr>
        <w:pStyle w:val="APA"/>
        <w:jc w:val="center"/>
        <w:rPr>
          <w:b/>
          <w:bCs/>
        </w:rPr>
      </w:pPr>
    </w:p>
    <w:p w14:paraId="4093857C" w14:textId="77777777" w:rsidR="00323FAC" w:rsidRPr="00B07BB5" w:rsidRDefault="00323FAC" w:rsidP="00323FAC">
      <w:pPr>
        <w:pStyle w:val="APA"/>
        <w:jc w:val="center"/>
        <w:rPr>
          <w:b/>
          <w:bCs/>
        </w:rPr>
      </w:pPr>
    </w:p>
    <w:p w14:paraId="7674AA74" w14:textId="77777777" w:rsidR="00323FAC" w:rsidRPr="00B07BB5" w:rsidRDefault="00323FAC" w:rsidP="00323FAC">
      <w:pPr>
        <w:pStyle w:val="APA"/>
        <w:jc w:val="center"/>
        <w:rPr>
          <w:b/>
          <w:bCs/>
        </w:rPr>
      </w:pPr>
    </w:p>
    <w:p w14:paraId="74BC1E1F" w14:textId="77777777" w:rsidR="00323FAC" w:rsidRPr="00B07BB5" w:rsidRDefault="00323FAC" w:rsidP="00323FAC">
      <w:pPr>
        <w:pStyle w:val="APA"/>
        <w:jc w:val="center"/>
        <w:rPr>
          <w:b/>
          <w:bCs/>
        </w:rPr>
      </w:pPr>
      <w:r w:rsidRPr="00B07BB5">
        <w:rPr>
          <w:b/>
          <w:bCs/>
        </w:rPr>
        <w:t>ARQUITECTURA DE SOFTWARE A1</w:t>
      </w:r>
    </w:p>
    <w:p w14:paraId="6FDC805F" w14:textId="77777777" w:rsidR="00323FAC" w:rsidRPr="00B07BB5" w:rsidRDefault="00323FAC" w:rsidP="00323FAC">
      <w:pPr>
        <w:pStyle w:val="APA"/>
        <w:jc w:val="center"/>
        <w:rPr>
          <w:b/>
          <w:bCs/>
        </w:rPr>
      </w:pPr>
    </w:p>
    <w:p w14:paraId="7935B91D" w14:textId="77777777" w:rsidR="00323FAC" w:rsidRPr="00B07BB5" w:rsidRDefault="00323FAC" w:rsidP="00323FAC">
      <w:pPr>
        <w:pStyle w:val="APA"/>
        <w:jc w:val="center"/>
        <w:rPr>
          <w:b/>
          <w:bCs/>
        </w:rPr>
      </w:pPr>
      <w:r w:rsidRPr="00B07BB5">
        <w:rPr>
          <w:b/>
          <w:bCs/>
        </w:rPr>
        <w:t>MIGUEL ANGEL MONROY AGUILAR</w:t>
      </w:r>
    </w:p>
    <w:p w14:paraId="1D0B9070" w14:textId="77777777" w:rsidR="00323FAC" w:rsidRPr="00B07BB5" w:rsidRDefault="00323FAC" w:rsidP="00323FAC">
      <w:pPr>
        <w:pStyle w:val="APA"/>
        <w:jc w:val="center"/>
        <w:rPr>
          <w:b/>
          <w:bCs/>
        </w:rPr>
      </w:pPr>
      <w:r w:rsidRPr="00B07BB5">
        <w:rPr>
          <w:b/>
          <w:bCs/>
        </w:rPr>
        <w:t>GUSTAVO ADOLFO CARDONA BAYONA</w:t>
      </w:r>
    </w:p>
    <w:p w14:paraId="5FB0D8C0" w14:textId="77777777" w:rsidR="00323FAC" w:rsidRPr="00B07BB5" w:rsidRDefault="00323FAC" w:rsidP="00323FAC">
      <w:pPr>
        <w:pStyle w:val="APA"/>
        <w:jc w:val="center"/>
        <w:rPr>
          <w:b/>
          <w:bCs/>
        </w:rPr>
      </w:pPr>
      <w:r w:rsidRPr="00B07BB5">
        <w:rPr>
          <w:b/>
          <w:bCs/>
        </w:rPr>
        <w:t xml:space="preserve">PABLO ANDRÉS SALAZAR </w:t>
      </w:r>
      <w:proofErr w:type="spellStart"/>
      <w:r w:rsidRPr="00B07BB5">
        <w:rPr>
          <w:b/>
          <w:bCs/>
        </w:rPr>
        <w:t>SALAZAR</w:t>
      </w:r>
      <w:proofErr w:type="spellEnd"/>
    </w:p>
    <w:p w14:paraId="1E782335" w14:textId="77777777" w:rsidR="00323FAC" w:rsidRPr="00B07BB5" w:rsidRDefault="00323FAC" w:rsidP="00323FAC">
      <w:pPr>
        <w:pStyle w:val="APA"/>
        <w:jc w:val="center"/>
        <w:rPr>
          <w:b/>
          <w:bCs/>
        </w:rPr>
      </w:pPr>
    </w:p>
    <w:p w14:paraId="01EB597C" w14:textId="77777777" w:rsidR="00323FAC" w:rsidRDefault="00323FAC" w:rsidP="00323FAC">
      <w:pPr>
        <w:pStyle w:val="APA"/>
        <w:jc w:val="center"/>
        <w:rPr>
          <w:b/>
          <w:bCs/>
        </w:rPr>
      </w:pPr>
    </w:p>
    <w:p w14:paraId="3CD4AA7C" w14:textId="77777777" w:rsidR="00323FAC" w:rsidRDefault="00323FAC" w:rsidP="00323FAC">
      <w:pPr>
        <w:pStyle w:val="APA"/>
        <w:jc w:val="center"/>
        <w:rPr>
          <w:b/>
          <w:bCs/>
        </w:rPr>
      </w:pPr>
    </w:p>
    <w:p w14:paraId="459D38FB" w14:textId="77777777" w:rsidR="00323FAC" w:rsidRPr="00B07BB5" w:rsidRDefault="00323FAC" w:rsidP="00323FAC">
      <w:pPr>
        <w:pStyle w:val="APA"/>
        <w:jc w:val="center"/>
        <w:rPr>
          <w:b/>
          <w:bCs/>
        </w:rPr>
      </w:pPr>
    </w:p>
    <w:p w14:paraId="3B9FCF2C" w14:textId="77777777" w:rsidR="00323FAC" w:rsidRPr="00B07BB5" w:rsidRDefault="00323FAC" w:rsidP="00323FAC">
      <w:pPr>
        <w:pStyle w:val="APA"/>
        <w:jc w:val="center"/>
        <w:rPr>
          <w:b/>
          <w:bCs/>
        </w:rPr>
      </w:pPr>
    </w:p>
    <w:p w14:paraId="7CDBAA97" w14:textId="77777777" w:rsidR="00323FAC" w:rsidRPr="00B07BB5" w:rsidRDefault="00323FAC" w:rsidP="00323FAC">
      <w:pPr>
        <w:pStyle w:val="APA"/>
        <w:jc w:val="center"/>
        <w:rPr>
          <w:b/>
          <w:bCs/>
        </w:rPr>
      </w:pPr>
      <w:r w:rsidRPr="00B07BB5">
        <w:rPr>
          <w:b/>
          <w:bCs/>
        </w:rPr>
        <w:t>DOCENTE:</w:t>
      </w:r>
    </w:p>
    <w:p w14:paraId="122C5A5F" w14:textId="7D53F801" w:rsidR="00323FAC" w:rsidRPr="00C944C9" w:rsidRDefault="00C944C9" w:rsidP="00323FAC">
      <w:pPr>
        <w:pStyle w:val="APA"/>
        <w:jc w:val="center"/>
        <w:rPr>
          <w:b/>
          <w:bCs/>
        </w:rPr>
      </w:pPr>
      <w:r w:rsidRPr="00C944C9">
        <w:rPr>
          <w:b/>
          <w:bCs/>
        </w:rPr>
        <w:t>JOSE ALEJANDRO BETANCUR RAMIREZ</w:t>
      </w:r>
    </w:p>
    <w:p w14:paraId="1B1C4B35" w14:textId="77777777" w:rsidR="00323FAC" w:rsidRDefault="00323FAC" w:rsidP="00323FAC">
      <w:pPr>
        <w:pStyle w:val="APA"/>
        <w:jc w:val="center"/>
        <w:rPr>
          <w:b/>
          <w:bCs/>
        </w:rPr>
      </w:pPr>
    </w:p>
    <w:p w14:paraId="277DF544" w14:textId="77777777" w:rsidR="00323FAC" w:rsidRPr="00B07BB5" w:rsidRDefault="00323FAC" w:rsidP="00323FAC">
      <w:pPr>
        <w:pStyle w:val="APA"/>
        <w:jc w:val="center"/>
        <w:rPr>
          <w:b/>
          <w:bCs/>
        </w:rPr>
      </w:pPr>
    </w:p>
    <w:p w14:paraId="2636F058" w14:textId="77777777" w:rsidR="00323FAC" w:rsidRPr="00B07BB5" w:rsidRDefault="00323FAC" w:rsidP="00323FAC">
      <w:pPr>
        <w:pStyle w:val="APA"/>
        <w:jc w:val="center"/>
        <w:rPr>
          <w:b/>
          <w:bCs/>
        </w:rPr>
      </w:pPr>
      <w:r w:rsidRPr="00B07BB5">
        <w:rPr>
          <w:b/>
          <w:bCs/>
        </w:rPr>
        <w:t>UNIVERSIDAD MANUELA BELTRÁN</w:t>
      </w:r>
    </w:p>
    <w:p w14:paraId="24AF341D" w14:textId="77777777" w:rsidR="00323FAC" w:rsidRPr="00B07BB5" w:rsidRDefault="00323FAC" w:rsidP="00323FAC">
      <w:pPr>
        <w:pStyle w:val="APA"/>
        <w:jc w:val="center"/>
        <w:rPr>
          <w:b/>
          <w:bCs/>
        </w:rPr>
      </w:pPr>
      <w:r w:rsidRPr="00B07BB5">
        <w:rPr>
          <w:b/>
          <w:bCs/>
        </w:rPr>
        <w:t>INGENIERÍA DE SOFTWARE</w:t>
      </w:r>
    </w:p>
    <w:p w14:paraId="706F15B2" w14:textId="77777777" w:rsidR="00323FAC" w:rsidRPr="00B07BB5" w:rsidRDefault="00323FAC" w:rsidP="00323FAC">
      <w:pPr>
        <w:pStyle w:val="APA"/>
        <w:jc w:val="center"/>
        <w:rPr>
          <w:b/>
          <w:bCs/>
          <w:lang w:val="es-419"/>
        </w:rPr>
      </w:pPr>
      <w:r w:rsidRPr="00B07BB5">
        <w:rPr>
          <w:b/>
          <w:bCs/>
          <w:lang w:val="es-419"/>
        </w:rPr>
        <w:t>BOGOTÁ, COLOMBIA</w:t>
      </w:r>
    </w:p>
    <w:p w14:paraId="70A053B5" w14:textId="77777777" w:rsidR="00323FAC" w:rsidRPr="00B07BB5" w:rsidRDefault="00323FAC" w:rsidP="00323FAC">
      <w:pPr>
        <w:pStyle w:val="APA"/>
        <w:jc w:val="center"/>
        <w:rPr>
          <w:b/>
          <w:bCs/>
        </w:rPr>
      </w:pPr>
      <w:r w:rsidRPr="00B07BB5">
        <w:rPr>
          <w:b/>
          <w:bCs/>
        </w:rPr>
        <w:lastRenderedPageBreak/>
        <w:t>2026</w:t>
      </w:r>
    </w:p>
    <w:p>
      <w:pPr>
        <w:pStyle w:val="APA"/>
        <w:pageBreakBefore/>
        <w:ind w:firstLine="0"/>
        <w:jc w:val="center"/>
      </w:pPr>
      <w:r>
        <w:rPr>
          <w:b/>
        </w:rPr>
        <w:t>TABLA DE CONTENIDO</w:t>
      </w:r>
    </w:p>
    <w:p>
      <w:pPr>
        <w:pStyle w:val="APA"/>
        <w:tabs>
          <w:tab w:pos="9360" w:val="right" w:leader="dot"/>
        </w:tabs>
        <w:ind w:firstLine="0" w:left="0"/>
      </w:pPr>
      <w:r>
        <w:t>INTRODUCCION</w:t>
        <w:tab/>
        <w:t>3</w:t>
      </w:r>
    </w:p>
    <w:p>
      <w:pPr>
        <w:pStyle w:val="APA"/>
        <w:tabs>
          <w:tab w:pos="9360" w:val="right" w:leader="dot"/>
        </w:tabs>
        <w:ind w:firstLine="0" w:left="0"/>
      </w:pPr>
      <w:r>
        <w:t>PROCEDURE AND METHODOLOGY OF PRACTICE</w:t>
        <w:tab/>
        <w:t>4</w:t>
      </w:r>
    </w:p>
    <w:p>
      <w:pPr>
        <w:pStyle w:val="APA"/>
        <w:tabs>
          <w:tab w:pos="9360" w:val="right" w:leader="dot"/>
        </w:tabs>
        <w:ind w:firstLine="0" w:left="720"/>
      </w:pPr>
      <w:r>
        <w:t>Modelo de Calidad Aplicado al Sprint 3</w:t>
        <w:tab/>
        <w:t>4</w:t>
      </w:r>
    </w:p>
    <w:p>
      <w:pPr>
        <w:pStyle w:val="APA"/>
        <w:tabs>
          <w:tab w:pos="9360" w:val="right" w:leader="dot"/>
        </w:tabs>
        <w:ind w:firstLine="0" w:left="1440"/>
      </w:pPr>
      <w:r>
        <w:t>Identificación de los Requisitos de Calidad</w:t>
        <w:tab/>
        <w:t>4</w:t>
      </w:r>
    </w:p>
    <w:p>
      <w:pPr>
        <w:pStyle w:val="APA"/>
        <w:tabs>
          <w:tab w:pos="9360" w:val="right" w:leader="dot"/>
        </w:tabs>
        <w:ind w:firstLine="0" w:left="1440"/>
      </w:pPr>
      <w:r>
        <w:t>Validación de la Exhaustividad de los Requisitos</w:t>
        <w:tab/>
        <w:t>5</w:t>
      </w:r>
    </w:p>
    <w:p>
      <w:pPr>
        <w:pStyle w:val="APA"/>
        <w:tabs>
          <w:tab w:pos="9360" w:val="right" w:leader="dot"/>
        </w:tabs>
        <w:ind w:firstLine="0" w:left="1440"/>
      </w:pPr>
      <w:r>
        <w:t>Objetivos de Diseño</w:t>
        <w:tab/>
        <w:t>6</w:t>
      </w:r>
    </w:p>
    <w:p>
      <w:pPr>
        <w:pStyle w:val="APA"/>
        <w:tabs>
          <w:tab w:pos="9360" w:val="right" w:leader="dot"/>
        </w:tabs>
        <w:ind w:firstLine="0" w:left="1440"/>
      </w:pPr>
      <w:r>
        <w:t>Objetivos de Prueba</w:t>
        <w:tab/>
        <w:t>7</w:t>
      </w:r>
    </w:p>
    <w:p>
      <w:pPr>
        <w:pStyle w:val="APA"/>
        <w:tabs>
          <w:tab w:pos="9360" w:val="right" w:leader="dot"/>
        </w:tabs>
        <w:ind w:firstLine="0" w:left="720"/>
      </w:pPr>
      <w:r>
        <w:t>Entorno y Herramientas de Prueba</w:t>
        <w:tab/>
        <w:t>7</w:t>
      </w:r>
    </w:p>
    <w:p>
      <w:pPr>
        <w:pStyle w:val="APA"/>
        <w:tabs>
          <w:tab w:pos="9360" w:val="right" w:leader="dot"/>
        </w:tabs>
        <w:ind w:firstLine="0" w:left="720"/>
      </w:pPr>
      <w:r>
        <w:t>Casos de Prueba Ejecutados</w:t>
        <w:tab/>
        <w:t>8</w:t>
      </w:r>
    </w:p>
    <w:p>
      <w:pPr>
        <w:pStyle w:val="APA"/>
        <w:tabs>
          <w:tab w:pos="9360" w:val="right" w:leader="dot"/>
        </w:tabs>
        <w:ind w:firstLine="0" w:left="720"/>
      </w:pPr>
      <w:r>
        <w:t>Resultados de la Ejecución</w:t>
        <w:tab/>
        <w:t>9</w:t>
      </w:r>
    </w:p>
    <w:p>
      <w:pPr>
        <w:pStyle w:val="APA"/>
        <w:tabs>
          <w:tab w:pos="9360" w:val="right" w:leader="dot"/>
        </w:tabs>
        <w:ind w:firstLine="0" w:left="720"/>
      </w:pPr>
      <w:r>
        <w:t>Defectos Encontrados y Corregidos</w:t>
        <w:tab/>
        <w:t>12</w:t>
      </w:r>
    </w:p>
    <w:p>
      <w:pPr>
        <w:pStyle w:val="APA"/>
        <w:tabs>
          <w:tab w:pos="9360" w:val="right" w:leader="dot"/>
        </w:tabs>
        <w:ind w:firstLine="0" w:left="720"/>
      </w:pPr>
      <w:r>
        <w:t>Actualización del Repositorio</w:t>
        <w:tab/>
        <w:t>13</w:t>
      </w:r>
    </w:p>
    <w:p>
      <w:pPr>
        <w:pStyle w:val="APA"/>
        <w:tabs>
          <w:tab w:pos="9360" w:val="right" w:leader="dot"/>
        </w:tabs>
        <w:ind w:firstLine="0" w:left="720"/>
      </w:pPr>
      <w:r>
        <w:t>Evidencias en Jira</w:t>
        <w:tab/>
        <w:t>13</w:t>
      </w:r>
    </w:p>
    <w:p>
      <w:pPr>
        <w:pStyle w:val="APA"/>
        <w:tabs>
          <w:tab w:pos="9360" w:val="right" w:leader="dot"/>
        </w:tabs>
        <w:ind w:firstLine="0" w:left="0"/>
      </w:pPr>
      <w:r>
        <w:t>LISTA COMPLETA EN ENLACES DEL PROYECTO</w:t>
        <w:tab/>
        <w:t>18</w:t>
      </w:r>
    </w:p>
    <w:p>
      <w:pPr>
        <w:pStyle w:val="APA"/>
        <w:tabs>
          <w:tab w:pos="9360" w:val="right" w:leader="dot"/>
        </w:tabs>
        <w:ind w:firstLine="0" w:left="0"/>
      </w:pPr>
      <w:r>
        <w:t>CONCLUSIONES</w:t>
        <w:tab/>
        <w:t>20</w:t>
      </w:r>
    </w:p>
    <w:p>
      <w:pPr>
        <w:pStyle w:val="APA"/>
        <w:tabs>
          <w:tab w:pos="9360" w:val="right" w:leader="dot"/>
        </w:tabs>
        <w:ind w:firstLine="0" w:left="0"/>
      </w:pPr>
      <w:r>
        <w:t>REFERENCIAS</w:t>
        <w:tab/>
        <w:t>21</w:t>
      </w:r>
    </w:p>
    <w:p w14:paraId="5687B917" w14:textId="77777777" w:rsidR="00323FAC" w:rsidRDefault="00323FAC" w:rsidP="00323FAC">
      <w:pPr>
        <w:pStyle w:val="APA"/>
        <w:pageBreakBefore/>
        <w:jc w:val="center"/>
        <w:rPr>
          <w:b/>
          <w:bCs/>
        </w:rPr>
      </w:pPr>
      <w:r w:rsidRPr="009F5B68">
        <w:rPr>
          <w:b/>
          <w:bCs/>
        </w:rPr>
        <w:t>INTRODUCCION</w:t>
      </w:r>
    </w:p>
    <w:p>
      <w:pPr>
        <w:pStyle w:val="APA"/>
        <w:jc w:val="left"/>
      </w:pPr>
      <w:r>
        <w:t>La Guía 8 cierra el Sprint 3 de Martillo ERP con un ejercicio de verificación formal. Las cinco historias del sprint (HU-07 a HU-11) ya contaban con código y con pruebas unitarias, pero esas pruebas nunca se habían ejecutado con Maven, porque el entorno de trabajo del sprint anterior no tenía acceso a los repositorios de dependencias. El propósito de esta práctica fue convertir los criterios de aceptación en requisitos de calidad medibles, diseñar los casos que los comprueban en tres niveles (unitario, integración e interfaz) y ejecutarlos en un entorno reproducible.</w:t>
      </w:r>
    </w:p>
    <w:p>
      <w:pPr>
        <w:pStyle w:val="APA"/>
        <w:jc w:val="left"/>
      </w:pPr>
      <w:r>
        <w:t>El trabajo se orientó con el modelo de calidad de producto de la norma ISO/IEC 25010:2023, cuyas cuatro actividades de uso transcribe la guía (International Organization for Standardization [ISO], 2023). La ejecución se automatizó en GitHub Actions sobre la rama sprint3: 62 pruebas aprobadas, una cobertura de líneas del 89,9 % en el backend y dos defectos detectados y corregidos durante la propia práctica. El documento presenta el procedimiento, los casos, los resultados y la lista de enlaces del proyecto.</w:t>
      </w:r>
    </w:p>
    <w:p w14:paraId="654C47AD" w14:textId="4073740C" w:rsidR="006A6A57" w:rsidRDefault="000B3A98" w:rsidP="000B3A98">
      <w:pPr>
        <w:pStyle w:val="APA"/>
        <w:pageBreakBefore/>
        <w:jc w:val="center"/>
        <w:rPr>
          <w:b/>
          <w:bCs/>
        </w:rPr>
      </w:pPr>
      <w:r w:rsidRPr="000B3A98">
        <w:rPr>
          <w:b/>
          <w:bCs/>
        </w:rPr>
        <w:t>PROCEDURE AND METHODOLOGY OF PRACTICE</w:t>
      </w:r>
    </w:p>
    <w:p w14:paraId="6AF0F1EB" w14:textId="77777777" w:rsidR="000B3A98" w:rsidRDefault="000B3A98" w:rsidP="000B3A98">
      <w:pPr>
        <w:pStyle w:val="APA"/>
      </w:pPr>
      <w:r>
        <w:t xml:space="preserve">Durante las actividades de desarrollo de productos que pueden beneficiarse del uso de modelos de calidad se incluyen: </w:t>
      </w:r>
    </w:p>
    <w:p w14:paraId="22424AE1" w14:textId="33B3F949" w:rsidR="000B3A98" w:rsidRDefault="000B3A98" w:rsidP="000B3A98">
      <w:pPr>
        <w:pStyle w:val="APA"/>
        <w:numPr>
          <w:ilvl w:val="0"/>
          <w:numId w:val="32"/>
        </w:numPr>
      </w:pPr>
      <w:r>
        <w:t xml:space="preserve">Identificar los requisitos del software y del sistema; </w:t>
      </w:r>
    </w:p>
    <w:p w14:paraId="4C106B64" w14:textId="73D2183E" w:rsidR="000B3A98" w:rsidRDefault="000B3A98" w:rsidP="000B3A98">
      <w:pPr>
        <w:pStyle w:val="APA"/>
        <w:numPr>
          <w:ilvl w:val="0"/>
          <w:numId w:val="32"/>
        </w:numPr>
      </w:pPr>
      <w:r>
        <w:t xml:space="preserve">Validar la exhaustividad de una definición de requisitos; </w:t>
      </w:r>
    </w:p>
    <w:p w14:paraId="463DFD1B" w14:textId="1A6F3698" w:rsidR="000B3A98" w:rsidRDefault="000B3A98" w:rsidP="000B3A98">
      <w:pPr>
        <w:pStyle w:val="APA"/>
        <w:numPr>
          <w:ilvl w:val="0"/>
          <w:numId w:val="32"/>
        </w:numPr>
      </w:pPr>
      <w:r>
        <w:t xml:space="preserve">•Identificar los objetivos de diseño de software y sistemas; </w:t>
      </w:r>
    </w:p>
    <w:p w14:paraId="2251BC7D" w14:textId="0A288688" w:rsidR="000B3A98" w:rsidRPr="000B3A98" w:rsidRDefault="000B3A98" w:rsidP="000B3A98">
      <w:pPr>
        <w:pStyle w:val="APA"/>
        <w:numPr>
          <w:ilvl w:val="0"/>
          <w:numId w:val="32"/>
        </w:numPr>
        <w:rPr>
          <w:b/>
          <w:bCs/>
        </w:rPr>
      </w:pPr>
      <w:r>
        <w:t>Identificar los objetivos de pruebas de software y sistemas;</w:t>
      </w:r>
    </w:p>
    <w:p>
      <w:pPr>
        <w:pStyle w:val="APA"/>
        <w:keepNext/>
        <w:ind w:firstLine="0"/>
        <w:jc w:val="left"/>
      </w:pPr>
      <w:r>
        <w:rPr>
          <w:b/>
        </w:rPr>
        <w:t>Modelo de Calidad Aplicado al Sprint 3</w:t>
      </w:r>
    </w:p>
    <w:p>
      <w:pPr>
        <w:pStyle w:val="APA"/>
        <w:jc w:val="left"/>
      </w:pPr>
      <w:r>
        <w:t>La norma ISO/IEC 25010:2023 organiza la calidad del producto en nueve características: adecuación funcional, eficiencia de desempeño, compatibilidad, capacidad de interacción, fiabilidad, seguridad, mantenibilidad, flexibilidad y protección (ISO, 2023). Cada una se descompone en subcaracterísticas que permiten expresar un requisito de forma verificable. Las cuatro actividades citadas arriba se aplicaron en orden y cada una produjo un artefacto concreto: la tabla de requisitos de calidad, la matriz de trazabilidad, las decisiones de diseño que hacen posible la prueba y la estrategia por niveles.</w:t>
      </w:r>
    </w:p>
    <w:p>
      <w:pPr>
        <w:pStyle w:val="APA"/>
        <w:keepNext/>
        <w:ind w:firstLine="0"/>
        <w:jc w:val="left"/>
      </w:pPr>
      <w:r>
        <w:rPr>
          <w:b/>
          <w:i/>
        </w:rPr>
        <w:t>Identificación de los Requisitos de Calidad</w:t>
      </w:r>
    </w:p>
    <w:p>
      <w:pPr>
        <w:pStyle w:val="APA"/>
        <w:jc w:val="left"/>
      </w:pPr>
      <w:r>
        <w:t>Cada historia del sprint se asoció con la característica de la norma que mejor describe su riesgo principal y se le asignó un criterio medible, tomado del criterio de aceptación registrado en Jira. Se agregaron tres requisitos transversales que no pertenecen a una historia específica: el tiempo de respuesta del motor de liquidación, la disponibilidad del servicio y la cobertura de las pruebas.</w:t>
      </w:r>
    </w:p>
    <w:p>
      <w:pPr>
        <w:pStyle w:val="APA"/>
        <w:keepNext/>
        <w:ind w:firstLine="0"/>
      </w:pPr>
      <w:r>
        <w:rPr>
          <w:b/>
        </w:rPr>
        <w:t>Tabla 1</w:t>
      </w:r>
    </w:p>
    <w:p>
      <w:pPr>
        <w:pStyle w:val="APA"/>
        <w:keepNext/>
        <w:ind w:firstLine="0"/>
      </w:pPr>
      <w:r>
        <w:rPr>
          <w:i/>
        </w:rPr>
        <w:t>Requisitos de calidad del Sprint 3 según ISO/IEC 25010:2023</w:t>
      </w:r>
    </w:p>
    <w:tbl>
      <w:tblPr>
        <w:tblW w:type="dxa" w:w="9360"/>
        <w:tblLook w:firstColumn="1" w:firstRow="1" w:lastColumn="0" w:lastRow="0" w:noHBand="0" w:noVBand="1" w:val="04A0"/>
        <w:tblBorders>
          <w:top w:val="single" w:sz="8" w:space="0" w:color="000000"/>
          <w:bottom w:val="single" w:sz="8" w:space="0" w:color="000000"/>
          <w:left w:val="nil" w:sz="0" w:space="0" w:color="000000"/>
          <w:right w:val="nil" w:sz="0" w:space="0" w:color="000000"/>
          <w:insideV w:val="nil" w:sz="0" w:space="0" w:color="000000"/>
          <w:insideH w:val="nil" w:sz="0" w:space="0" w:color="000000"/>
        </w:tblBorders>
        <w:tblLayout w:type="fixed"/>
      </w:tblPr>
      <w:tblGrid>
        <w:gridCol w:w="1800"/>
        <w:gridCol w:w="3024"/>
        <w:gridCol w:w="4536"/>
      </w:tblGrid>
      <w:tr>
        <w:trPr>
          <w:cantSplit/>
          <w:tblHeader/>
        </w:trPr>
        <w:tc>
          <w:tcPr>
            <w:tcW w:type="dxa" w:w="1800"/>
            <w:tcBorders>
              <w:bottom w:val="single" w:sz="8" w:space="0" w:color="000000"/>
            </w:tcBorders>
          </w:tcPr>
          <w:p>
            <w:pPr>
              <w:keepNext/>
              <w:spacing w:after="40" w:before="40" w:line="240" w:lineRule="auto"/>
              <w:ind w:firstLine="0"/>
            </w:pPr>
            <w:r>
              <w:rPr>
                <w:rFonts w:ascii="Times New Roman" w:hAnsi="Times New Roman"/>
                <w:b/>
                <w:sz w:val="20"/>
              </w:rPr>
              <w:t>Historia</w:t>
            </w:r>
          </w:p>
        </w:tc>
        <w:tc>
          <w:tcPr>
            <w:tcW w:type="dxa" w:w="3024"/>
            <w:tcBorders>
              <w:bottom w:val="single" w:sz="8" w:space="0" w:color="000000"/>
            </w:tcBorders>
          </w:tcPr>
          <w:p>
            <w:pPr>
              <w:keepNext/>
              <w:spacing w:after="40" w:before="40" w:line="240" w:lineRule="auto"/>
              <w:ind w:firstLine="0"/>
            </w:pPr>
            <w:r>
              <w:rPr>
                <w:rFonts w:ascii="Times New Roman" w:hAnsi="Times New Roman"/>
                <w:b/>
                <w:sz w:val="20"/>
              </w:rPr>
              <w:t>Característica y subcaracterística</w:t>
            </w:r>
          </w:p>
        </w:tc>
        <w:tc>
          <w:tcPr>
            <w:tcW w:type="dxa" w:w="4536"/>
            <w:tcBorders>
              <w:bottom w:val="single" w:sz="8" w:space="0" w:color="000000"/>
            </w:tcBorders>
          </w:tcPr>
          <w:p>
            <w:pPr>
              <w:keepNext/>
              <w:spacing w:after="40" w:before="40" w:line="240" w:lineRule="auto"/>
              <w:ind w:firstLine="0"/>
            </w:pPr>
            <w:r>
              <w:rPr>
                <w:rFonts w:ascii="Times New Roman" w:hAnsi="Times New Roman"/>
                <w:b/>
                <w:sz w:val="20"/>
              </w:rPr>
              <w:t>Requisito medible</w:t>
            </w:r>
          </w:p>
        </w:tc>
      </w:tr>
      <w:tr>
        <w:trPr>
          <w:cantSplit/>
        </w:trPr>
        <w:tc>
          <w:tcPr>
            <w:tcW w:type="dxa" w:w="1800"/>
          </w:tcPr>
          <w:p>
            <w:pPr>
              <w:keepNext/>
              <w:spacing w:after="40" w:before="40" w:line="240" w:lineRule="auto"/>
              <w:ind w:firstLine="0"/>
            </w:pPr>
            <w:r>
              <w:rPr>
                <w:rFonts w:ascii="Times New Roman" w:hAnsi="Times New Roman"/>
                <w:sz w:val="20"/>
              </w:rPr>
              <w:t>HU-07 Liquidación</w:t>
            </w:r>
          </w:p>
        </w:tc>
        <w:tc>
          <w:tcPr>
            <w:tcW w:type="dxa" w:w="3024"/>
          </w:tcPr>
          <w:p>
            <w:pPr>
              <w:keepNext/>
              <w:spacing w:after="40" w:before="40" w:line="240" w:lineRule="auto"/>
              <w:ind w:firstLine="0"/>
            </w:pPr>
            <w:r>
              <w:rPr>
                <w:rFonts w:ascii="Times New Roman" w:hAnsi="Times New Roman"/>
                <w:sz w:val="20"/>
              </w:rPr>
              <w:t>Adecuación funcional: corrección</w:t>
            </w:r>
          </w:p>
        </w:tc>
        <w:tc>
          <w:tcPr>
            <w:tcW w:type="dxa" w:w="4536"/>
          </w:tcPr>
          <w:p>
            <w:pPr>
              <w:keepNext/>
              <w:spacing w:after="40" w:before="40" w:line="240" w:lineRule="auto"/>
              <w:ind w:firstLine="0"/>
            </w:pPr>
            <w:r>
              <w:rPr>
                <w:rFonts w:ascii="Times New Roman" w:hAnsi="Times New Roman"/>
                <w:sz w:val="20"/>
              </w:rPr>
              <w:t>Caso de referencia: total de $6.372.159 (indefinido), $11.372.159 (término fijo) y $7.622.159 (obra o labor)</w:t>
            </w:r>
          </w:p>
        </w:tc>
      </w:tr>
      <w:tr>
        <w:trPr>
          <w:cantSplit/>
        </w:trPr>
        <w:tc>
          <w:tcPr>
            <w:tcW w:type="dxa" w:w="1800"/>
          </w:tcPr>
          <w:p>
            <w:pPr>
              <w:keepNext/>
              <w:spacing w:after="40" w:before="40" w:line="240" w:lineRule="auto"/>
              <w:ind w:firstLine="0"/>
            </w:pPr>
            <w:r>
              <w:rPr>
                <w:rFonts w:ascii="Times New Roman" w:hAnsi="Times New Roman"/>
                <w:sz w:val="20"/>
              </w:rPr>
              <w:t>HU-08 Stock crítico</w:t>
            </w:r>
          </w:p>
        </w:tc>
        <w:tc>
          <w:tcPr>
            <w:tcW w:type="dxa" w:w="3024"/>
          </w:tcPr>
          <w:p>
            <w:pPr>
              <w:keepNext/>
              <w:spacing w:after="40" w:before="40" w:line="240" w:lineRule="auto"/>
              <w:ind w:firstLine="0"/>
            </w:pPr>
            <w:r>
              <w:rPr>
                <w:rFonts w:ascii="Times New Roman" w:hAnsi="Times New Roman"/>
                <w:sz w:val="20"/>
              </w:rPr>
              <w:t>Adecuación funcional: completitud y corrección</w:t>
            </w:r>
          </w:p>
        </w:tc>
        <w:tc>
          <w:tcPr>
            <w:tcW w:type="dxa" w:w="4536"/>
          </w:tcPr>
          <w:p>
            <w:pPr>
              <w:keepNext/>
              <w:spacing w:after="40" w:before="40" w:line="240" w:lineRule="auto"/>
              <w:ind w:firstLine="0"/>
            </w:pPr>
            <w:r>
              <w:rPr>
                <w:rFonts w:ascii="Times New Roman" w:hAnsi="Times New Roman"/>
                <w:sz w:val="20"/>
              </w:rPr>
              <w:t>Alerta única al cruzar el umbral; la reposición devuelve el ítem a normal y cierra la alerta</w:t>
            </w:r>
          </w:p>
        </w:tc>
      </w:tr>
      <w:tr>
        <w:trPr>
          <w:cantSplit/>
        </w:trPr>
        <w:tc>
          <w:tcPr>
            <w:tcW w:type="dxa" w:w="1800"/>
          </w:tcPr>
          <w:p>
            <w:pPr>
              <w:keepNext/>
              <w:spacing w:after="40" w:before="40" w:line="240" w:lineRule="auto"/>
              <w:ind w:firstLine="0"/>
            </w:pPr>
            <w:r>
              <w:rPr>
                <w:rFonts w:ascii="Times New Roman" w:hAnsi="Times New Roman"/>
                <w:sz w:val="20"/>
              </w:rPr>
              <w:t>HU-09 Acceso por rol</w:t>
            </w:r>
          </w:p>
        </w:tc>
        <w:tc>
          <w:tcPr>
            <w:tcW w:type="dxa" w:w="3024"/>
          </w:tcPr>
          <w:p>
            <w:pPr>
              <w:keepNext/>
              <w:spacing w:after="40" w:before="40" w:line="240" w:lineRule="auto"/>
              <w:ind w:firstLine="0"/>
            </w:pPr>
            <w:r>
              <w:rPr>
                <w:rFonts w:ascii="Times New Roman" w:hAnsi="Times New Roman"/>
                <w:sz w:val="20"/>
              </w:rPr>
              <w:t>Seguridad: confidencialidad y responsabilidad</w:t>
            </w:r>
          </w:p>
        </w:tc>
        <w:tc>
          <w:tcPr>
            <w:tcW w:type="dxa" w:w="4536"/>
          </w:tcPr>
          <w:p>
            <w:pPr>
              <w:keepNext/>
              <w:spacing w:after="40" w:before="40" w:line="240" w:lineRule="auto"/>
              <w:ind w:firstLine="0"/>
            </w:pPr>
            <w:r>
              <w:rPr>
                <w:rFonts w:ascii="Times New Roman" w:hAnsi="Times New Roman"/>
                <w:sz w:val="20"/>
              </w:rPr>
              <w:t>Respuesta 403 a todo rol sin permiso, aunque conozca la URL; cada decisión queda en la pista de auditoría</w:t>
            </w:r>
          </w:p>
        </w:tc>
      </w:tr>
      <w:tr>
        <w:trPr>
          <w:cantSplit/>
        </w:trPr>
        <w:tc>
          <w:tcPr>
            <w:tcW w:type="dxa" w:w="1800"/>
          </w:tcPr>
          <w:p>
            <w:pPr>
              <w:keepNext/>
              <w:spacing w:after="40" w:before="40" w:line="240" w:lineRule="auto"/>
              <w:ind w:firstLine="0"/>
            </w:pPr>
            <w:r>
              <w:rPr>
                <w:rFonts w:ascii="Times New Roman" w:hAnsi="Times New Roman"/>
                <w:sz w:val="20"/>
              </w:rPr>
              <w:t>HU-10 Alto contraste</w:t>
            </w:r>
          </w:p>
        </w:tc>
        <w:tc>
          <w:tcPr>
            <w:tcW w:type="dxa" w:w="3024"/>
          </w:tcPr>
          <w:p>
            <w:pPr>
              <w:keepNext/>
              <w:spacing w:after="40" w:before="40" w:line="240" w:lineRule="auto"/>
              <w:ind w:firstLine="0"/>
            </w:pPr>
            <w:r>
              <w:rPr>
                <w:rFonts w:ascii="Times New Roman" w:hAnsi="Times New Roman"/>
                <w:sz w:val="20"/>
              </w:rPr>
              <w:t>Capacidad de interacción: inclusividad</w:t>
            </w:r>
          </w:p>
        </w:tc>
        <w:tc>
          <w:tcPr>
            <w:tcW w:type="dxa" w:w="4536"/>
          </w:tcPr>
          <w:p>
            <w:pPr>
              <w:keepNext/>
              <w:spacing w:after="40" w:before="40" w:line="240" w:lineRule="auto"/>
              <w:ind w:firstLine="0"/>
            </w:pPr>
            <w:r>
              <w:rPr>
                <w:rFonts w:ascii="Times New Roman" w:hAnsi="Times New Roman"/>
                <w:sz w:val="20"/>
              </w:rPr>
              <w:t>Relación de contraste de 7:1 o más (WCAG 2.2, criterio 1.4.6, AAA); preferencia conservada al recargar</w:t>
            </w:r>
          </w:p>
        </w:tc>
      </w:tr>
      <w:tr>
        <w:trPr>
          <w:cantSplit/>
        </w:trPr>
        <w:tc>
          <w:tcPr>
            <w:tcW w:type="dxa" w:w="1800"/>
          </w:tcPr>
          <w:p>
            <w:pPr>
              <w:keepNext/>
              <w:spacing w:after="40" w:before="40" w:line="240" w:lineRule="auto"/>
              <w:ind w:firstLine="0"/>
            </w:pPr>
            <w:r>
              <w:rPr>
                <w:rFonts w:ascii="Times New Roman" w:hAnsi="Times New Roman"/>
                <w:sz w:val="20"/>
              </w:rPr>
              <w:t>HU-11 reCAPTCHA v3</w:t>
            </w:r>
          </w:p>
        </w:tc>
        <w:tc>
          <w:tcPr>
            <w:tcW w:type="dxa" w:w="3024"/>
          </w:tcPr>
          <w:p>
            <w:pPr>
              <w:keepNext/>
              <w:spacing w:after="40" w:before="40" w:line="240" w:lineRule="auto"/>
              <w:ind w:firstLine="0"/>
            </w:pPr>
            <w:r>
              <w:rPr>
                <w:rFonts w:ascii="Times New Roman" w:hAnsi="Times New Roman"/>
                <w:sz w:val="20"/>
              </w:rPr>
              <w:t>Seguridad: autenticidad y resistencia</w:t>
            </w:r>
          </w:p>
        </w:tc>
        <w:tc>
          <w:tcPr>
            <w:tcW w:type="dxa" w:w="4536"/>
          </w:tcPr>
          <w:p>
            <w:pPr>
              <w:keepNext/>
              <w:spacing w:after="40" w:before="40" w:line="240" w:lineRule="auto"/>
              <w:ind w:firstLine="0"/>
            </w:pPr>
            <w:r>
              <w:rPr>
                <w:rFonts w:ascii="Times New Roman" w:hAnsi="Times New Roman"/>
                <w:sz w:val="20"/>
              </w:rPr>
              <w:t>Puntuación menor a 0,5 rechazada; sin clave secreta el inicio de sesión falla cerrado</w:t>
            </w:r>
          </w:p>
        </w:tc>
      </w:tr>
      <w:tr>
        <w:trPr>
          <w:cantSplit/>
        </w:trPr>
        <w:tc>
          <w:tcPr>
            <w:tcW w:type="dxa" w:w="1800"/>
          </w:tcPr>
          <w:p>
            <w:pPr>
              <w:keepNext/>
              <w:spacing w:after="40" w:before="40" w:line="240" w:lineRule="auto"/>
              <w:ind w:firstLine="0"/>
            </w:pPr>
            <w:r>
              <w:rPr>
                <w:rFonts w:ascii="Times New Roman" w:hAnsi="Times New Roman"/>
                <w:sz w:val="20"/>
              </w:rPr>
              <w:t>Transversal</w:t>
            </w:r>
          </w:p>
        </w:tc>
        <w:tc>
          <w:tcPr>
            <w:tcW w:type="dxa" w:w="3024"/>
          </w:tcPr>
          <w:p>
            <w:pPr>
              <w:keepNext/>
              <w:spacing w:after="40" w:before="40" w:line="240" w:lineRule="auto"/>
              <w:ind w:firstLine="0"/>
            </w:pPr>
            <w:r>
              <w:rPr>
                <w:rFonts w:ascii="Times New Roman" w:hAnsi="Times New Roman"/>
                <w:sz w:val="20"/>
              </w:rPr>
              <w:t>Eficiencia de desempeño: comportamiento temporal</w:t>
            </w:r>
          </w:p>
        </w:tc>
        <w:tc>
          <w:tcPr>
            <w:tcW w:type="dxa" w:w="4536"/>
          </w:tcPr>
          <w:p>
            <w:pPr>
              <w:keepNext/>
              <w:spacing w:after="40" w:before="40" w:line="240" w:lineRule="auto"/>
              <w:ind w:firstLine="0"/>
            </w:pPr>
            <w:r>
              <w:rPr>
                <w:rFonts w:ascii="Times New Roman" w:hAnsi="Times New Roman"/>
                <w:sz w:val="20"/>
              </w:rPr>
              <w:t>10.000 liquidaciones en menos de 5 s</w:t>
            </w:r>
          </w:p>
        </w:tc>
      </w:tr>
      <w:tr>
        <w:trPr>
          <w:cantSplit/>
        </w:trPr>
        <w:tc>
          <w:tcPr>
            <w:tcW w:type="dxa" w:w="1800"/>
          </w:tcPr>
          <w:p>
            <w:pPr>
              <w:keepNext/>
              <w:spacing w:after="40" w:before="40" w:line="240" w:lineRule="auto"/>
              <w:ind w:firstLine="0"/>
            </w:pPr>
            <w:r>
              <w:rPr>
                <w:rFonts w:ascii="Times New Roman" w:hAnsi="Times New Roman"/>
                <w:sz w:val="20"/>
              </w:rPr>
              <w:t>Transversal</w:t>
            </w:r>
          </w:p>
        </w:tc>
        <w:tc>
          <w:tcPr>
            <w:tcW w:type="dxa" w:w="3024"/>
          </w:tcPr>
          <w:p>
            <w:pPr>
              <w:keepNext/>
              <w:spacing w:after="40" w:before="40" w:line="240" w:lineRule="auto"/>
              <w:ind w:firstLine="0"/>
            </w:pPr>
            <w:r>
              <w:rPr>
                <w:rFonts w:ascii="Times New Roman" w:hAnsi="Times New Roman"/>
                <w:sz w:val="20"/>
              </w:rPr>
              <w:t>Fiabilidad: disponibilidad</w:t>
            </w:r>
          </w:p>
        </w:tc>
        <w:tc>
          <w:tcPr>
            <w:tcW w:type="dxa" w:w="4536"/>
          </w:tcPr>
          <w:p>
            <w:pPr>
              <w:keepNext/>
              <w:spacing w:after="40" w:before="40" w:line="240" w:lineRule="auto"/>
              <w:ind w:firstLine="0"/>
            </w:pPr>
            <w:r>
              <w:rPr>
                <w:rFonts w:ascii="Times New Roman" w:hAnsi="Times New Roman"/>
                <w:sz w:val="20"/>
              </w:rPr>
              <w:t>La sonda /actuator/health responde UP</w:t>
            </w:r>
          </w:p>
        </w:tc>
      </w:tr>
      <w:tr>
        <w:trPr>
          <w:cantSplit/>
        </w:trPr>
        <w:tc>
          <w:tcPr>
            <w:tcW w:type="dxa" w:w="1800"/>
          </w:tcPr>
          <w:p>
            <w:pPr>
              <w:spacing w:after="40" w:before="40" w:line="240" w:lineRule="auto"/>
              <w:ind w:firstLine="0"/>
            </w:pPr>
            <w:r>
              <w:rPr>
                <w:rFonts w:ascii="Times New Roman" w:hAnsi="Times New Roman"/>
                <w:sz w:val="20"/>
              </w:rPr>
              <w:t>Transversal</w:t>
            </w:r>
          </w:p>
        </w:tc>
        <w:tc>
          <w:tcPr>
            <w:tcW w:type="dxa" w:w="3024"/>
          </w:tcPr>
          <w:p>
            <w:pPr>
              <w:spacing w:after="40" w:before="40" w:line="240" w:lineRule="auto"/>
              <w:ind w:firstLine="0"/>
            </w:pPr>
            <w:r>
              <w:rPr>
                <w:rFonts w:ascii="Times New Roman" w:hAnsi="Times New Roman"/>
                <w:sz w:val="20"/>
              </w:rPr>
              <w:t>Mantenibilidad: capacidad de ser probado</w:t>
            </w:r>
          </w:p>
        </w:tc>
        <w:tc>
          <w:tcPr>
            <w:tcW w:type="dxa" w:w="4536"/>
          </w:tcPr>
          <w:p>
            <w:pPr>
              <w:spacing w:after="40" w:before="40" w:line="240" w:lineRule="auto"/>
              <w:ind w:firstLine="0"/>
            </w:pPr>
            <w:r>
              <w:rPr>
                <w:rFonts w:ascii="Times New Roman" w:hAnsi="Times New Roman"/>
                <w:sz w:val="20"/>
              </w:rPr>
              <w:t>Cobertura de líneas del backend igual o superior al 80 %</w:t>
            </w:r>
          </w:p>
        </w:tc>
      </w:tr>
    </w:tbl>
    <w:p>
      <w:pPr>
        <w:pStyle w:val="APA"/>
        <w:ind w:firstLine="0"/>
        <w:jc w:val="left"/>
      </w:pPr>
      <w:r>
        <w:rPr>
          <w:i/>
        </w:rPr>
        <w:t>Nota.</w:t>
      </w:r>
      <w:r>
        <w:t xml:space="preserve"> Elaboración propia con base en ISO (2023) y World Wide Web Consortium [W3C] (2023). Los valores de HU-07 provienen de la Tabla 8 del informe de la Guía 7, calculada con el Código Sustantivo del Trabajo (Decreto 2663 de 1950).</w:t>
      </w:r>
    </w:p>
    <w:p>
      <w:pPr>
        <w:pStyle w:val="APA"/>
        <w:keepNext/>
        <w:ind w:firstLine="0"/>
        <w:jc w:val="left"/>
      </w:pPr>
      <w:r>
        <w:rPr>
          <w:b/>
          <w:i/>
        </w:rPr>
        <w:t>Validación de la Exhaustividad de los Requisitos</w:t>
      </w:r>
    </w:p>
    <w:p>
      <w:pPr>
        <w:pStyle w:val="APA"/>
        <w:jc w:val="left"/>
      </w:pPr>
      <w:r>
        <w:t>La exhaustividad se revisó con una matriz de trazabilidad que cruza cada historia con los niveles de prueba disponibles. El criterio fue que toda historia tuviera al menos un caso positivo y uno negativo, y que las historias con lógica en el servidor se probaran además a través de HTTP. La revisión inicial encontró tres vacíos: HU-09 y HU-11 solo se verificaban con objetos simulados, sin pasar por los controladores ni por el manejador global de errores; HU-10 no tenía ninguna prueba automática, y ninguna historia se comprobaba desde la interfaz. La Tabla 2 muestra la matriz después de cerrar esos vacíos.</w:t>
      </w:r>
    </w:p>
    <w:p>
      <w:pPr>
        <w:pStyle w:val="APA"/>
        <w:keepNext/>
        <w:ind w:firstLine="0"/>
      </w:pPr>
      <w:r>
        <w:rPr>
          <w:b/>
        </w:rPr>
        <w:t>Tabla 2</w:t>
      </w:r>
    </w:p>
    <w:p>
      <w:pPr>
        <w:pStyle w:val="APA"/>
        <w:keepNext/>
        <w:ind w:firstLine="0"/>
      </w:pPr>
      <w:r>
        <w:rPr>
          <w:i/>
        </w:rPr>
        <w:t>Matriz de trazabilidad entre historias y casos de prueba</w:t>
      </w:r>
    </w:p>
    <w:tbl>
      <w:tblPr>
        <w:tblW w:type="dxa" w:w="9360"/>
        <w:tblLook w:firstColumn="1" w:firstRow="1" w:lastColumn="0" w:lastRow="0" w:noHBand="0" w:noVBand="1" w:val="04A0"/>
        <w:tblBorders>
          <w:top w:val="single" w:sz="8" w:space="0" w:color="000000"/>
          <w:bottom w:val="single" w:sz="8" w:space="0" w:color="000000"/>
          <w:left w:val="nil" w:sz="0" w:space="0" w:color="000000"/>
          <w:right w:val="nil" w:sz="0" w:space="0" w:color="000000"/>
          <w:insideV w:val="nil" w:sz="0" w:space="0" w:color="000000"/>
          <w:insideH w:val="nil" w:sz="0" w:space="0" w:color="000000"/>
        </w:tblBorders>
        <w:tblLayout w:type="fixed"/>
      </w:tblPr>
      <w:tblGrid>
        <w:gridCol w:w="1440"/>
        <w:gridCol w:w="2880"/>
        <w:gridCol w:w="2304"/>
        <w:gridCol w:w="2736"/>
      </w:tblGrid>
      <w:tr>
        <w:trPr>
          <w:cantSplit/>
          <w:tblHeader/>
        </w:trPr>
        <w:tc>
          <w:tcPr>
            <w:tcW w:type="dxa" w:w="1440"/>
            <w:tcBorders>
              <w:bottom w:val="single" w:sz="8" w:space="0" w:color="000000"/>
            </w:tcBorders>
          </w:tcPr>
          <w:p>
            <w:pPr>
              <w:keepNext/>
              <w:spacing w:after="40" w:before="40" w:line="240" w:lineRule="auto"/>
              <w:ind w:firstLine="0"/>
            </w:pPr>
            <w:r>
              <w:rPr>
                <w:rFonts w:ascii="Times New Roman" w:hAnsi="Times New Roman"/>
                <w:b/>
                <w:sz w:val="20"/>
              </w:rPr>
              <w:t>Historia</w:t>
            </w:r>
          </w:p>
        </w:tc>
        <w:tc>
          <w:tcPr>
            <w:tcW w:type="dxa" w:w="2880"/>
            <w:tcBorders>
              <w:bottom w:val="single" w:sz="8" w:space="0" w:color="000000"/>
            </w:tcBorders>
          </w:tcPr>
          <w:p>
            <w:pPr>
              <w:keepNext/>
              <w:spacing w:after="40" w:before="40" w:line="240" w:lineRule="auto"/>
              <w:ind w:firstLine="0"/>
            </w:pPr>
            <w:r>
              <w:rPr>
                <w:rFonts w:ascii="Times New Roman" w:hAnsi="Times New Roman"/>
                <w:b/>
                <w:sz w:val="20"/>
              </w:rPr>
              <w:t>Unitarias (JUnit 5)</w:t>
            </w:r>
          </w:p>
        </w:tc>
        <w:tc>
          <w:tcPr>
            <w:tcW w:type="dxa" w:w="2304"/>
            <w:tcBorders>
              <w:bottom w:val="single" w:sz="8" w:space="0" w:color="000000"/>
            </w:tcBorders>
          </w:tcPr>
          <w:p>
            <w:pPr>
              <w:keepNext/>
              <w:spacing w:after="40" w:before="40" w:line="240" w:lineRule="auto"/>
              <w:ind w:firstLine="0"/>
            </w:pPr>
            <w:r>
              <w:rPr>
                <w:rFonts w:ascii="Times New Roman" w:hAnsi="Times New Roman"/>
                <w:b/>
                <w:sz w:val="20"/>
              </w:rPr>
              <w:t>Integración (MockMvc)</w:t>
            </w:r>
          </w:p>
        </w:tc>
        <w:tc>
          <w:tcPr>
            <w:tcW w:type="dxa" w:w="2736"/>
            <w:tcBorders>
              <w:bottom w:val="single" w:sz="8" w:space="0" w:color="000000"/>
            </w:tcBorders>
          </w:tcPr>
          <w:p>
            <w:pPr>
              <w:keepNext/>
              <w:spacing w:after="40" w:before="40" w:line="240" w:lineRule="auto"/>
              <w:ind w:firstLine="0"/>
            </w:pPr>
            <w:r>
              <w:rPr>
                <w:rFonts w:ascii="Times New Roman" w:hAnsi="Times New Roman"/>
                <w:b/>
                <w:sz w:val="20"/>
              </w:rPr>
              <w:t>Interfaz (Playwright)</w:t>
            </w:r>
          </w:p>
        </w:tc>
      </w:tr>
      <w:tr>
        <w:trPr>
          <w:cantSplit/>
        </w:trPr>
        <w:tc>
          <w:tcPr>
            <w:tcW w:type="dxa" w:w="1440"/>
          </w:tcPr>
          <w:p>
            <w:pPr>
              <w:keepNext/>
              <w:spacing w:after="40" w:before="40" w:line="240" w:lineRule="auto"/>
              <w:ind w:firstLine="0"/>
            </w:pPr>
            <w:r>
              <w:rPr>
                <w:rFonts w:ascii="Times New Roman" w:hAnsi="Times New Roman"/>
                <w:sz w:val="20"/>
              </w:rPr>
              <w:t>HU-07</w:t>
            </w:r>
          </w:p>
        </w:tc>
        <w:tc>
          <w:tcPr>
            <w:tcW w:type="dxa" w:w="2880"/>
          </w:tcPr>
          <w:p>
            <w:pPr>
              <w:keepNext/>
              <w:spacing w:after="40" w:before="40" w:line="240" w:lineRule="auto"/>
              <w:ind w:firstLine="0"/>
            </w:pPr>
            <w:r>
              <w:rPr>
                <w:rFonts w:ascii="Times New Roman" w:hAnsi="Times New Roman"/>
                <w:sz w:val="20"/>
              </w:rPr>
              <w:t>10 casos en CalculadoraLiquidacionTest y 1 de rendimiento</w:t>
            </w:r>
          </w:p>
        </w:tc>
        <w:tc>
          <w:tcPr>
            <w:tcW w:type="dxa" w:w="2304"/>
          </w:tcPr>
          <w:p>
            <w:pPr>
              <w:keepNext/>
              <w:spacing w:after="40" w:before="40" w:line="240" w:lineRule="auto"/>
              <w:ind w:firstLine="0"/>
            </w:pPr>
            <w:r>
              <w:rPr>
                <w:rFonts w:ascii="Times New Roman" w:hAnsi="Times New Roman"/>
                <w:sz w:val="20"/>
              </w:rPr>
              <w:t>CP-07.1 a CP-07.4</w:t>
            </w:r>
          </w:p>
        </w:tc>
        <w:tc>
          <w:tcPr>
            <w:tcW w:type="dxa" w:w="2736"/>
          </w:tcPr>
          <w:p>
            <w:pPr>
              <w:keepNext/>
              <w:spacing w:after="40" w:before="40" w:line="240" w:lineRule="auto"/>
              <w:ind w:firstLine="0"/>
            </w:pPr>
            <w:r>
              <w:rPr>
                <w:rFonts w:ascii="Times New Roman" w:hAnsi="Times New Roman"/>
                <w:sz w:val="20"/>
              </w:rPr>
              <w:t>CP-E2E-01 a CP-E2E-03 y CP-E2E-13</w:t>
            </w:r>
          </w:p>
        </w:tc>
      </w:tr>
      <w:tr>
        <w:trPr>
          <w:cantSplit/>
        </w:trPr>
        <w:tc>
          <w:tcPr>
            <w:tcW w:type="dxa" w:w="1440"/>
          </w:tcPr>
          <w:p>
            <w:pPr>
              <w:keepNext/>
              <w:spacing w:after="40" w:before="40" w:line="240" w:lineRule="auto"/>
              <w:ind w:firstLine="0"/>
            </w:pPr>
            <w:r>
              <w:rPr>
                <w:rFonts w:ascii="Times New Roman" w:hAnsi="Times New Roman"/>
                <w:sz w:val="20"/>
              </w:rPr>
              <w:t>HU-08</w:t>
            </w:r>
          </w:p>
        </w:tc>
        <w:tc>
          <w:tcPr>
            <w:tcW w:type="dxa" w:w="2880"/>
          </w:tcPr>
          <w:p>
            <w:pPr>
              <w:keepNext/>
              <w:spacing w:after="40" w:before="40" w:line="240" w:lineRule="auto"/>
              <w:ind w:firstLine="0"/>
            </w:pPr>
            <w:r>
              <w:rPr>
                <w:rFonts w:ascii="Times New Roman" w:hAnsi="Times New Roman"/>
                <w:sz w:val="20"/>
              </w:rPr>
              <w:t>5 casos en InventarioServiceTest</w:t>
            </w:r>
          </w:p>
        </w:tc>
        <w:tc>
          <w:tcPr>
            <w:tcW w:type="dxa" w:w="2304"/>
          </w:tcPr>
          <w:p>
            <w:pPr>
              <w:keepNext/>
              <w:spacing w:after="40" w:before="40" w:line="240" w:lineRule="auto"/>
              <w:ind w:firstLine="0"/>
            </w:pPr>
            <w:r>
              <w:rPr>
                <w:rFonts w:ascii="Times New Roman" w:hAnsi="Times New Roman"/>
                <w:sz w:val="20"/>
              </w:rPr>
              <w:t>CP-08.1 a CP-08.4</w:t>
            </w:r>
          </w:p>
        </w:tc>
        <w:tc>
          <w:tcPr>
            <w:tcW w:type="dxa" w:w="2736"/>
          </w:tcPr>
          <w:p>
            <w:pPr>
              <w:keepNext/>
              <w:spacing w:after="40" w:before="40" w:line="240" w:lineRule="auto"/>
              <w:ind w:firstLine="0"/>
            </w:pPr>
            <w:r>
              <w:rPr>
                <w:rFonts w:ascii="Times New Roman" w:hAnsi="Times New Roman"/>
                <w:sz w:val="20"/>
              </w:rPr>
              <w:t>CP-E2E-04 y CP-E2E-05</w:t>
            </w:r>
          </w:p>
        </w:tc>
      </w:tr>
      <w:tr>
        <w:trPr>
          <w:cantSplit/>
        </w:trPr>
        <w:tc>
          <w:tcPr>
            <w:tcW w:type="dxa" w:w="1440"/>
          </w:tcPr>
          <w:p>
            <w:pPr>
              <w:keepNext/>
              <w:spacing w:after="40" w:before="40" w:line="240" w:lineRule="auto"/>
              <w:ind w:firstLine="0"/>
            </w:pPr>
            <w:r>
              <w:rPr>
                <w:rFonts w:ascii="Times New Roman" w:hAnsi="Times New Roman"/>
                <w:sz w:val="20"/>
              </w:rPr>
              <w:t>HU-09</w:t>
            </w:r>
          </w:p>
        </w:tc>
        <w:tc>
          <w:tcPr>
            <w:tcW w:type="dxa" w:w="2880"/>
          </w:tcPr>
          <w:p>
            <w:pPr>
              <w:keepNext/>
              <w:spacing w:after="40" w:before="40" w:line="240" w:lineRule="auto"/>
              <w:ind w:firstLine="0"/>
            </w:pPr>
            <w:r>
              <w:rPr>
                <w:rFonts w:ascii="Times New Roman" w:hAnsi="Times New Roman"/>
                <w:sz w:val="20"/>
              </w:rPr>
              <w:t>8 casos en MatrizAccesoTest y AutorizacionServiceTest</w:t>
            </w:r>
          </w:p>
        </w:tc>
        <w:tc>
          <w:tcPr>
            <w:tcW w:type="dxa" w:w="2304"/>
          </w:tcPr>
          <w:p>
            <w:pPr>
              <w:keepNext/>
              <w:spacing w:after="40" w:before="40" w:line="240" w:lineRule="auto"/>
              <w:ind w:firstLine="0"/>
            </w:pPr>
            <w:r>
              <w:rPr>
                <w:rFonts w:ascii="Times New Roman" w:hAnsi="Times New Roman"/>
                <w:sz w:val="20"/>
              </w:rPr>
              <w:t>CP-09.1 a CP-09.5</w:t>
            </w:r>
          </w:p>
        </w:tc>
        <w:tc>
          <w:tcPr>
            <w:tcW w:type="dxa" w:w="2736"/>
          </w:tcPr>
          <w:p>
            <w:pPr>
              <w:keepNext/>
              <w:spacing w:after="40" w:before="40" w:line="240" w:lineRule="auto"/>
              <w:ind w:firstLine="0"/>
            </w:pPr>
            <w:r>
              <w:rPr>
                <w:rFonts w:ascii="Times New Roman" w:hAnsi="Times New Roman"/>
                <w:sz w:val="20"/>
              </w:rPr>
              <w:t>CP-E2E-06 y CP-E2E-09</w:t>
            </w:r>
          </w:p>
        </w:tc>
      </w:tr>
      <w:tr>
        <w:trPr>
          <w:cantSplit/>
        </w:trPr>
        <w:tc>
          <w:tcPr>
            <w:tcW w:type="dxa" w:w="1440"/>
          </w:tcPr>
          <w:p>
            <w:pPr>
              <w:keepNext/>
              <w:spacing w:after="40" w:before="40" w:line="240" w:lineRule="auto"/>
              <w:ind w:firstLine="0"/>
            </w:pPr>
            <w:r>
              <w:rPr>
                <w:rFonts w:ascii="Times New Roman" w:hAnsi="Times New Roman"/>
                <w:sz w:val="20"/>
              </w:rPr>
              <w:t>HU-10</w:t>
            </w:r>
          </w:p>
        </w:tc>
        <w:tc>
          <w:tcPr>
            <w:tcW w:type="dxa" w:w="2880"/>
          </w:tcPr>
          <w:p>
            <w:pPr>
              <w:keepNext/>
              <w:spacing w:after="40" w:before="40" w:line="240" w:lineRule="auto"/>
              <w:ind w:firstLine="0"/>
            </w:pPr>
            <w:r>
              <w:rPr>
                <w:rFonts w:ascii="Times New Roman" w:hAnsi="Times New Roman"/>
                <w:sz w:val="20"/>
              </w:rPr>
              <w:t>No aplica: la lógica vive en la interfaz</w:t>
            </w:r>
          </w:p>
        </w:tc>
        <w:tc>
          <w:tcPr>
            <w:tcW w:type="dxa" w:w="2304"/>
          </w:tcPr>
          <w:p>
            <w:pPr>
              <w:keepNext/>
              <w:spacing w:after="40" w:before="40" w:line="240" w:lineRule="auto"/>
              <w:ind w:firstLine="0"/>
            </w:pPr>
            <w:r>
              <w:rPr>
                <w:rFonts w:ascii="Times New Roman" w:hAnsi="Times New Roman"/>
                <w:sz w:val="20"/>
              </w:rPr>
              <w:t>No aplica</w:t>
            </w:r>
          </w:p>
        </w:tc>
        <w:tc>
          <w:tcPr>
            <w:tcW w:type="dxa" w:w="2736"/>
          </w:tcPr>
          <w:p>
            <w:pPr>
              <w:keepNext/>
              <w:spacing w:after="40" w:before="40" w:line="240" w:lineRule="auto"/>
              <w:ind w:firstLine="0"/>
            </w:pPr>
            <w:r>
              <w:rPr>
                <w:rFonts w:ascii="Times New Roman" w:hAnsi="Times New Roman"/>
                <w:sz w:val="20"/>
              </w:rPr>
              <w:t>CP-E2E-10 a CP-E2E-12</w:t>
            </w:r>
          </w:p>
        </w:tc>
      </w:tr>
      <w:tr>
        <w:trPr>
          <w:cantSplit/>
        </w:trPr>
        <w:tc>
          <w:tcPr>
            <w:tcW w:type="dxa" w:w="1440"/>
          </w:tcPr>
          <w:p>
            <w:pPr>
              <w:keepNext/>
              <w:spacing w:after="40" w:before="40" w:line="240" w:lineRule="auto"/>
              <w:ind w:firstLine="0"/>
            </w:pPr>
            <w:r>
              <w:rPr>
                <w:rFonts w:ascii="Times New Roman" w:hAnsi="Times New Roman"/>
                <w:sz w:val="20"/>
              </w:rPr>
              <w:t>HU-11</w:t>
            </w:r>
          </w:p>
        </w:tc>
        <w:tc>
          <w:tcPr>
            <w:tcW w:type="dxa" w:w="2880"/>
          </w:tcPr>
          <w:p>
            <w:pPr>
              <w:keepNext/>
              <w:spacing w:after="40" w:before="40" w:line="240" w:lineRule="auto"/>
              <w:ind w:firstLine="0"/>
            </w:pPr>
            <w:r>
              <w:rPr>
                <w:rFonts w:ascii="Times New Roman" w:hAnsi="Times New Roman"/>
                <w:sz w:val="20"/>
              </w:rPr>
              <w:t>5 casos en LoginServiceTest</w:t>
            </w:r>
          </w:p>
        </w:tc>
        <w:tc>
          <w:tcPr>
            <w:tcW w:type="dxa" w:w="2304"/>
          </w:tcPr>
          <w:p>
            <w:pPr>
              <w:keepNext/>
              <w:spacing w:after="40" w:before="40" w:line="240" w:lineRule="auto"/>
              <w:ind w:firstLine="0"/>
            </w:pPr>
            <w:r>
              <w:rPr>
                <w:rFonts w:ascii="Times New Roman" w:hAnsi="Times New Roman"/>
                <w:sz w:val="20"/>
              </w:rPr>
              <w:t>CP-11.1 y CP-11.2</w:t>
            </w:r>
          </w:p>
        </w:tc>
        <w:tc>
          <w:tcPr>
            <w:tcW w:type="dxa" w:w="2736"/>
          </w:tcPr>
          <w:p>
            <w:pPr>
              <w:keepNext/>
              <w:spacing w:after="40" w:before="40" w:line="240" w:lineRule="auto"/>
              <w:ind w:firstLine="0"/>
            </w:pPr>
            <w:r>
              <w:rPr>
                <w:rFonts w:ascii="Times New Roman" w:hAnsi="Times New Roman"/>
                <w:sz w:val="20"/>
              </w:rPr>
              <w:t>CP-E2E-07 y CP-E2E-08</w:t>
            </w:r>
          </w:p>
        </w:tc>
      </w:tr>
      <w:tr>
        <w:trPr>
          <w:cantSplit/>
        </w:trPr>
        <w:tc>
          <w:tcPr>
            <w:tcW w:type="dxa" w:w="1440"/>
          </w:tcPr>
          <w:p>
            <w:pPr>
              <w:spacing w:after="40" w:before="40" w:line="240" w:lineRule="auto"/>
              <w:ind w:firstLine="0"/>
            </w:pPr>
            <w:r>
              <w:rPr>
                <w:rFonts w:ascii="Times New Roman" w:hAnsi="Times New Roman"/>
                <w:sz w:val="20"/>
              </w:rPr>
              <w:t>Transversal</w:t>
            </w:r>
          </w:p>
        </w:tc>
        <w:tc>
          <w:tcPr>
            <w:tcW w:type="dxa" w:w="2880"/>
          </w:tcPr>
          <w:p>
            <w:pPr>
              <w:spacing w:after="40" w:before="40" w:line="240" w:lineRule="auto"/>
              <w:ind w:firstLine="0"/>
            </w:pPr>
            <w:r>
              <w:rPr>
                <w:rFonts w:ascii="Times New Roman" w:hAnsi="Times New Roman"/>
                <w:sz w:val="20"/>
              </w:rPr>
              <w:t>CP-PERF.1</w:t>
            </w:r>
          </w:p>
        </w:tc>
        <w:tc>
          <w:tcPr>
            <w:tcW w:type="dxa" w:w="2304"/>
          </w:tcPr>
          <w:p>
            <w:pPr>
              <w:spacing w:after="40" w:before="40" w:line="240" w:lineRule="auto"/>
              <w:ind w:firstLine="0"/>
            </w:pPr>
            <w:r>
              <w:rPr>
                <w:rFonts w:ascii="Times New Roman" w:hAnsi="Times New Roman"/>
                <w:sz w:val="20"/>
              </w:rPr>
              <w:t>CP-REL.1</w:t>
            </w:r>
          </w:p>
        </w:tc>
        <w:tc>
          <w:tcPr>
            <w:tcW w:type="dxa" w:w="2736"/>
          </w:tcPr>
          <w:p>
            <w:pPr>
              <w:spacing w:after="40" w:before="40" w:line="240" w:lineRule="auto"/>
              <w:ind w:firstLine="0"/>
            </w:pPr>
            <w:r>
              <w:rPr>
                <w:rFonts w:ascii="Times New Roman" w:hAnsi="Times New Roman"/>
                <w:sz w:val="20"/>
              </w:rPr>
              <w:t>No aplica</w:t>
            </w:r>
          </w:p>
        </w:tc>
      </w:tr>
    </w:tbl>
    <w:p>
      <w:pPr>
        <w:pStyle w:val="APA"/>
        <w:ind w:firstLine="0"/>
        <w:jc w:val="left"/>
      </w:pPr>
      <w:r>
        <w:rPr>
          <w:i/>
        </w:rPr>
        <w:t>Nota.</w:t>
      </w:r>
      <w:r>
        <w:t xml:space="preserve"> Elaboración propia. Los nombres completos de cada caso están en las Tablas 4 y 5. Las pruebas unitarias de catálogo y consignantes (Sprint 1) se ejecutan en la misma corrida, pero no forman parte del alcance del Sprint 3.</w:t>
      </w:r>
    </w:p>
    <w:p>
      <w:pPr>
        <w:pStyle w:val="APA"/>
        <w:keepNext/>
        <w:ind w:firstLine="0"/>
        <w:jc w:val="left"/>
      </w:pPr>
      <w:r>
        <w:rPr>
          <w:b/>
          <w:i/>
        </w:rPr>
        <w:t>Objetivos de Diseño</w:t>
      </w:r>
    </w:p>
    <w:p>
      <w:pPr>
        <w:pStyle w:val="APA"/>
        <w:jc w:val="left"/>
      </w:pPr>
      <w:r>
        <w:t>Varias decisiones de arquitectura de los sprints anteriores se tradujeron en objetivos que la prueba debía confirmar. La autorización se verifica en el servidor y no en el menú, de modo que la prueba válida es una petición HTTP directa con un rol sin permiso. Los parámetros legales tienen fecha de vigencia (ADR-005), lo que obliga a comprobar que una liquidación de 2025 se reproduce con los valores de ese año. La verificación de reCAPTCHA falla cerrada cuando falta la clave secreta, comportamiento que solo se observa con el contexto completo de Spring. El movimiento de inventario y su alerta se confirman en una sola transacción, ventaja del monolito modular que se comprueba en la integración con la base H2.</w:t>
      </w:r>
    </w:p>
    <w:p>
      <w:pPr>
        <w:pStyle w:val="APA"/>
        <w:jc w:val="left"/>
      </w:pPr>
      <w:r>
        <w:t>La facilidad de prueba también fue un objetivo de diseño. Los servicios reciben sus dependencias por interfaces (VerificadorRecaptcha, DirectorioUsuarios, NotificadorAlertas), lo que permite sustituirlas por dobles de prueba en el nivel unitario, mientras que la interfaz conserva un modo de demostración con las mismas reglas del servidor, útil para probarla sin levantar el backend.</w:t>
      </w:r>
    </w:p>
    <w:p>
      <w:pPr>
        <w:pStyle w:val="APA"/>
        <w:keepNext/>
        <w:ind w:firstLine="0"/>
        <w:jc w:val="left"/>
      </w:pPr>
      <w:r>
        <w:rPr>
          <w:b/>
          <w:i/>
        </w:rPr>
        <w:t>Objetivos de Prueba</w:t>
      </w:r>
    </w:p>
    <w:p>
      <w:pPr>
        <w:pStyle w:val="APA"/>
        <w:jc w:val="left"/>
      </w:pPr>
      <w:r>
        <w:t>Se definieron cuatro niveles, cada uno con una herramienta y un alcance distintos, y un criterio de salida común: el cien por ciento de los casos aprobados en GitHub Actions y una cobertura de líneas igual o superior al 80 % en el backend (Myers et al., 2012).</w:t>
      </w:r>
    </w:p>
    <w:p>
      <w:pPr>
        <w:pStyle w:val="APA"/>
        <w:keepNext/>
        <w:ind w:firstLine="0"/>
      </w:pPr>
      <w:r>
        <w:rPr>
          <w:b/>
        </w:rPr>
        <w:t>Tabla 3</w:t>
      </w:r>
    </w:p>
    <w:p>
      <w:pPr>
        <w:pStyle w:val="APA"/>
        <w:keepNext/>
        <w:ind w:firstLine="0"/>
      </w:pPr>
      <w:r>
        <w:rPr>
          <w:i/>
        </w:rPr>
        <w:t>Estrategia de prueba por niveles</w:t>
      </w:r>
    </w:p>
    <w:tbl>
      <w:tblPr>
        <w:tblW w:type="dxa" w:w="9360"/>
        <w:tblLook w:firstColumn="1" w:firstRow="1" w:lastColumn="0" w:lastRow="0" w:noHBand="0" w:noVBand="1" w:val="04A0"/>
        <w:tblBorders>
          <w:top w:val="single" w:sz="8" w:space="0" w:color="000000"/>
          <w:bottom w:val="single" w:sz="8" w:space="0" w:color="000000"/>
          <w:left w:val="nil" w:sz="0" w:space="0" w:color="000000"/>
          <w:right w:val="nil" w:sz="0" w:space="0" w:color="000000"/>
          <w:insideV w:val="nil" w:sz="0" w:space="0" w:color="000000"/>
          <w:insideH w:val="nil" w:sz="0" w:space="0" w:color="000000"/>
        </w:tblBorders>
        <w:tblLayout w:type="fixed"/>
      </w:tblPr>
      <w:tblGrid>
        <w:gridCol w:w="1584"/>
        <w:gridCol w:w="2520"/>
        <w:gridCol w:w="4248"/>
        <w:gridCol w:w="1007"/>
      </w:tblGrid>
      <w:tr>
        <w:trPr>
          <w:cantSplit/>
          <w:tblHeader/>
        </w:trPr>
        <w:tc>
          <w:tcPr>
            <w:tcW w:type="dxa" w:w="1584"/>
            <w:tcBorders>
              <w:bottom w:val="single" w:sz="8" w:space="0" w:color="000000"/>
            </w:tcBorders>
          </w:tcPr>
          <w:p>
            <w:pPr>
              <w:keepNext/>
              <w:spacing w:after="40" w:before="40" w:line="240" w:lineRule="auto"/>
              <w:ind w:firstLine="0"/>
            </w:pPr>
            <w:r>
              <w:rPr>
                <w:rFonts w:ascii="Times New Roman" w:hAnsi="Times New Roman"/>
                <w:b/>
                <w:sz w:val="20"/>
              </w:rPr>
              <w:t>Nivel</w:t>
            </w:r>
          </w:p>
        </w:tc>
        <w:tc>
          <w:tcPr>
            <w:tcW w:type="dxa" w:w="2520"/>
            <w:tcBorders>
              <w:bottom w:val="single" w:sz="8" w:space="0" w:color="000000"/>
            </w:tcBorders>
          </w:tcPr>
          <w:p>
            <w:pPr>
              <w:keepNext/>
              <w:spacing w:after="40" w:before="40" w:line="240" w:lineRule="auto"/>
              <w:ind w:firstLine="0"/>
            </w:pPr>
            <w:r>
              <w:rPr>
                <w:rFonts w:ascii="Times New Roman" w:hAnsi="Times New Roman"/>
                <w:b/>
                <w:sz w:val="20"/>
              </w:rPr>
              <w:t>Herramienta</w:t>
            </w:r>
          </w:p>
        </w:tc>
        <w:tc>
          <w:tcPr>
            <w:tcW w:type="dxa" w:w="4248"/>
            <w:tcBorders>
              <w:bottom w:val="single" w:sz="8" w:space="0" w:color="000000"/>
            </w:tcBorders>
          </w:tcPr>
          <w:p>
            <w:pPr>
              <w:keepNext/>
              <w:spacing w:after="40" w:before="40" w:line="240" w:lineRule="auto"/>
              <w:ind w:firstLine="0"/>
            </w:pPr>
            <w:r>
              <w:rPr>
                <w:rFonts w:ascii="Times New Roman" w:hAnsi="Times New Roman"/>
                <w:b/>
                <w:sz w:val="20"/>
              </w:rPr>
              <w:t>Qué comprueba</w:t>
            </w:r>
          </w:p>
        </w:tc>
        <w:tc>
          <w:tcPr>
            <w:tcW w:type="dxa" w:w="1008"/>
            <w:tcBorders>
              <w:bottom w:val="single" w:sz="8" w:space="0" w:color="000000"/>
            </w:tcBorders>
          </w:tcPr>
          <w:p>
            <w:pPr>
              <w:keepNext/>
              <w:spacing w:after="40" w:before="40" w:line="240" w:lineRule="auto"/>
              <w:ind w:firstLine="0"/>
            </w:pPr>
            <w:r>
              <w:rPr>
                <w:rFonts w:ascii="Times New Roman" w:hAnsi="Times New Roman"/>
                <w:b/>
                <w:sz w:val="20"/>
              </w:rPr>
              <w:t>Casos</w:t>
            </w:r>
          </w:p>
        </w:tc>
      </w:tr>
      <w:tr>
        <w:trPr>
          <w:cantSplit/>
        </w:trPr>
        <w:tc>
          <w:tcPr>
            <w:tcW w:type="dxa" w:w="1584"/>
          </w:tcPr>
          <w:p>
            <w:pPr>
              <w:keepNext/>
              <w:spacing w:after="40" w:before="40" w:line="240" w:lineRule="auto"/>
              <w:ind w:firstLine="0"/>
            </w:pPr>
            <w:r>
              <w:rPr>
                <w:rFonts w:ascii="Times New Roman" w:hAnsi="Times New Roman"/>
                <w:sz w:val="20"/>
              </w:rPr>
              <w:t>Unitario</w:t>
            </w:r>
          </w:p>
        </w:tc>
        <w:tc>
          <w:tcPr>
            <w:tcW w:type="dxa" w:w="2520"/>
          </w:tcPr>
          <w:p>
            <w:pPr>
              <w:keepNext/>
              <w:spacing w:after="40" w:before="40" w:line="240" w:lineRule="auto"/>
              <w:ind w:firstLine="0"/>
            </w:pPr>
            <w:r>
              <w:rPr>
                <w:rFonts w:ascii="Times New Roman" w:hAnsi="Times New Roman"/>
                <w:sz w:val="20"/>
              </w:rPr>
              <w:t>JUnit 5 y Mockito</w:t>
            </w:r>
          </w:p>
        </w:tc>
        <w:tc>
          <w:tcPr>
            <w:tcW w:type="dxa" w:w="4248"/>
          </w:tcPr>
          <w:p>
            <w:pPr>
              <w:keepNext/>
              <w:spacing w:after="40" w:before="40" w:line="240" w:lineRule="auto"/>
              <w:ind w:firstLine="0"/>
            </w:pPr>
            <w:r>
              <w:rPr>
                <w:rFonts w:ascii="Times New Roman" w:hAnsi="Times New Roman"/>
                <w:sz w:val="20"/>
              </w:rPr>
              <w:t>Reglas de dominio aisladas de la base y de servicios externos</w:t>
            </w:r>
          </w:p>
        </w:tc>
        <w:tc>
          <w:tcPr>
            <w:tcW w:type="dxa" w:w="1008"/>
          </w:tcPr>
          <w:p>
            <w:pPr>
              <w:keepNext/>
              <w:spacing w:after="40" w:before="40" w:line="240" w:lineRule="auto"/>
              <w:ind w:firstLine="0"/>
            </w:pPr>
            <w:r>
              <w:rPr>
                <w:rFonts w:ascii="Times New Roman" w:hAnsi="Times New Roman"/>
                <w:sz w:val="20"/>
              </w:rPr>
              <w:t>32</w:t>
            </w:r>
          </w:p>
        </w:tc>
      </w:tr>
      <w:tr>
        <w:trPr>
          <w:cantSplit/>
        </w:trPr>
        <w:tc>
          <w:tcPr>
            <w:tcW w:type="dxa" w:w="1584"/>
          </w:tcPr>
          <w:p>
            <w:pPr>
              <w:keepNext/>
              <w:spacing w:after="40" w:before="40" w:line="240" w:lineRule="auto"/>
              <w:ind w:firstLine="0"/>
            </w:pPr>
            <w:r>
              <w:rPr>
                <w:rFonts w:ascii="Times New Roman" w:hAnsi="Times New Roman"/>
                <w:sz w:val="20"/>
              </w:rPr>
              <w:t>Rendimiento</w:t>
            </w:r>
          </w:p>
        </w:tc>
        <w:tc>
          <w:tcPr>
            <w:tcW w:type="dxa" w:w="2520"/>
          </w:tcPr>
          <w:p>
            <w:pPr>
              <w:keepNext/>
              <w:spacing w:after="40" w:before="40" w:line="240" w:lineRule="auto"/>
              <w:ind w:firstLine="0"/>
            </w:pPr>
            <w:r>
              <w:rPr>
                <w:rFonts w:ascii="Times New Roman" w:hAnsi="Times New Roman"/>
                <w:sz w:val="20"/>
              </w:rPr>
              <w:t>JUnit 5 (assertTimeout)</w:t>
            </w:r>
          </w:p>
        </w:tc>
        <w:tc>
          <w:tcPr>
            <w:tcW w:type="dxa" w:w="4248"/>
          </w:tcPr>
          <w:p>
            <w:pPr>
              <w:keepNext/>
              <w:spacing w:after="40" w:before="40" w:line="240" w:lineRule="auto"/>
              <w:ind w:firstLine="0"/>
            </w:pPr>
            <w:r>
              <w:rPr>
                <w:rFonts w:ascii="Times New Roman" w:hAnsi="Times New Roman"/>
                <w:sz w:val="20"/>
              </w:rPr>
              <w:t>Tiempo del motor de liquidación y estabilidad del resultado</w:t>
            </w:r>
          </w:p>
        </w:tc>
        <w:tc>
          <w:tcPr>
            <w:tcW w:type="dxa" w:w="1008"/>
          </w:tcPr>
          <w:p>
            <w:pPr>
              <w:keepNext/>
              <w:spacing w:after="40" w:before="40" w:line="240" w:lineRule="auto"/>
              <w:ind w:firstLine="0"/>
            </w:pPr>
            <w:r>
              <w:rPr>
                <w:rFonts w:ascii="Times New Roman" w:hAnsi="Times New Roman"/>
                <w:sz w:val="20"/>
              </w:rPr>
              <w:t>1</w:t>
            </w:r>
          </w:p>
        </w:tc>
      </w:tr>
      <w:tr>
        <w:trPr>
          <w:cantSplit/>
        </w:trPr>
        <w:tc>
          <w:tcPr>
            <w:tcW w:type="dxa" w:w="1584"/>
          </w:tcPr>
          <w:p>
            <w:pPr>
              <w:keepNext/>
              <w:spacing w:after="40" w:before="40" w:line="240" w:lineRule="auto"/>
              <w:ind w:firstLine="0"/>
            </w:pPr>
            <w:r>
              <w:rPr>
                <w:rFonts w:ascii="Times New Roman" w:hAnsi="Times New Roman"/>
                <w:sz w:val="20"/>
              </w:rPr>
              <w:t>Integración</w:t>
            </w:r>
          </w:p>
        </w:tc>
        <w:tc>
          <w:tcPr>
            <w:tcW w:type="dxa" w:w="2520"/>
          </w:tcPr>
          <w:p>
            <w:pPr>
              <w:keepNext/>
              <w:spacing w:after="40" w:before="40" w:line="240" w:lineRule="auto"/>
              <w:ind w:firstLine="0"/>
            </w:pPr>
            <w:r>
              <w:rPr>
                <w:rFonts w:ascii="Times New Roman" w:hAnsi="Times New Roman"/>
                <w:sz w:val="20"/>
              </w:rPr>
              <w:t>Spring Boot Test, MockMvc y H2</w:t>
            </w:r>
          </w:p>
        </w:tc>
        <w:tc>
          <w:tcPr>
            <w:tcW w:type="dxa" w:w="4248"/>
          </w:tcPr>
          <w:p>
            <w:pPr>
              <w:keepNext/>
              <w:spacing w:after="40" w:before="40" w:line="240" w:lineRule="auto"/>
              <w:ind w:firstLine="0"/>
            </w:pPr>
            <w:r>
              <w:rPr>
                <w:rFonts w:ascii="Times New Roman" w:hAnsi="Times New Roman"/>
                <w:sz w:val="20"/>
              </w:rPr>
              <w:t>Controladores, validación, manejo de errores, autorización y persistencia</w:t>
            </w:r>
          </w:p>
        </w:tc>
        <w:tc>
          <w:tcPr>
            <w:tcW w:type="dxa" w:w="1008"/>
          </w:tcPr>
          <w:p>
            <w:pPr>
              <w:keepNext/>
              <w:spacing w:after="40" w:before="40" w:line="240" w:lineRule="auto"/>
              <w:ind w:firstLine="0"/>
            </w:pPr>
            <w:r>
              <w:rPr>
                <w:rFonts w:ascii="Times New Roman" w:hAnsi="Times New Roman"/>
                <w:sz w:val="20"/>
              </w:rPr>
              <w:t>16</w:t>
            </w:r>
          </w:p>
        </w:tc>
      </w:tr>
      <w:tr>
        <w:trPr>
          <w:cantSplit/>
        </w:trPr>
        <w:tc>
          <w:tcPr>
            <w:tcW w:type="dxa" w:w="1584"/>
          </w:tcPr>
          <w:p>
            <w:pPr>
              <w:spacing w:after="40" w:before="40" w:line="240" w:lineRule="auto"/>
              <w:ind w:firstLine="0"/>
            </w:pPr>
            <w:r>
              <w:rPr>
                <w:rFonts w:ascii="Times New Roman" w:hAnsi="Times New Roman"/>
                <w:sz w:val="20"/>
              </w:rPr>
              <w:t>Interfaz</w:t>
            </w:r>
          </w:p>
        </w:tc>
        <w:tc>
          <w:tcPr>
            <w:tcW w:type="dxa" w:w="2520"/>
          </w:tcPr>
          <w:p>
            <w:pPr>
              <w:spacing w:after="40" w:before="40" w:line="240" w:lineRule="auto"/>
              <w:ind w:firstLine="0"/>
            </w:pPr>
            <w:r>
              <w:rPr>
                <w:rFonts w:ascii="Times New Roman" w:hAnsi="Times New Roman"/>
                <w:sz w:val="20"/>
              </w:rPr>
              <w:t>Playwright con Chromium</w:t>
            </w:r>
          </w:p>
        </w:tc>
        <w:tc>
          <w:tcPr>
            <w:tcW w:type="dxa" w:w="4248"/>
          </w:tcPr>
          <w:p>
            <w:pPr>
              <w:spacing w:after="40" w:before="40" w:line="240" w:lineRule="auto"/>
              <w:ind w:firstLine="0"/>
            </w:pPr>
            <w:r>
              <w:rPr>
                <w:rFonts w:ascii="Times New Roman" w:hAnsi="Times New Roman"/>
                <w:sz w:val="20"/>
              </w:rPr>
              <w:t>Flujos de usuario de HU-07 a HU-11, contraste y teclado</w:t>
            </w:r>
          </w:p>
        </w:tc>
        <w:tc>
          <w:tcPr>
            <w:tcW w:type="dxa" w:w="1008"/>
          </w:tcPr>
          <w:p>
            <w:pPr>
              <w:spacing w:after="40" w:before="40" w:line="240" w:lineRule="auto"/>
              <w:ind w:firstLine="0"/>
            </w:pPr>
            <w:r>
              <w:rPr>
                <w:rFonts w:ascii="Times New Roman" w:hAnsi="Times New Roman"/>
                <w:sz w:val="20"/>
              </w:rPr>
              <w:t>13</w:t>
            </w:r>
          </w:p>
        </w:tc>
      </w:tr>
    </w:tbl>
    <w:p>
      <w:pPr>
        <w:pStyle w:val="APA"/>
        <w:ind w:firstLine="0"/>
        <w:jc w:val="left"/>
      </w:pPr>
      <w:r>
        <w:rPr>
          <w:i/>
        </w:rPr>
        <w:t>Nota.</w:t>
      </w:r>
      <w:r>
        <w:t xml:space="preserve"> Elaboración propia. La cobertura se mide con JaCoCo durante la fase verify de Maven.</w:t>
      </w:r>
    </w:p>
    <w:p>
      <w:pPr>
        <w:pStyle w:val="APA"/>
        <w:keepNext/>
        <w:ind w:firstLine="0"/>
        <w:jc w:val="left"/>
      </w:pPr>
      <w:r>
        <w:rPr>
          <w:b/>
        </w:rPr>
        <w:t>Entorno y Herramientas de Prueba</w:t>
      </w:r>
    </w:p>
    <w:p>
      <w:pPr>
        <w:pStyle w:val="APA"/>
        <w:jc w:val="left"/>
      </w:pPr>
      <w:r>
        <w:t>Todas las pruebas se ejecutan en GitHub Actions con el flujo construccion.yml, que ahora se dispara también con cada commit de la rama sprint3. El trabajo del backend usa Ubuntu, Temurin 17 y Maven con Spring Boot 3.3.4; las pruebas de integración levantan el contexto completo de Spring sobre la base H2 en memoria del perfil por defecto (Spring, s. f.; JUnit Team, s. f.). El trabajo de la interfaz instala Node 20 y Playwright 1.56, sirve la carpeta frontend como archivos estáticos y ejecuta los casos en Chromium sin backend, de modo que la interfaz opera en su modo de demostración (Microsoft, s. f.). Cada trabajo publica su informe de pruebas y conserva los resultados como artefactos descargables; la cobertura se resume con JaCoCo (Mountainminds GmbH &amp; Co. KG y colaboradores, s. f.).</w:t>
      </w:r>
    </w:p>
    <w:p>
      <w:pPr>
        <w:pStyle w:val="APA"/>
        <w:keepNext/>
        <w:ind w:firstLine="0"/>
        <w:jc w:val="left"/>
      </w:pPr>
      <w:r>
        <w:rPr>
          <w:b/>
        </w:rPr>
        <w:t>Casos de Prueba Ejecutados</w:t>
      </w:r>
    </w:p>
    <w:p>
      <w:pPr>
        <w:pStyle w:val="APA"/>
        <w:jc w:val="left"/>
      </w:pPr>
      <w:r>
        <w:t>Las Tablas 4 y 5 listan los casos nuevos de esta guía. Los 32 casos unitarios del Sprint 3 y del Sprint 1 se conservaron y se ejecutaron en la misma corrida.</w:t>
      </w:r>
    </w:p>
    <w:p>
      <w:pPr>
        <w:pStyle w:val="APA"/>
        <w:keepNext/>
        <w:ind w:firstLine="0"/>
      </w:pPr>
      <w:r>
        <w:rPr>
          <w:b/>
        </w:rPr>
        <w:t>Tabla 4</w:t>
      </w:r>
    </w:p>
    <w:p>
      <w:pPr>
        <w:pStyle w:val="APA"/>
        <w:keepNext/>
        <w:ind w:firstLine="0"/>
      </w:pPr>
      <w:r>
        <w:rPr>
          <w:i/>
        </w:rPr>
        <w:t>Casos de prueba de integración y transversales del backend</w:t>
      </w:r>
    </w:p>
    <w:tbl>
      <w:tblPr>
        <w:tblW w:type="dxa" w:w="9360"/>
        <w:tblLook w:firstColumn="1" w:firstRow="1" w:lastColumn="0" w:lastRow="0" w:noHBand="0" w:noVBand="1" w:val="04A0"/>
        <w:tblBorders>
          <w:top w:val="single" w:sz="8" w:space="0" w:color="000000"/>
          <w:bottom w:val="single" w:sz="8" w:space="0" w:color="000000"/>
          <w:left w:val="nil" w:sz="0" w:space="0" w:color="000000"/>
          <w:right w:val="nil" w:sz="0" w:space="0" w:color="000000"/>
          <w:insideV w:val="nil" w:sz="0" w:space="0" w:color="000000"/>
          <w:insideH w:val="nil" w:sz="0" w:space="0" w:color="000000"/>
        </w:tblBorders>
        <w:tblLayout w:type="fixed"/>
      </w:tblPr>
      <w:tblGrid>
        <w:gridCol w:w="1224"/>
        <w:gridCol w:w="3671"/>
        <w:gridCol w:w="3240"/>
        <w:gridCol w:w="1224"/>
      </w:tblGrid>
      <w:tr>
        <w:trPr>
          <w:cantSplit/>
          <w:tblHeader/>
        </w:trPr>
        <w:tc>
          <w:tcPr>
            <w:tcW w:type="dxa" w:w="1224"/>
            <w:tcBorders>
              <w:bottom w:val="single" w:sz="8" w:space="0" w:color="000000"/>
            </w:tcBorders>
          </w:tcPr>
          <w:p>
            <w:pPr>
              <w:spacing w:after="40" w:before="40" w:line="240" w:lineRule="auto"/>
              <w:ind w:firstLine="0"/>
            </w:pPr>
            <w:r>
              <w:rPr>
                <w:rFonts w:ascii="Times New Roman" w:hAnsi="Times New Roman"/>
                <w:b/>
                <w:sz w:val="20"/>
              </w:rPr>
              <w:t>ID</w:t>
            </w:r>
          </w:p>
        </w:tc>
        <w:tc>
          <w:tcPr>
            <w:tcW w:type="dxa" w:w="3672"/>
            <w:tcBorders>
              <w:bottom w:val="single" w:sz="8" w:space="0" w:color="000000"/>
            </w:tcBorders>
          </w:tcPr>
          <w:p>
            <w:pPr>
              <w:spacing w:after="40" w:before="40" w:line="240" w:lineRule="auto"/>
              <w:ind w:firstLine="0"/>
            </w:pPr>
            <w:r>
              <w:rPr>
                <w:rFonts w:ascii="Times New Roman" w:hAnsi="Times New Roman"/>
                <w:b/>
                <w:sz w:val="20"/>
              </w:rPr>
              <w:t>Caso</w:t>
            </w:r>
          </w:p>
        </w:tc>
        <w:tc>
          <w:tcPr>
            <w:tcW w:type="dxa" w:w="3240"/>
            <w:tcBorders>
              <w:bottom w:val="single" w:sz="8" w:space="0" w:color="000000"/>
            </w:tcBorders>
          </w:tcPr>
          <w:p>
            <w:pPr>
              <w:spacing w:after="40" w:before="40" w:line="240" w:lineRule="auto"/>
              <w:ind w:firstLine="0"/>
            </w:pPr>
            <w:r>
              <w:rPr>
                <w:rFonts w:ascii="Times New Roman" w:hAnsi="Times New Roman"/>
                <w:b/>
                <w:sz w:val="20"/>
              </w:rPr>
              <w:t>Resultado esperado</w:t>
            </w:r>
          </w:p>
        </w:tc>
        <w:tc>
          <w:tcPr>
            <w:tcW w:type="dxa" w:w="1224"/>
            <w:tcBorders>
              <w:bottom w:val="single" w:sz="8" w:space="0" w:color="000000"/>
            </w:tcBorders>
          </w:tcPr>
          <w:p>
            <w:pPr>
              <w:spacing w:after="40" w:before="40" w:line="240" w:lineRule="auto"/>
              <w:ind w:firstLine="0"/>
            </w:pPr>
            <w:r>
              <w:rPr>
                <w:rFonts w:ascii="Times New Roman" w:hAnsi="Times New Roman"/>
                <w:b/>
                <w:sz w:val="20"/>
              </w:rPr>
              <w:t>Estado</w:t>
            </w:r>
          </w:p>
        </w:tc>
      </w:tr>
      <w:tr>
        <w:trPr>
          <w:cantSplit/>
        </w:trPr>
        <w:tc>
          <w:tcPr>
            <w:tcW w:type="dxa" w:w="1224"/>
          </w:tcPr>
          <w:p>
            <w:pPr>
              <w:spacing w:after="40" w:before="40" w:line="240" w:lineRule="auto"/>
              <w:ind w:firstLine="0"/>
            </w:pPr>
            <w:r>
              <w:rPr>
                <w:rFonts w:ascii="Times New Roman" w:hAnsi="Times New Roman"/>
                <w:sz w:val="20"/>
              </w:rPr>
              <w:t>CP-07.1</w:t>
            </w:r>
          </w:p>
        </w:tc>
        <w:tc>
          <w:tcPr>
            <w:tcW w:type="dxa" w:w="3672"/>
          </w:tcPr>
          <w:p>
            <w:pPr>
              <w:spacing w:after="40" w:before="40" w:line="240" w:lineRule="auto"/>
              <w:ind w:firstLine="0"/>
            </w:pPr>
            <w:r>
              <w:rPr>
                <w:rFonts w:ascii="Times New Roman" w:hAnsi="Times New Roman"/>
                <w:sz w:val="20"/>
              </w:rPr>
              <w:t>Liquidación del caso de referencia con rol de nómina</w:t>
            </w:r>
          </w:p>
        </w:tc>
        <w:tc>
          <w:tcPr>
            <w:tcW w:type="dxa" w:w="3240"/>
          </w:tcPr>
          <w:p>
            <w:pPr>
              <w:spacing w:after="40" w:before="40" w:line="240" w:lineRule="auto"/>
              <w:ind w:firstLine="0"/>
            </w:pPr>
            <w:r>
              <w:rPr>
                <w:rFonts w:ascii="Times New Roman" w:hAnsi="Times New Roman"/>
                <w:sz w:val="20"/>
              </w:rPr>
              <w:t>200; 270 días y total 6.372.159</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CP-07.2</w:t>
            </w:r>
          </w:p>
        </w:tc>
        <w:tc>
          <w:tcPr>
            <w:tcW w:type="dxa" w:w="3672"/>
          </w:tcPr>
          <w:p>
            <w:pPr>
              <w:spacing w:after="40" w:before="40" w:line="240" w:lineRule="auto"/>
              <w:ind w:firstLine="0"/>
            </w:pPr>
            <w:r>
              <w:rPr>
                <w:rFonts w:ascii="Times New Roman" w:hAnsi="Times New Roman"/>
                <w:sz w:val="20"/>
              </w:rPr>
              <w:t>Contrato a término fijo sin vencimiento pactado</w:t>
            </w:r>
          </w:p>
        </w:tc>
        <w:tc>
          <w:tcPr>
            <w:tcW w:type="dxa" w:w="3240"/>
          </w:tcPr>
          <w:p>
            <w:pPr>
              <w:spacing w:after="40" w:before="40" w:line="240" w:lineRule="auto"/>
              <w:ind w:firstLine="0"/>
            </w:pPr>
            <w:r>
              <w:rPr>
                <w:rFonts w:ascii="Times New Roman" w:hAnsi="Times New Roman"/>
                <w:sz w:val="20"/>
              </w:rPr>
              <w:t>400</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CP-07.3</w:t>
            </w:r>
          </w:p>
        </w:tc>
        <w:tc>
          <w:tcPr>
            <w:tcW w:type="dxa" w:w="3672"/>
          </w:tcPr>
          <w:p>
            <w:pPr>
              <w:spacing w:after="40" w:before="40" w:line="240" w:lineRule="auto"/>
              <w:ind w:firstLine="0"/>
            </w:pPr>
            <w:r>
              <w:rPr>
                <w:rFonts w:ascii="Times New Roman" w:hAnsi="Times New Roman"/>
                <w:sz w:val="20"/>
              </w:rPr>
              <w:t>Salario negativo</w:t>
            </w:r>
          </w:p>
        </w:tc>
        <w:tc>
          <w:tcPr>
            <w:tcW w:type="dxa" w:w="3240"/>
          </w:tcPr>
          <w:p>
            <w:pPr>
              <w:spacing w:after="40" w:before="40" w:line="240" w:lineRule="auto"/>
              <w:ind w:firstLine="0"/>
            </w:pPr>
            <w:r>
              <w:rPr>
                <w:rFonts w:ascii="Times New Roman" w:hAnsi="Times New Roman"/>
                <w:sz w:val="20"/>
              </w:rPr>
              <w:t>400 con el mensaje del campo salarioMensual</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CP-07.4</w:t>
            </w:r>
          </w:p>
        </w:tc>
        <w:tc>
          <w:tcPr>
            <w:tcW w:type="dxa" w:w="3672"/>
          </w:tcPr>
          <w:p>
            <w:pPr>
              <w:spacing w:after="40" w:before="40" w:line="240" w:lineRule="auto"/>
              <w:ind w:firstLine="0"/>
            </w:pPr>
            <w:r>
              <w:rPr>
                <w:rFonts w:ascii="Times New Roman" w:hAnsi="Times New Roman"/>
                <w:sz w:val="20"/>
              </w:rPr>
              <w:t>Fecha de ingreso nula</w:t>
            </w:r>
          </w:p>
        </w:tc>
        <w:tc>
          <w:tcPr>
            <w:tcW w:type="dxa" w:w="3240"/>
          </w:tcPr>
          <w:p>
            <w:pPr>
              <w:spacing w:after="40" w:before="40" w:line="240" w:lineRule="auto"/>
              <w:ind w:firstLine="0"/>
            </w:pPr>
            <w:r>
              <w:rPr>
                <w:rFonts w:ascii="Times New Roman" w:hAnsi="Times New Roman"/>
                <w:sz w:val="20"/>
              </w:rPr>
              <w:t>400 con el detalle del campo fechaIngreso</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CP-08.1</w:t>
            </w:r>
          </w:p>
        </w:tc>
        <w:tc>
          <w:tcPr>
            <w:tcW w:type="dxa" w:w="3672"/>
          </w:tcPr>
          <w:p>
            <w:pPr>
              <w:spacing w:after="40" w:before="40" w:line="240" w:lineRule="auto"/>
              <w:ind w:firstLine="0"/>
            </w:pPr>
            <w:r>
              <w:rPr>
                <w:rFonts w:ascii="Times New Roman" w:hAnsi="Times New Roman"/>
                <w:sz w:val="20"/>
              </w:rPr>
              <w:t>Salida de 16 cajas de EMB-001 (40 a 24, umbral 25)</w:t>
            </w:r>
          </w:p>
        </w:tc>
        <w:tc>
          <w:tcPr>
            <w:tcW w:type="dxa" w:w="3240"/>
          </w:tcPr>
          <w:p>
            <w:pPr>
              <w:spacing w:after="40" w:before="40" w:line="240" w:lineRule="auto"/>
              <w:ind w:firstLine="0"/>
            </w:pPr>
            <w:r>
              <w:rPr>
                <w:rFonts w:ascii="Times New Roman" w:hAnsi="Times New Roman"/>
                <w:sz w:val="20"/>
              </w:rPr>
              <w:t>Estado CRITICO y una alerta pendiente</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CP-08.2</w:t>
            </w:r>
          </w:p>
        </w:tc>
        <w:tc>
          <w:tcPr>
            <w:tcW w:type="dxa" w:w="3672"/>
          </w:tcPr>
          <w:p>
            <w:pPr>
              <w:spacing w:after="40" w:before="40" w:line="240" w:lineRule="auto"/>
              <w:ind w:firstLine="0"/>
            </w:pPr>
            <w:r>
              <w:rPr>
                <w:rFonts w:ascii="Times New Roman" w:hAnsi="Times New Roman"/>
                <w:sz w:val="20"/>
              </w:rPr>
              <w:t>Reposición de 10 cajas tras la alerta</w:t>
            </w:r>
          </w:p>
        </w:tc>
        <w:tc>
          <w:tcPr>
            <w:tcW w:type="dxa" w:w="3240"/>
          </w:tcPr>
          <w:p>
            <w:pPr>
              <w:spacing w:after="40" w:before="40" w:line="240" w:lineRule="auto"/>
              <w:ind w:firstLine="0"/>
            </w:pPr>
            <w:r>
              <w:rPr>
                <w:rFonts w:ascii="Times New Roman" w:hAnsi="Times New Roman"/>
                <w:sz w:val="20"/>
              </w:rPr>
              <w:t>Stock 34, estado NORMAL, sin alertas</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CP-08.3</w:t>
            </w:r>
          </w:p>
        </w:tc>
        <w:tc>
          <w:tcPr>
            <w:tcW w:type="dxa" w:w="3672"/>
          </w:tcPr>
          <w:p>
            <w:pPr>
              <w:spacing w:after="40" w:before="40" w:line="240" w:lineRule="auto"/>
              <w:ind w:firstLine="0"/>
            </w:pPr>
            <w:r>
              <w:rPr>
                <w:rFonts w:ascii="Times New Roman" w:hAnsi="Times New Roman"/>
                <w:sz w:val="20"/>
              </w:rPr>
              <w:t>Salida mayor al stock disponible</w:t>
            </w:r>
          </w:p>
        </w:tc>
        <w:tc>
          <w:tcPr>
            <w:tcW w:type="dxa" w:w="3240"/>
          </w:tcPr>
          <w:p>
            <w:pPr>
              <w:spacing w:after="40" w:before="40" w:line="240" w:lineRule="auto"/>
              <w:ind w:firstLine="0"/>
            </w:pPr>
            <w:r>
              <w:rPr>
                <w:rFonts w:ascii="Times New Roman" w:hAnsi="Times New Roman"/>
                <w:sz w:val="20"/>
              </w:rPr>
              <w:t>400</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CP-08.4</w:t>
            </w:r>
          </w:p>
        </w:tc>
        <w:tc>
          <w:tcPr>
            <w:tcW w:type="dxa" w:w="3672"/>
          </w:tcPr>
          <w:p>
            <w:pPr>
              <w:spacing w:after="40" w:before="40" w:line="240" w:lineRule="auto"/>
              <w:ind w:firstLine="0"/>
            </w:pPr>
            <w:r>
              <w:rPr>
                <w:rFonts w:ascii="Times New Roman" w:hAnsi="Times New Roman"/>
                <w:sz w:val="20"/>
              </w:rPr>
              <w:t>Código de ítem inexistente</w:t>
            </w:r>
          </w:p>
        </w:tc>
        <w:tc>
          <w:tcPr>
            <w:tcW w:type="dxa" w:w="3240"/>
          </w:tcPr>
          <w:p>
            <w:pPr>
              <w:spacing w:after="40" w:before="40" w:line="240" w:lineRule="auto"/>
              <w:ind w:firstLine="0"/>
            </w:pPr>
            <w:r>
              <w:rPr>
                <w:rFonts w:ascii="Times New Roman" w:hAnsi="Times New Roman"/>
                <w:sz w:val="20"/>
              </w:rPr>
              <w:t>404</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CP-09.1</w:t>
            </w:r>
          </w:p>
        </w:tc>
        <w:tc>
          <w:tcPr>
            <w:tcW w:type="dxa" w:w="3672"/>
          </w:tcPr>
          <w:p>
            <w:pPr>
              <w:spacing w:after="40" w:before="40" w:line="240" w:lineRule="auto"/>
              <w:ind w:firstLine="0"/>
            </w:pPr>
            <w:r>
              <w:rPr>
                <w:rFonts w:ascii="Times New Roman" w:hAnsi="Times New Roman"/>
                <w:sz w:val="20"/>
              </w:rPr>
              <w:t>Administrador llama a la liquidación</w:t>
            </w:r>
          </w:p>
        </w:tc>
        <w:tc>
          <w:tcPr>
            <w:tcW w:type="dxa" w:w="3240"/>
          </w:tcPr>
          <w:p>
            <w:pPr>
              <w:spacing w:after="40" w:before="40" w:line="240" w:lineRule="auto"/>
              <w:ind w:firstLine="0"/>
            </w:pPr>
            <w:r>
              <w:rPr>
                <w:rFonts w:ascii="Times New Roman" w:hAnsi="Times New Roman"/>
                <w:sz w:val="20"/>
              </w:rPr>
              <w:t>403</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CP-09.2</w:t>
            </w:r>
          </w:p>
        </w:tc>
        <w:tc>
          <w:tcPr>
            <w:tcW w:type="dxa" w:w="3672"/>
          </w:tcPr>
          <w:p>
            <w:pPr>
              <w:spacing w:after="40" w:before="40" w:line="240" w:lineRule="auto"/>
              <w:ind w:firstLine="0"/>
            </w:pPr>
            <w:r>
              <w:rPr>
                <w:rFonts w:ascii="Times New Roman" w:hAnsi="Times New Roman"/>
                <w:sz w:val="20"/>
              </w:rPr>
              <w:t>Petición sin cabecera de rol</w:t>
            </w:r>
          </w:p>
        </w:tc>
        <w:tc>
          <w:tcPr>
            <w:tcW w:type="dxa" w:w="3240"/>
          </w:tcPr>
          <w:p>
            <w:pPr>
              <w:spacing w:after="40" w:before="40" w:line="240" w:lineRule="auto"/>
              <w:ind w:firstLine="0"/>
            </w:pPr>
            <w:r>
              <w:rPr>
                <w:rFonts w:ascii="Times New Roman" w:hAnsi="Times New Roman"/>
                <w:sz w:val="20"/>
              </w:rPr>
              <w:t>403</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CP-09.3</w:t>
            </w:r>
          </w:p>
        </w:tc>
        <w:tc>
          <w:tcPr>
            <w:tcW w:type="dxa" w:w="3672"/>
          </w:tcPr>
          <w:p>
            <w:pPr>
              <w:spacing w:after="40" w:before="40" w:line="240" w:lineRule="auto"/>
              <w:ind w:firstLine="0"/>
            </w:pPr>
            <w:r>
              <w:rPr>
                <w:rFonts w:ascii="Times New Roman" w:hAnsi="Times New Roman"/>
                <w:sz w:val="20"/>
              </w:rPr>
              <w:t>Auditor lee el inventario e intenta una salida</w:t>
            </w:r>
          </w:p>
        </w:tc>
        <w:tc>
          <w:tcPr>
            <w:tcW w:type="dxa" w:w="3240"/>
          </w:tcPr>
          <w:p>
            <w:pPr>
              <w:spacing w:after="40" w:before="40" w:line="240" w:lineRule="auto"/>
              <w:ind w:firstLine="0"/>
            </w:pPr>
            <w:r>
              <w:rPr>
                <w:rFonts w:ascii="Times New Roman" w:hAnsi="Times New Roman"/>
                <w:sz w:val="20"/>
              </w:rPr>
              <w:t>200 en lectura y 403 en la salida</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CP-09.4</w:t>
            </w:r>
          </w:p>
        </w:tc>
        <w:tc>
          <w:tcPr>
            <w:tcW w:type="dxa" w:w="3672"/>
          </w:tcPr>
          <w:p>
            <w:pPr>
              <w:spacing w:after="40" w:before="40" w:line="240" w:lineRule="auto"/>
              <w:ind w:firstLine="0"/>
            </w:pPr>
            <w:r>
              <w:rPr>
                <w:rFonts w:ascii="Times New Roman" w:hAnsi="Times New Roman"/>
                <w:sz w:val="20"/>
              </w:rPr>
              <w:t>Menú del catalogador</w:t>
            </w:r>
          </w:p>
        </w:tc>
        <w:tc>
          <w:tcPr>
            <w:tcW w:type="dxa" w:w="3240"/>
          </w:tcPr>
          <w:p>
            <w:pPr>
              <w:spacing w:after="40" w:before="40" w:line="240" w:lineRule="auto"/>
              <w:ind w:firstLine="0"/>
            </w:pPr>
            <w:r>
              <w:rPr>
                <w:rFonts w:ascii="Times New Roman" w:hAnsi="Times New Roman"/>
                <w:sz w:val="20"/>
              </w:rPr>
              <w:t>Catálogo e inventario, sin nómina</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CP-09.5</w:t>
            </w:r>
          </w:p>
        </w:tc>
        <w:tc>
          <w:tcPr>
            <w:tcW w:type="dxa" w:w="3672"/>
          </w:tcPr>
          <w:p>
            <w:pPr>
              <w:spacing w:after="40" w:before="40" w:line="240" w:lineRule="auto"/>
              <w:ind w:firstLine="0"/>
            </w:pPr>
            <w:r>
              <w:rPr>
                <w:rFonts w:ascii="Times New Roman" w:hAnsi="Times New Roman"/>
                <w:sz w:val="20"/>
              </w:rPr>
              <w:t>Pista de auditoría con rol auditor y con administrador</w:t>
            </w:r>
          </w:p>
        </w:tc>
        <w:tc>
          <w:tcPr>
            <w:tcW w:type="dxa" w:w="3240"/>
          </w:tcPr>
          <w:p>
            <w:pPr>
              <w:spacing w:after="40" w:before="40" w:line="240" w:lineRule="auto"/>
              <w:ind w:firstLine="0"/>
            </w:pPr>
            <w:r>
              <w:rPr>
                <w:rFonts w:ascii="Times New Roman" w:hAnsi="Times New Roman"/>
                <w:sz w:val="20"/>
              </w:rPr>
              <w:t>200 y 403</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CP-11.1</w:t>
            </w:r>
          </w:p>
        </w:tc>
        <w:tc>
          <w:tcPr>
            <w:tcW w:type="dxa" w:w="3672"/>
          </w:tcPr>
          <w:p>
            <w:pPr>
              <w:spacing w:after="40" w:before="40" w:line="240" w:lineRule="auto"/>
              <w:ind w:firstLine="0"/>
            </w:pPr>
            <w:r>
              <w:rPr>
                <w:rFonts w:ascii="Times New Roman" w:hAnsi="Times New Roman"/>
                <w:sz w:val="20"/>
              </w:rPr>
              <w:t>Inicio de sesión sin clave secreta de reCAPTCHA</w:t>
            </w:r>
          </w:p>
        </w:tc>
        <w:tc>
          <w:tcPr>
            <w:tcW w:type="dxa" w:w="3240"/>
          </w:tcPr>
          <w:p>
            <w:pPr>
              <w:spacing w:after="40" w:before="40" w:line="240" w:lineRule="auto"/>
              <w:ind w:firstLine="0"/>
            </w:pPr>
            <w:r>
              <w:rPr>
                <w:rFonts w:ascii="Times New Roman" w:hAnsi="Times New Roman"/>
                <w:sz w:val="20"/>
              </w:rPr>
              <w:t>401 aunque la contraseña sea correcta</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CP-11.2</w:t>
            </w:r>
          </w:p>
        </w:tc>
        <w:tc>
          <w:tcPr>
            <w:tcW w:type="dxa" w:w="3672"/>
          </w:tcPr>
          <w:p>
            <w:pPr>
              <w:spacing w:after="40" w:before="40" w:line="240" w:lineRule="auto"/>
              <w:ind w:firstLine="0"/>
            </w:pPr>
            <w:r>
              <w:rPr>
                <w:rFonts w:ascii="Times New Roman" w:hAnsi="Times New Roman"/>
                <w:sz w:val="20"/>
              </w:rPr>
              <w:t>Inicio de sesión sin token de verificación</w:t>
            </w:r>
          </w:p>
        </w:tc>
        <w:tc>
          <w:tcPr>
            <w:tcW w:type="dxa" w:w="3240"/>
          </w:tcPr>
          <w:p>
            <w:pPr>
              <w:spacing w:after="40" w:before="40" w:line="240" w:lineRule="auto"/>
              <w:ind w:firstLine="0"/>
            </w:pPr>
            <w:r>
              <w:rPr>
                <w:rFonts w:ascii="Times New Roman" w:hAnsi="Times New Roman"/>
                <w:sz w:val="20"/>
              </w:rPr>
              <w:t>400 con el detalle del campo</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CP-REL.1</w:t>
            </w:r>
          </w:p>
        </w:tc>
        <w:tc>
          <w:tcPr>
            <w:tcW w:type="dxa" w:w="3672"/>
          </w:tcPr>
          <w:p>
            <w:pPr>
              <w:spacing w:after="40" w:before="40" w:line="240" w:lineRule="auto"/>
              <w:ind w:firstLine="0"/>
            </w:pPr>
            <w:r>
              <w:rPr>
                <w:rFonts w:ascii="Times New Roman" w:hAnsi="Times New Roman"/>
                <w:sz w:val="20"/>
              </w:rPr>
              <w:t>Sonda de salud del servicio</w:t>
            </w:r>
          </w:p>
        </w:tc>
        <w:tc>
          <w:tcPr>
            <w:tcW w:type="dxa" w:w="3240"/>
          </w:tcPr>
          <w:p>
            <w:pPr>
              <w:spacing w:after="40" w:before="40" w:line="240" w:lineRule="auto"/>
              <w:ind w:firstLine="0"/>
            </w:pPr>
            <w:r>
              <w:rPr>
                <w:rFonts w:ascii="Times New Roman" w:hAnsi="Times New Roman"/>
                <w:sz w:val="20"/>
              </w:rPr>
              <w:t>200 con estado UP</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224"/>
          </w:tcPr>
          <w:p>
            <w:pPr>
              <w:spacing w:after="40" w:before="40" w:line="240" w:lineRule="auto"/>
              <w:ind w:firstLine="0"/>
            </w:pPr>
            <w:r>
              <w:rPr>
                <w:rFonts w:ascii="Times New Roman" w:hAnsi="Times New Roman"/>
                <w:sz w:val="20"/>
              </w:rPr>
              <w:t>CP-PERF.1</w:t>
            </w:r>
          </w:p>
        </w:tc>
        <w:tc>
          <w:tcPr>
            <w:tcW w:type="dxa" w:w="3672"/>
          </w:tcPr>
          <w:p>
            <w:pPr>
              <w:spacing w:after="40" w:before="40" w:line="240" w:lineRule="auto"/>
              <w:ind w:firstLine="0"/>
            </w:pPr>
            <w:r>
              <w:rPr>
                <w:rFonts w:ascii="Times New Roman" w:hAnsi="Times New Roman"/>
                <w:sz w:val="20"/>
              </w:rPr>
              <w:t>10.000 liquidaciones consecutivas</w:t>
            </w:r>
          </w:p>
        </w:tc>
        <w:tc>
          <w:tcPr>
            <w:tcW w:type="dxa" w:w="3240"/>
          </w:tcPr>
          <w:p>
            <w:pPr>
              <w:spacing w:after="40" w:before="40" w:line="240" w:lineRule="auto"/>
              <w:ind w:firstLine="0"/>
            </w:pPr>
            <w:r>
              <w:rPr>
                <w:rFonts w:ascii="Times New Roman" w:hAnsi="Times New Roman"/>
                <w:sz w:val="20"/>
              </w:rPr>
              <w:t>Menos de 5 s y total estable</w:t>
            </w:r>
          </w:p>
        </w:tc>
        <w:tc>
          <w:tcPr>
            <w:tcW w:type="dxa" w:w="1224"/>
          </w:tcPr>
          <w:p>
            <w:pPr>
              <w:spacing w:after="40" w:before="40" w:line="240" w:lineRule="auto"/>
              <w:ind w:firstLine="0"/>
            </w:pPr>
            <w:r>
              <w:rPr>
                <w:rFonts w:ascii="Times New Roman" w:hAnsi="Times New Roman"/>
                <w:sz w:val="20"/>
              </w:rPr>
              <w:t>Aprobado</w:t>
            </w:r>
          </w:p>
        </w:tc>
      </w:tr>
    </w:tbl>
    <w:p>
      <w:pPr>
        <w:pStyle w:val="APA"/>
        <w:ind w:firstLine="0"/>
        <w:jc w:val="left"/>
      </w:pPr>
      <w:r>
        <w:rPr>
          <w:i/>
        </w:rPr>
        <w:t>Nota.</w:t>
      </w:r>
      <w:r>
        <w:t xml:space="preserve"> Elaboración propia. Clases LiquidacionApiTest, InventarioApiTest, SeguridadApiTest y CalculadoraLiquidacionRendimientoTest, ejecución 36904479555 de GitHub Actions.</w:t>
      </w:r>
    </w:p>
    <w:p>
      <w:pPr>
        <w:pStyle w:val="APA"/>
        <w:keepNext/>
        <w:ind w:firstLine="0"/>
      </w:pPr>
      <w:r>
        <w:rPr>
          <w:b/>
        </w:rPr>
        <w:t>Tabla 5</w:t>
      </w:r>
    </w:p>
    <w:p>
      <w:pPr>
        <w:pStyle w:val="APA"/>
        <w:keepNext/>
        <w:ind w:firstLine="0"/>
      </w:pPr>
      <w:r>
        <w:rPr>
          <w:i/>
        </w:rPr>
        <w:t>Casos de prueba de extremo a extremo de la interfaz</w:t>
      </w:r>
    </w:p>
    <w:tbl>
      <w:tblPr>
        <w:tblW w:type="dxa" w:w="9360"/>
        <w:tblLook w:firstColumn="1" w:firstRow="1" w:lastColumn="0" w:lastRow="0" w:noHBand="0" w:noVBand="1" w:val="04A0"/>
        <w:tblBorders>
          <w:top w:val="single" w:sz="8" w:space="0" w:color="000000"/>
          <w:bottom w:val="single" w:sz="8" w:space="0" w:color="000000"/>
          <w:left w:val="nil" w:sz="0" w:space="0" w:color="000000"/>
          <w:right w:val="nil" w:sz="0" w:space="0" w:color="000000"/>
          <w:insideV w:val="nil" w:sz="0" w:space="0" w:color="000000"/>
          <w:insideH w:val="nil" w:sz="0" w:space="0" w:color="000000"/>
        </w:tblBorders>
        <w:tblLayout w:type="fixed"/>
      </w:tblPr>
      <w:tblGrid>
        <w:gridCol w:w="1368"/>
        <w:gridCol w:w="1080"/>
        <w:gridCol w:w="5688"/>
        <w:gridCol w:w="1224"/>
      </w:tblGrid>
      <w:tr>
        <w:trPr>
          <w:cantSplit/>
          <w:tblHeader/>
        </w:trPr>
        <w:tc>
          <w:tcPr>
            <w:tcW w:type="dxa" w:w="1368"/>
            <w:tcBorders>
              <w:bottom w:val="single" w:sz="8" w:space="0" w:color="000000"/>
            </w:tcBorders>
          </w:tcPr>
          <w:p>
            <w:pPr>
              <w:spacing w:after="40" w:before="40" w:line="240" w:lineRule="auto"/>
              <w:ind w:firstLine="0"/>
            </w:pPr>
            <w:r>
              <w:rPr>
                <w:rFonts w:ascii="Times New Roman" w:hAnsi="Times New Roman"/>
                <w:b/>
                <w:sz w:val="20"/>
              </w:rPr>
              <w:t>ID</w:t>
            </w:r>
          </w:p>
        </w:tc>
        <w:tc>
          <w:tcPr>
            <w:tcW w:type="dxa" w:w="1080"/>
            <w:tcBorders>
              <w:bottom w:val="single" w:sz="8" w:space="0" w:color="000000"/>
            </w:tcBorders>
          </w:tcPr>
          <w:p>
            <w:pPr>
              <w:spacing w:after="40" w:before="40" w:line="240" w:lineRule="auto"/>
              <w:ind w:firstLine="0"/>
            </w:pPr>
            <w:r>
              <w:rPr>
                <w:rFonts w:ascii="Times New Roman" w:hAnsi="Times New Roman"/>
                <w:b/>
                <w:sz w:val="20"/>
              </w:rPr>
              <w:t>Historia</w:t>
            </w:r>
          </w:p>
        </w:tc>
        <w:tc>
          <w:tcPr>
            <w:tcW w:type="dxa" w:w="5688"/>
            <w:tcBorders>
              <w:bottom w:val="single" w:sz="8" w:space="0" w:color="000000"/>
            </w:tcBorders>
          </w:tcPr>
          <w:p>
            <w:pPr>
              <w:spacing w:after="40" w:before="40" w:line="240" w:lineRule="auto"/>
              <w:ind w:firstLine="0"/>
            </w:pPr>
            <w:r>
              <w:rPr>
                <w:rFonts w:ascii="Times New Roman" w:hAnsi="Times New Roman"/>
                <w:b/>
                <w:sz w:val="20"/>
              </w:rPr>
              <w:t>Caso</w:t>
            </w:r>
          </w:p>
        </w:tc>
        <w:tc>
          <w:tcPr>
            <w:tcW w:type="dxa" w:w="1224"/>
            <w:tcBorders>
              <w:bottom w:val="single" w:sz="8" w:space="0" w:color="000000"/>
            </w:tcBorders>
          </w:tcPr>
          <w:p>
            <w:pPr>
              <w:spacing w:after="40" w:before="40" w:line="240" w:lineRule="auto"/>
              <w:ind w:firstLine="0"/>
            </w:pPr>
            <w:r>
              <w:rPr>
                <w:rFonts w:ascii="Times New Roman" w:hAnsi="Times New Roman"/>
                <w:b/>
                <w:sz w:val="20"/>
              </w:rPr>
              <w:t>Estado</w:t>
            </w:r>
          </w:p>
        </w:tc>
      </w:tr>
      <w:tr>
        <w:trPr>
          <w:cantSplit/>
        </w:trPr>
        <w:tc>
          <w:tcPr>
            <w:tcW w:type="dxa" w:w="1368"/>
          </w:tcPr>
          <w:p>
            <w:pPr>
              <w:spacing w:after="40" w:before="40" w:line="240" w:lineRule="auto"/>
              <w:ind w:firstLine="0"/>
            </w:pPr>
            <w:r>
              <w:rPr>
                <w:rFonts w:ascii="Times New Roman" w:hAnsi="Times New Roman"/>
                <w:sz w:val="20"/>
              </w:rPr>
              <w:t>CP-E2E-01</w:t>
            </w:r>
          </w:p>
        </w:tc>
        <w:tc>
          <w:tcPr>
            <w:tcW w:type="dxa" w:w="1080"/>
          </w:tcPr>
          <w:p>
            <w:pPr>
              <w:spacing w:after="40" w:before="40" w:line="240" w:lineRule="auto"/>
              <w:ind w:firstLine="0"/>
            </w:pPr>
            <w:r>
              <w:rPr>
                <w:rFonts w:ascii="Times New Roman" w:hAnsi="Times New Roman"/>
                <w:sz w:val="20"/>
              </w:rPr>
              <w:t>HU-07</w:t>
            </w:r>
          </w:p>
        </w:tc>
        <w:tc>
          <w:tcPr>
            <w:tcW w:type="dxa" w:w="5688"/>
          </w:tcPr>
          <w:p>
            <w:pPr>
              <w:spacing w:after="40" w:before="40" w:line="240" w:lineRule="auto"/>
              <w:ind w:firstLine="0"/>
            </w:pPr>
            <w:r>
              <w:rPr>
                <w:rFonts w:ascii="Times New Roman" w:hAnsi="Times New Roman"/>
                <w:sz w:val="20"/>
              </w:rPr>
              <w:t>El responsable de nómina liquida el caso de referencia por $6.372.159</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CP-E2E-02</w:t>
            </w:r>
          </w:p>
        </w:tc>
        <w:tc>
          <w:tcPr>
            <w:tcW w:type="dxa" w:w="1080"/>
          </w:tcPr>
          <w:p>
            <w:pPr>
              <w:spacing w:after="40" w:before="40" w:line="240" w:lineRule="auto"/>
              <w:ind w:firstLine="0"/>
            </w:pPr>
            <w:r>
              <w:rPr>
                <w:rFonts w:ascii="Times New Roman" w:hAnsi="Times New Roman"/>
                <w:sz w:val="20"/>
              </w:rPr>
              <w:t>HU-07</w:t>
            </w:r>
          </w:p>
        </w:tc>
        <w:tc>
          <w:tcPr>
            <w:tcW w:type="dxa" w:w="5688"/>
          </w:tcPr>
          <w:p>
            <w:pPr>
              <w:spacing w:after="40" w:before="40" w:line="240" w:lineRule="auto"/>
              <w:ind w:firstLine="0"/>
            </w:pPr>
            <w:r>
              <w:rPr>
                <w:rFonts w:ascii="Times New Roman" w:hAnsi="Times New Roman"/>
                <w:sz w:val="20"/>
              </w:rPr>
              <w:t>El término fijo muestra el vencimiento pactado y paga $11.372.159</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CP-E2E-03</w:t>
            </w:r>
          </w:p>
        </w:tc>
        <w:tc>
          <w:tcPr>
            <w:tcW w:type="dxa" w:w="1080"/>
          </w:tcPr>
          <w:p>
            <w:pPr>
              <w:spacing w:after="40" w:before="40" w:line="240" w:lineRule="auto"/>
              <w:ind w:firstLine="0"/>
            </w:pPr>
            <w:r>
              <w:rPr>
                <w:rFonts w:ascii="Times New Roman" w:hAnsi="Times New Roman"/>
                <w:sz w:val="20"/>
              </w:rPr>
              <w:t>HU-07</w:t>
            </w:r>
          </w:p>
        </w:tc>
        <w:tc>
          <w:tcPr>
            <w:tcW w:type="dxa" w:w="5688"/>
          </w:tcPr>
          <w:p>
            <w:pPr>
              <w:spacing w:after="40" w:before="40" w:line="240" w:lineRule="auto"/>
              <w:ind w:firstLine="0"/>
            </w:pPr>
            <w:r>
              <w:rPr>
                <w:rFonts w:ascii="Times New Roman" w:hAnsi="Times New Roman"/>
                <w:sz w:val="20"/>
              </w:rPr>
              <w:t>Un salario en cero se detiene en el formulario con su mensaje</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CP-E2E-04</w:t>
            </w:r>
          </w:p>
        </w:tc>
        <w:tc>
          <w:tcPr>
            <w:tcW w:type="dxa" w:w="1080"/>
          </w:tcPr>
          <w:p>
            <w:pPr>
              <w:spacing w:after="40" w:before="40" w:line="240" w:lineRule="auto"/>
              <w:ind w:firstLine="0"/>
            </w:pPr>
            <w:r>
              <w:rPr>
                <w:rFonts w:ascii="Times New Roman" w:hAnsi="Times New Roman"/>
                <w:sz w:val="20"/>
              </w:rPr>
              <w:t>HU-08</w:t>
            </w:r>
          </w:p>
        </w:tc>
        <w:tc>
          <w:tcPr>
            <w:tcW w:type="dxa" w:w="5688"/>
          </w:tcPr>
          <w:p>
            <w:pPr>
              <w:spacing w:after="40" w:before="40" w:line="240" w:lineRule="auto"/>
              <w:ind w:firstLine="0"/>
            </w:pPr>
            <w:r>
              <w:rPr>
                <w:rFonts w:ascii="Times New Roman" w:hAnsi="Times New Roman"/>
                <w:sz w:val="20"/>
              </w:rPr>
              <w:t>Una salida de 16 cajas deja EMB-001 en crítico y enciende la campana</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CP-E2E-05</w:t>
            </w:r>
          </w:p>
        </w:tc>
        <w:tc>
          <w:tcPr>
            <w:tcW w:type="dxa" w:w="1080"/>
          </w:tcPr>
          <w:p>
            <w:pPr>
              <w:spacing w:after="40" w:before="40" w:line="240" w:lineRule="auto"/>
              <w:ind w:firstLine="0"/>
            </w:pPr>
            <w:r>
              <w:rPr>
                <w:rFonts w:ascii="Times New Roman" w:hAnsi="Times New Roman"/>
                <w:sz w:val="20"/>
              </w:rPr>
              <w:t>HU-08</w:t>
            </w:r>
          </w:p>
        </w:tc>
        <w:tc>
          <w:tcPr>
            <w:tcW w:type="dxa" w:w="5688"/>
          </w:tcPr>
          <w:p>
            <w:pPr>
              <w:spacing w:after="40" w:before="40" w:line="240" w:lineRule="auto"/>
              <w:ind w:firstLine="0"/>
            </w:pPr>
            <w:r>
              <w:rPr>
                <w:rFonts w:ascii="Times New Roman" w:hAnsi="Times New Roman"/>
                <w:sz w:val="20"/>
              </w:rPr>
              <w:t>Una segunda salida no repite la alerta y la reposición la cierra</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CP-E2E-06</w:t>
            </w:r>
          </w:p>
        </w:tc>
        <w:tc>
          <w:tcPr>
            <w:tcW w:type="dxa" w:w="1080"/>
          </w:tcPr>
          <w:p>
            <w:pPr>
              <w:spacing w:after="40" w:before="40" w:line="240" w:lineRule="auto"/>
              <w:ind w:firstLine="0"/>
            </w:pPr>
            <w:r>
              <w:rPr>
                <w:rFonts w:ascii="Times New Roman" w:hAnsi="Times New Roman"/>
                <w:sz w:val="20"/>
              </w:rPr>
              <w:t>HU-09</w:t>
            </w:r>
          </w:p>
        </w:tc>
        <w:tc>
          <w:tcPr>
            <w:tcW w:type="dxa" w:w="5688"/>
          </w:tcPr>
          <w:p>
            <w:pPr>
              <w:spacing w:after="40" w:before="40" w:line="240" w:lineRule="auto"/>
              <w:ind w:firstLine="0"/>
            </w:pPr>
            <w:r>
              <w:rPr>
                <w:rFonts w:ascii="Times New Roman" w:hAnsi="Times New Roman"/>
                <w:sz w:val="20"/>
              </w:rPr>
              <w:t>Sin sesión de nómina la liquidación responde acceso denegado</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CP-E2E-07</w:t>
            </w:r>
          </w:p>
        </w:tc>
        <w:tc>
          <w:tcPr>
            <w:tcW w:type="dxa" w:w="1080"/>
          </w:tcPr>
          <w:p>
            <w:pPr>
              <w:spacing w:after="40" w:before="40" w:line="240" w:lineRule="auto"/>
              <w:ind w:firstLine="0"/>
            </w:pPr>
            <w:r>
              <w:rPr>
                <w:rFonts w:ascii="Times New Roman" w:hAnsi="Times New Roman"/>
                <w:sz w:val="20"/>
              </w:rPr>
              <w:t>HU-11</w:t>
            </w:r>
          </w:p>
        </w:tc>
        <w:tc>
          <w:tcPr>
            <w:tcW w:type="dxa" w:w="5688"/>
          </w:tcPr>
          <w:p>
            <w:pPr>
              <w:spacing w:after="40" w:before="40" w:line="240" w:lineRule="auto"/>
              <w:ind w:firstLine="0"/>
            </w:pPr>
            <w:r>
              <w:rPr>
                <w:rFonts w:ascii="Times New Roman" w:hAnsi="Times New Roman"/>
                <w:sz w:val="20"/>
              </w:rPr>
              <w:t>Una puntuación de 0,2 rechaza el inicio de sesión</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CP-E2E-08</w:t>
            </w:r>
          </w:p>
        </w:tc>
        <w:tc>
          <w:tcPr>
            <w:tcW w:type="dxa" w:w="1080"/>
          </w:tcPr>
          <w:p>
            <w:pPr>
              <w:spacing w:after="40" w:before="40" w:line="240" w:lineRule="auto"/>
              <w:ind w:firstLine="0"/>
            </w:pPr>
            <w:r>
              <w:rPr>
                <w:rFonts w:ascii="Times New Roman" w:hAnsi="Times New Roman"/>
                <w:sz w:val="20"/>
              </w:rPr>
              <w:t>HU-11</w:t>
            </w:r>
          </w:p>
        </w:tc>
        <w:tc>
          <w:tcPr>
            <w:tcW w:type="dxa" w:w="5688"/>
          </w:tcPr>
          <w:p>
            <w:pPr>
              <w:spacing w:after="40" w:before="40" w:line="240" w:lineRule="auto"/>
              <w:ind w:firstLine="0"/>
            </w:pPr>
            <w:r>
              <w:rPr>
                <w:rFonts w:ascii="Times New Roman" w:hAnsi="Times New Roman"/>
                <w:sz w:val="20"/>
              </w:rPr>
              <w:t>Una contraseña incorrecta con puntuación alta también se rechaza</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CP-E2E-09</w:t>
            </w:r>
          </w:p>
        </w:tc>
        <w:tc>
          <w:tcPr>
            <w:tcW w:type="dxa" w:w="1080"/>
          </w:tcPr>
          <w:p>
            <w:pPr>
              <w:spacing w:after="40" w:before="40" w:line="240" w:lineRule="auto"/>
              <w:ind w:firstLine="0"/>
            </w:pPr>
            <w:r>
              <w:rPr>
                <w:rFonts w:ascii="Times New Roman" w:hAnsi="Times New Roman"/>
                <w:sz w:val="20"/>
              </w:rPr>
              <w:t>HU-09</w:t>
            </w:r>
          </w:p>
        </w:tc>
        <w:tc>
          <w:tcPr>
            <w:tcW w:type="dxa" w:w="5688"/>
          </w:tcPr>
          <w:p>
            <w:pPr>
              <w:spacing w:after="40" w:before="40" w:line="240" w:lineRule="auto"/>
              <w:ind w:firstLine="0"/>
            </w:pPr>
            <w:r>
              <w:rPr>
                <w:rFonts w:ascii="Times New Roman" w:hAnsi="Times New Roman"/>
                <w:sz w:val="20"/>
              </w:rPr>
              <w:t>El auditor ve la pista de auditoría con los rechazos registrados</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CP-E2E-10</w:t>
            </w:r>
          </w:p>
        </w:tc>
        <w:tc>
          <w:tcPr>
            <w:tcW w:type="dxa" w:w="1080"/>
          </w:tcPr>
          <w:p>
            <w:pPr>
              <w:spacing w:after="40" w:before="40" w:line="240" w:lineRule="auto"/>
              <w:ind w:firstLine="0"/>
            </w:pPr>
            <w:r>
              <w:rPr>
                <w:rFonts w:ascii="Times New Roman" w:hAnsi="Times New Roman"/>
                <w:sz w:val="20"/>
              </w:rPr>
              <w:t>HU-10</w:t>
            </w:r>
          </w:p>
        </w:tc>
        <w:tc>
          <w:tcPr>
            <w:tcW w:type="dxa" w:w="5688"/>
          </w:tcPr>
          <w:p>
            <w:pPr>
              <w:spacing w:after="40" w:before="40" w:line="240" w:lineRule="auto"/>
              <w:ind w:firstLine="0"/>
            </w:pPr>
            <w:r>
              <w:rPr>
                <w:rFonts w:ascii="Times New Roman" w:hAnsi="Times New Roman"/>
                <w:sz w:val="20"/>
              </w:rPr>
              <w:t>El botón activa el tema, actualiza aria-pressed y se conserva al recargar</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CP-E2E-11</w:t>
            </w:r>
          </w:p>
        </w:tc>
        <w:tc>
          <w:tcPr>
            <w:tcW w:type="dxa" w:w="1080"/>
          </w:tcPr>
          <w:p>
            <w:pPr>
              <w:spacing w:after="40" w:before="40" w:line="240" w:lineRule="auto"/>
              <w:ind w:firstLine="0"/>
            </w:pPr>
            <w:r>
              <w:rPr>
                <w:rFonts w:ascii="Times New Roman" w:hAnsi="Times New Roman"/>
                <w:sz w:val="20"/>
              </w:rPr>
              <w:t>HU-10</w:t>
            </w:r>
          </w:p>
        </w:tc>
        <w:tc>
          <w:tcPr>
            <w:tcW w:type="dxa" w:w="5688"/>
          </w:tcPr>
          <w:p>
            <w:pPr>
              <w:spacing w:after="40" w:before="40" w:line="240" w:lineRule="auto"/>
              <w:ind w:firstLine="0"/>
            </w:pPr>
            <w:r>
              <w:rPr>
                <w:rFonts w:ascii="Times New Roman" w:hAnsi="Times New Roman"/>
                <w:sz w:val="20"/>
              </w:rPr>
              <w:t>Texto principal con contraste de 7:1 o más en alto contraste</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CP-E2E-12</w:t>
            </w:r>
          </w:p>
        </w:tc>
        <w:tc>
          <w:tcPr>
            <w:tcW w:type="dxa" w:w="1080"/>
          </w:tcPr>
          <w:p>
            <w:pPr>
              <w:spacing w:after="40" w:before="40" w:line="240" w:lineRule="auto"/>
              <w:ind w:firstLine="0"/>
            </w:pPr>
            <w:r>
              <w:rPr>
                <w:rFonts w:ascii="Times New Roman" w:hAnsi="Times New Roman"/>
                <w:sz w:val="20"/>
              </w:rPr>
              <w:t>HU-10</w:t>
            </w:r>
          </w:p>
        </w:tc>
        <w:tc>
          <w:tcPr>
            <w:tcW w:type="dxa" w:w="5688"/>
          </w:tcPr>
          <w:p>
            <w:pPr>
              <w:spacing w:after="40" w:before="40" w:line="240" w:lineRule="auto"/>
              <w:ind w:firstLine="0"/>
            </w:pPr>
            <w:r>
              <w:rPr>
                <w:rFonts w:ascii="Times New Roman" w:hAnsi="Times New Roman"/>
                <w:sz w:val="20"/>
              </w:rPr>
              <w:t>Las pestañas se recorren con el teclado y el foco es visible</w:t>
            </w:r>
          </w:p>
        </w:tc>
        <w:tc>
          <w:tcPr>
            <w:tcW w:type="dxa" w:w="1224"/>
          </w:tcPr>
          <w:p>
            <w:pPr>
              <w:spacing w:after="40" w:before="40" w:line="240" w:lineRule="auto"/>
              <w:ind w:firstLine="0"/>
            </w:pPr>
            <w:r>
              <w:rPr>
                <w:rFonts w:ascii="Times New Roman" w:hAnsi="Times New Roman"/>
                <w:sz w:val="20"/>
              </w:rPr>
              <w:t>Aprobado</w:t>
            </w:r>
          </w:p>
        </w:tc>
      </w:tr>
      <w:tr>
        <w:trPr>
          <w:cantSplit/>
        </w:trPr>
        <w:tc>
          <w:tcPr>
            <w:tcW w:type="dxa" w:w="1368"/>
          </w:tcPr>
          <w:p>
            <w:pPr>
              <w:spacing w:after="40" w:before="40" w:line="240" w:lineRule="auto"/>
              <w:ind w:firstLine="0"/>
            </w:pPr>
            <w:r>
              <w:rPr>
                <w:rFonts w:ascii="Times New Roman" w:hAnsi="Times New Roman"/>
                <w:sz w:val="20"/>
              </w:rPr>
              <w:t>CP-E2E-13</w:t>
            </w:r>
          </w:p>
        </w:tc>
        <w:tc>
          <w:tcPr>
            <w:tcW w:type="dxa" w:w="1080"/>
          </w:tcPr>
          <w:p>
            <w:pPr>
              <w:spacing w:after="40" w:before="40" w:line="240" w:lineRule="auto"/>
              <w:ind w:firstLine="0"/>
            </w:pPr>
            <w:r>
              <w:rPr>
                <w:rFonts w:ascii="Times New Roman" w:hAnsi="Times New Roman"/>
                <w:sz w:val="20"/>
              </w:rPr>
              <w:t>HU-07</w:t>
            </w:r>
          </w:p>
        </w:tc>
        <w:tc>
          <w:tcPr>
            <w:tcW w:type="dxa" w:w="5688"/>
          </w:tcPr>
          <w:p>
            <w:pPr>
              <w:spacing w:after="40" w:before="40" w:line="240" w:lineRule="auto"/>
              <w:ind w:firstLine="0"/>
            </w:pPr>
            <w:r>
              <w:rPr>
                <w:rFonts w:ascii="Times New Roman" w:hAnsi="Times New Roman"/>
                <w:sz w:val="20"/>
              </w:rPr>
              <w:t>La interfaz muestra el detalle de validación que envía el servidor (D-01)</w:t>
            </w:r>
          </w:p>
        </w:tc>
        <w:tc>
          <w:tcPr>
            <w:tcW w:type="dxa" w:w="1224"/>
          </w:tcPr>
          <w:p>
            <w:pPr>
              <w:spacing w:after="40" w:before="40" w:line="240" w:lineRule="auto"/>
              <w:ind w:firstLine="0"/>
            </w:pPr>
            <w:r>
              <w:rPr>
                <w:rFonts w:ascii="Times New Roman" w:hAnsi="Times New Roman"/>
                <w:sz w:val="20"/>
              </w:rPr>
              <w:t>Aprobado</w:t>
            </w:r>
          </w:p>
        </w:tc>
      </w:tr>
    </w:tbl>
    <w:p>
      <w:pPr>
        <w:pStyle w:val="APA"/>
        <w:ind w:firstLine="0"/>
        <w:jc w:val="left"/>
      </w:pPr>
      <w:r>
        <w:rPr>
          <w:i/>
        </w:rPr>
        <w:t>Nota.</w:t>
      </w:r>
      <w:r>
        <w:t xml:space="preserve"> Elaboración propia. Archivos de frontend/pruebas/e2e. CP-E2E-13 simula las respuestas del servidor con la misma estructura que verifica CP-07.4.</w:t>
      </w:r>
    </w:p>
    <w:p>
      <w:pPr>
        <w:pStyle w:val="APA"/>
        <w:keepNext/>
        <w:ind w:firstLine="0"/>
        <w:jc w:val="left"/>
      </w:pPr>
      <w:r>
        <w:rPr>
          <w:b/>
        </w:rPr>
        <w:t>Resultados de la Ejecución</w:t>
      </w:r>
    </w:p>
    <w:p>
      <w:pPr>
        <w:pStyle w:val="APA"/>
        <w:jc w:val="left"/>
      </w:pPr>
      <w:r>
        <w:t>La corrida final del flujo de construcción sobre el commit e2ca984 terminó con éxito en sus dos trabajos. El trabajo del backend, que tardó 62 segundos, ejecutó 49 pruebas, y el de la interfaz ejecutó 13 en Chromium; ninguna falló ni quedó omitida. JaCoCo midió una cobertura de líneas del 89,9 % (525 de 584) y de ramas del 77,1 % (84 de 109), por encima del criterio de salida.</w:t>
      </w:r>
    </w:p>
    <w:p>
      <w:pPr>
        <w:pStyle w:val="APA"/>
        <w:keepNext/>
        <w:ind w:firstLine="0"/>
      </w:pPr>
      <w:r>
        <w:rPr>
          <w:b/>
        </w:rPr>
        <w:t>Tabla 6</w:t>
      </w:r>
    </w:p>
    <w:p>
      <w:pPr>
        <w:pStyle w:val="APA"/>
        <w:keepNext/>
        <w:ind w:firstLine="0"/>
      </w:pPr>
      <w:r>
        <w:rPr>
          <w:i/>
        </w:rPr>
        <w:t>Resumen de la ejecución en GitHub Actions</w:t>
      </w:r>
    </w:p>
    <w:tbl>
      <w:tblPr>
        <w:tblW w:type="dxa" w:w="9360"/>
        <w:tblLook w:firstColumn="1" w:firstRow="1" w:lastColumn="0" w:lastRow="0" w:noHBand="0" w:noVBand="1" w:val="04A0"/>
        <w:tblBorders>
          <w:top w:val="single" w:sz="8" w:space="0" w:color="000000"/>
          <w:bottom w:val="single" w:sz="8" w:space="0" w:color="000000"/>
          <w:left w:val="nil" w:sz="0" w:space="0" w:color="000000"/>
          <w:right w:val="nil" w:sz="0" w:space="0" w:color="000000"/>
          <w:insideV w:val="nil" w:sz="0" w:space="0" w:color="000000"/>
          <w:insideH w:val="nil" w:sz="0" w:space="0" w:color="000000"/>
        </w:tblBorders>
        <w:tblLayout w:type="fixed"/>
      </w:tblPr>
      <w:tblGrid>
        <w:gridCol w:w="3744"/>
        <w:gridCol w:w="1872"/>
        <w:gridCol w:w="1872"/>
        <w:gridCol w:w="1872"/>
      </w:tblGrid>
      <w:tr>
        <w:trPr>
          <w:cantSplit/>
          <w:tblHeader/>
        </w:trPr>
        <w:tc>
          <w:tcPr>
            <w:tcW w:type="dxa" w:w="3744"/>
            <w:tcBorders>
              <w:bottom w:val="single" w:sz="8" w:space="0" w:color="000000"/>
            </w:tcBorders>
          </w:tcPr>
          <w:p>
            <w:pPr>
              <w:keepNext/>
              <w:spacing w:after="40" w:before="40" w:line="240" w:lineRule="auto"/>
              <w:ind w:firstLine="0"/>
            </w:pPr>
            <w:r>
              <w:rPr>
                <w:rFonts w:ascii="Times New Roman" w:hAnsi="Times New Roman"/>
                <w:b/>
                <w:sz w:val="20"/>
              </w:rPr>
              <w:t>Nivel</w:t>
            </w:r>
          </w:p>
        </w:tc>
        <w:tc>
          <w:tcPr>
            <w:tcW w:type="dxa" w:w="1872"/>
            <w:tcBorders>
              <w:bottom w:val="single" w:sz="8" w:space="0" w:color="000000"/>
            </w:tcBorders>
          </w:tcPr>
          <w:p>
            <w:pPr>
              <w:keepNext/>
              <w:spacing w:after="40" w:before="40" w:line="240" w:lineRule="auto"/>
              <w:ind w:firstLine="0"/>
            </w:pPr>
            <w:r>
              <w:rPr>
                <w:rFonts w:ascii="Times New Roman" w:hAnsi="Times New Roman"/>
                <w:b/>
                <w:sz w:val="20"/>
              </w:rPr>
              <w:t>Ejecutadas</w:t>
            </w:r>
          </w:p>
        </w:tc>
        <w:tc>
          <w:tcPr>
            <w:tcW w:type="dxa" w:w="1872"/>
            <w:tcBorders>
              <w:bottom w:val="single" w:sz="8" w:space="0" w:color="000000"/>
            </w:tcBorders>
          </w:tcPr>
          <w:p>
            <w:pPr>
              <w:keepNext/>
              <w:spacing w:after="40" w:before="40" w:line="240" w:lineRule="auto"/>
              <w:ind w:firstLine="0"/>
            </w:pPr>
            <w:r>
              <w:rPr>
                <w:rFonts w:ascii="Times New Roman" w:hAnsi="Times New Roman"/>
                <w:b/>
                <w:sz w:val="20"/>
              </w:rPr>
              <w:t>Aprobadas</w:t>
            </w:r>
          </w:p>
        </w:tc>
        <w:tc>
          <w:tcPr>
            <w:tcW w:type="dxa" w:w="1872"/>
            <w:tcBorders>
              <w:bottom w:val="single" w:sz="8" w:space="0" w:color="000000"/>
            </w:tcBorders>
          </w:tcPr>
          <w:p>
            <w:pPr>
              <w:keepNext/>
              <w:spacing w:after="40" w:before="40" w:line="240" w:lineRule="auto"/>
              <w:ind w:firstLine="0"/>
            </w:pPr>
            <w:r>
              <w:rPr>
                <w:rFonts w:ascii="Times New Roman" w:hAnsi="Times New Roman"/>
                <w:b/>
                <w:sz w:val="20"/>
              </w:rPr>
              <w:t>Fallidas</w:t>
            </w:r>
          </w:p>
        </w:tc>
      </w:tr>
      <w:tr>
        <w:trPr>
          <w:cantSplit/>
        </w:trPr>
        <w:tc>
          <w:tcPr>
            <w:tcW w:type="dxa" w:w="3744"/>
          </w:tcPr>
          <w:p>
            <w:pPr>
              <w:keepNext/>
              <w:spacing w:after="40" w:before="40" w:line="240" w:lineRule="auto"/>
              <w:ind w:firstLine="0"/>
            </w:pPr>
            <w:r>
              <w:rPr>
                <w:rFonts w:ascii="Times New Roman" w:hAnsi="Times New Roman"/>
                <w:sz w:val="20"/>
              </w:rPr>
              <w:t>Unitarias y rendimiento</w:t>
            </w:r>
          </w:p>
        </w:tc>
        <w:tc>
          <w:tcPr>
            <w:tcW w:type="dxa" w:w="1872"/>
          </w:tcPr>
          <w:p>
            <w:pPr>
              <w:keepNext/>
              <w:spacing w:after="40" w:before="40" w:line="240" w:lineRule="auto"/>
              <w:ind w:firstLine="0"/>
            </w:pPr>
            <w:r>
              <w:rPr>
                <w:rFonts w:ascii="Times New Roman" w:hAnsi="Times New Roman"/>
                <w:sz w:val="20"/>
              </w:rPr>
              <w:t>33</w:t>
            </w:r>
          </w:p>
        </w:tc>
        <w:tc>
          <w:tcPr>
            <w:tcW w:type="dxa" w:w="1872"/>
          </w:tcPr>
          <w:p>
            <w:pPr>
              <w:keepNext/>
              <w:spacing w:after="40" w:before="40" w:line="240" w:lineRule="auto"/>
              <w:ind w:firstLine="0"/>
            </w:pPr>
            <w:r>
              <w:rPr>
                <w:rFonts w:ascii="Times New Roman" w:hAnsi="Times New Roman"/>
                <w:sz w:val="20"/>
              </w:rPr>
              <w:t>33</w:t>
            </w:r>
          </w:p>
        </w:tc>
        <w:tc>
          <w:tcPr>
            <w:tcW w:type="dxa" w:w="1872"/>
          </w:tcPr>
          <w:p>
            <w:pPr>
              <w:keepNext/>
              <w:spacing w:after="40" w:before="40" w:line="240" w:lineRule="auto"/>
              <w:ind w:firstLine="0"/>
            </w:pPr>
            <w:r>
              <w:rPr>
                <w:rFonts w:ascii="Times New Roman" w:hAnsi="Times New Roman"/>
                <w:sz w:val="20"/>
              </w:rPr>
              <w:t>0</w:t>
            </w:r>
          </w:p>
        </w:tc>
      </w:tr>
      <w:tr>
        <w:trPr>
          <w:cantSplit/>
        </w:trPr>
        <w:tc>
          <w:tcPr>
            <w:tcW w:type="dxa" w:w="3744"/>
          </w:tcPr>
          <w:p>
            <w:pPr>
              <w:keepNext/>
              <w:spacing w:after="40" w:before="40" w:line="240" w:lineRule="auto"/>
              <w:ind w:firstLine="0"/>
            </w:pPr>
            <w:r>
              <w:rPr>
                <w:rFonts w:ascii="Times New Roman" w:hAnsi="Times New Roman"/>
                <w:sz w:val="20"/>
              </w:rPr>
              <w:t>Integración</w:t>
            </w:r>
          </w:p>
        </w:tc>
        <w:tc>
          <w:tcPr>
            <w:tcW w:type="dxa" w:w="1872"/>
          </w:tcPr>
          <w:p>
            <w:pPr>
              <w:keepNext/>
              <w:spacing w:after="40" w:before="40" w:line="240" w:lineRule="auto"/>
              <w:ind w:firstLine="0"/>
            </w:pPr>
            <w:r>
              <w:rPr>
                <w:rFonts w:ascii="Times New Roman" w:hAnsi="Times New Roman"/>
                <w:sz w:val="20"/>
              </w:rPr>
              <w:t>16</w:t>
            </w:r>
          </w:p>
        </w:tc>
        <w:tc>
          <w:tcPr>
            <w:tcW w:type="dxa" w:w="1872"/>
          </w:tcPr>
          <w:p>
            <w:pPr>
              <w:keepNext/>
              <w:spacing w:after="40" w:before="40" w:line="240" w:lineRule="auto"/>
              <w:ind w:firstLine="0"/>
            </w:pPr>
            <w:r>
              <w:rPr>
                <w:rFonts w:ascii="Times New Roman" w:hAnsi="Times New Roman"/>
                <w:sz w:val="20"/>
              </w:rPr>
              <w:t>16</w:t>
            </w:r>
          </w:p>
        </w:tc>
        <w:tc>
          <w:tcPr>
            <w:tcW w:type="dxa" w:w="1872"/>
          </w:tcPr>
          <w:p>
            <w:pPr>
              <w:keepNext/>
              <w:spacing w:after="40" w:before="40" w:line="240" w:lineRule="auto"/>
              <w:ind w:firstLine="0"/>
            </w:pPr>
            <w:r>
              <w:rPr>
                <w:rFonts w:ascii="Times New Roman" w:hAnsi="Times New Roman"/>
                <w:sz w:val="20"/>
              </w:rPr>
              <w:t>0</w:t>
            </w:r>
          </w:p>
        </w:tc>
      </w:tr>
      <w:tr>
        <w:trPr>
          <w:cantSplit/>
        </w:trPr>
        <w:tc>
          <w:tcPr>
            <w:tcW w:type="dxa" w:w="3744"/>
          </w:tcPr>
          <w:p>
            <w:pPr>
              <w:keepNext/>
              <w:spacing w:after="40" w:before="40" w:line="240" w:lineRule="auto"/>
              <w:ind w:firstLine="0"/>
            </w:pPr>
            <w:r>
              <w:rPr>
                <w:rFonts w:ascii="Times New Roman" w:hAnsi="Times New Roman"/>
                <w:sz w:val="20"/>
              </w:rPr>
              <w:t>Interfaz</w:t>
            </w:r>
          </w:p>
        </w:tc>
        <w:tc>
          <w:tcPr>
            <w:tcW w:type="dxa" w:w="1872"/>
          </w:tcPr>
          <w:p>
            <w:pPr>
              <w:keepNext/>
              <w:spacing w:after="40" w:before="40" w:line="240" w:lineRule="auto"/>
              <w:ind w:firstLine="0"/>
            </w:pPr>
            <w:r>
              <w:rPr>
                <w:rFonts w:ascii="Times New Roman" w:hAnsi="Times New Roman"/>
                <w:sz w:val="20"/>
              </w:rPr>
              <w:t>13</w:t>
            </w:r>
          </w:p>
        </w:tc>
        <w:tc>
          <w:tcPr>
            <w:tcW w:type="dxa" w:w="1872"/>
          </w:tcPr>
          <w:p>
            <w:pPr>
              <w:keepNext/>
              <w:spacing w:after="40" w:before="40" w:line="240" w:lineRule="auto"/>
              <w:ind w:firstLine="0"/>
            </w:pPr>
            <w:r>
              <w:rPr>
                <w:rFonts w:ascii="Times New Roman" w:hAnsi="Times New Roman"/>
                <w:sz w:val="20"/>
              </w:rPr>
              <w:t>13</w:t>
            </w:r>
          </w:p>
        </w:tc>
        <w:tc>
          <w:tcPr>
            <w:tcW w:type="dxa" w:w="1872"/>
          </w:tcPr>
          <w:p>
            <w:pPr>
              <w:keepNext/>
              <w:spacing w:after="40" w:before="40" w:line="240" w:lineRule="auto"/>
              <w:ind w:firstLine="0"/>
            </w:pPr>
            <w:r>
              <w:rPr>
                <w:rFonts w:ascii="Times New Roman" w:hAnsi="Times New Roman"/>
                <w:sz w:val="20"/>
              </w:rPr>
              <w:t>0</w:t>
            </w:r>
          </w:p>
        </w:tc>
      </w:tr>
      <w:tr>
        <w:trPr>
          <w:cantSplit/>
        </w:trPr>
        <w:tc>
          <w:tcPr>
            <w:tcW w:type="dxa" w:w="3744"/>
          </w:tcPr>
          <w:p>
            <w:pPr>
              <w:spacing w:after="40" w:before="40" w:line="240" w:lineRule="auto"/>
              <w:ind w:firstLine="0"/>
            </w:pPr>
            <w:r>
              <w:rPr>
                <w:rFonts w:ascii="Times New Roman" w:hAnsi="Times New Roman"/>
                <w:sz w:val="20"/>
              </w:rPr>
              <w:t>Total</w:t>
            </w:r>
          </w:p>
        </w:tc>
        <w:tc>
          <w:tcPr>
            <w:tcW w:type="dxa" w:w="1872"/>
          </w:tcPr>
          <w:p>
            <w:pPr>
              <w:spacing w:after="40" w:before="40" w:line="240" w:lineRule="auto"/>
              <w:ind w:firstLine="0"/>
            </w:pPr>
            <w:r>
              <w:rPr>
                <w:rFonts w:ascii="Times New Roman" w:hAnsi="Times New Roman"/>
                <w:sz w:val="20"/>
              </w:rPr>
              <w:t>62</w:t>
            </w:r>
          </w:p>
        </w:tc>
        <w:tc>
          <w:tcPr>
            <w:tcW w:type="dxa" w:w="1872"/>
          </w:tcPr>
          <w:p>
            <w:pPr>
              <w:spacing w:after="40" w:before="40" w:line="240" w:lineRule="auto"/>
              <w:ind w:firstLine="0"/>
            </w:pPr>
            <w:r>
              <w:rPr>
                <w:rFonts w:ascii="Times New Roman" w:hAnsi="Times New Roman"/>
                <w:sz w:val="20"/>
              </w:rPr>
              <w:t>62</w:t>
            </w:r>
          </w:p>
        </w:tc>
        <w:tc>
          <w:tcPr>
            <w:tcW w:type="dxa" w:w="1872"/>
          </w:tcPr>
          <w:p>
            <w:pPr>
              <w:spacing w:after="40" w:before="40" w:line="240" w:lineRule="auto"/>
              <w:ind w:firstLine="0"/>
            </w:pPr>
            <w:r>
              <w:rPr>
                <w:rFonts w:ascii="Times New Roman" w:hAnsi="Times New Roman"/>
                <w:sz w:val="20"/>
              </w:rPr>
              <w:t>0</w:t>
            </w:r>
          </w:p>
        </w:tc>
      </w:tr>
    </w:tbl>
    <w:p>
      <w:pPr>
        <w:pStyle w:val="APA"/>
        <w:ind w:firstLine="0"/>
        <w:jc w:val="left"/>
      </w:pPr>
      <w:r>
        <w:rPr>
          <w:i/>
        </w:rPr>
        <w:t>Nota.</w:t>
      </w:r>
      <w:r>
        <w:t xml:space="preserve"> Ejecución 36904479555 del flujo Construccion, 1 de octubre de 2026. La cobertura corresponde solo al backend en Java.</w:t>
      </w:r>
    </w:p>
    <w:p>
      <w:pPr>
        <w:pStyle w:val="APA"/>
        <w:jc w:val="left"/>
      </w:pPr>
      <w:r>
        <w:t>Las Figuras 1 a 4 son capturas que Playwright tomó durante la ejecución, en el momento en que cada caso verificó su resultado.</w:t>
      </w:r>
    </w:p>
    <w:p>
      <w:pPr>
        <w:pStyle w:val="APA"/>
        <w:keepNext/>
        <w:ind w:firstLine="0"/>
      </w:pPr>
      <w:r>
        <w:rPr>
          <w:b/>
        </w:rPr>
        <w:t>Figura 1</w:t>
      </w:r>
    </w:p>
    <w:p>
      <w:pPr>
        <w:pStyle w:val="APA"/>
        <w:keepNext/>
        <w:ind w:firstLine="0"/>
      </w:pPr>
      <w:r>
        <w:rPr>
          <w:i/>
        </w:rPr>
        <w:t>Liquidación del caso de referencia (CP-E2E-01)</w:t>
      </w:r>
    </w:p>
    <w:p>
      <w:pPr>
        <w:pStyle w:val="APA"/>
        <w:keepNext/>
        <w:ind w:firstLine="0"/>
        <w:jc w:val="center"/>
      </w:pPr>
      <w:r>
        <w:drawing>
          <wp:inline xmlns:a="http://schemas.openxmlformats.org/drawingml/2006/main" xmlns:pic="http://schemas.openxmlformats.org/drawingml/2006/picture">
            <wp:extent cx="4206240" cy="2524976"/>
            <wp:docPr id="1" name="Picture 1"/>
            <wp:cNvGraphicFramePr>
              <a:graphicFrameLocks noChangeAspect="1"/>
            </wp:cNvGraphicFramePr>
            <a:graphic>
              <a:graphicData uri="http://schemas.openxmlformats.org/drawingml/2006/picture">
                <pic:pic>
                  <pic:nvPicPr>
                    <pic:cNvPr id="0" name="cp-e2e-01-liquidacion-indefinido.png"/>
                    <pic:cNvPicPr/>
                  </pic:nvPicPr>
                  <pic:blipFill>
                    <a:blip r:embed="rId10"/>
                    <a:stretch>
                      <a:fillRect/>
                    </a:stretch>
                  </pic:blipFill>
                  <pic:spPr>
                    <a:xfrm>
                      <a:off x="0" y="0"/>
                      <a:ext cx="4206240" cy="2524976"/>
                    </a:xfrm>
                    <a:prstGeom prst="rect"/>
                  </pic:spPr>
                </pic:pic>
              </a:graphicData>
            </a:graphic>
          </wp:inline>
        </w:drawing>
      </w:r>
    </w:p>
    <w:p>
      <w:pPr>
        <w:pStyle w:val="APA"/>
        <w:ind w:firstLine="0"/>
        <w:jc w:val="left"/>
      </w:pPr>
      <w:r>
        <w:rPr>
          <w:i/>
        </w:rPr>
        <w:t>Nota.</w:t>
      </w:r>
      <w:r>
        <w:t xml:space="preserve"> Captura automática de Playwright. Con el rol de nómina, el total de $6.372.159 coincide con la prueba de integración CP-07.1.</w:t>
      </w:r>
    </w:p>
    <w:p>
      <w:pPr>
        <w:pStyle w:val="APA"/>
        <w:keepNext/>
        <w:ind w:firstLine="0"/>
      </w:pPr>
      <w:r>
        <w:rPr>
          <w:b/>
        </w:rPr>
        <w:t>Figura 2</w:t>
      </w:r>
    </w:p>
    <w:p>
      <w:pPr>
        <w:pStyle w:val="APA"/>
        <w:keepNext/>
        <w:ind w:firstLine="0"/>
      </w:pPr>
      <w:r>
        <w:rPr>
          <w:i/>
        </w:rPr>
        <w:t>Alerta de stock crítico tras la salida de 16 cajas (CP-E2E-04)</w:t>
      </w:r>
    </w:p>
    <w:p>
      <w:pPr>
        <w:pStyle w:val="APA"/>
        <w:keepNext/>
        <w:ind w:firstLine="0"/>
        <w:jc w:val="center"/>
      </w:pPr>
      <w:r>
        <w:drawing>
          <wp:inline xmlns:a="http://schemas.openxmlformats.org/drawingml/2006/main" xmlns:pic="http://schemas.openxmlformats.org/drawingml/2006/picture">
            <wp:extent cx="4206240" cy="2524976"/>
            <wp:docPr id="2" name="Picture 2"/>
            <wp:cNvGraphicFramePr>
              <a:graphicFrameLocks noChangeAspect="1"/>
            </wp:cNvGraphicFramePr>
            <a:graphic>
              <a:graphicData uri="http://schemas.openxmlformats.org/drawingml/2006/picture">
                <pic:pic>
                  <pic:nvPicPr>
                    <pic:cNvPr id="0" name="cp-e2e-04-stock-critico.png"/>
                    <pic:cNvPicPr/>
                  </pic:nvPicPr>
                  <pic:blipFill>
                    <a:blip r:embed="rId11"/>
                    <a:stretch>
                      <a:fillRect/>
                    </a:stretch>
                  </pic:blipFill>
                  <pic:spPr>
                    <a:xfrm>
                      <a:off x="0" y="0"/>
                      <a:ext cx="4206240" cy="2524976"/>
                    </a:xfrm>
                    <a:prstGeom prst="rect"/>
                  </pic:spPr>
                </pic:pic>
              </a:graphicData>
            </a:graphic>
          </wp:inline>
        </w:drawing>
      </w:r>
    </w:p>
    <w:p>
      <w:pPr>
        <w:pStyle w:val="APA"/>
        <w:ind w:firstLine="0"/>
        <w:jc w:val="left"/>
      </w:pPr>
      <w:r>
        <w:rPr>
          <w:i/>
        </w:rPr>
        <w:t>Nota.</w:t>
      </w:r>
      <w:r>
        <w:t xml:space="preserve"> Captura automática de Playwright. La campana marca una alerta y el ítem EMB-001 queda en 24 unidades.</w:t>
      </w:r>
    </w:p>
    <w:p>
      <w:pPr>
        <w:pStyle w:val="APA"/>
        <w:keepNext/>
        <w:ind w:firstLine="0"/>
      </w:pPr>
      <w:r>
        <w:rPr>
          <w:b/>
        </w:rPr>
        <w:t>Figura 3</w:t>
      </w:r>
    </w:p>
    <w:p>
      <w:pPr>
        <w:pStyle w:val="APA"/>
        <w:keepNext/>
        <w:ind w:firstLine="0"/>
      </w:pPr>
      <w:r>
        <w:rPr>
          <w:i/>
        </w:rPr>
        <w:t>Modo de alto contraste conservado después de recargar (CP-E2E-10)</w:t>
      </w:r>
    </w:p>
    <w:p>
      <w:pPr>
        <w:pStyle w:val="APA"/>
        <w:keepNext/>
        <w:ind w:firstLine="0"/>
        <w:jc w:val="center"/>
      </w:pPr>
      <w:r>
        <w:drawing>
          <wp:inline xmlns:a="http://schemas.openxmlformats.org/drawingml/2006/main" xmlns:pic="http://schemas.openxmlformats.org/drawingml/2006/picture">
            <wp:extent cx="4206240" cy="2524976"/>
            <wp:docPr id="3" name="Picture 3"/>
            <wp:cNvGraphicFramePr>
              <a:graphicFrameLocks noChangeAspect="1"/>
            </wp:cNvGraphicFramePr>
            <a:graphic>
              <a:graphicData uri="http://schemas.openxmlformats.org/drawingml/2006/picture">
                <pic:pic>
                  <pic:nvPicPr>
                    <pic:cNvPr id="0" name="cp-e2e-10-alto-contraste.png"/>
                    <pic:cNvPicPr/>
                  </pic:nvPicPr>
                  <pic:blipFill>
                    <a:blip r:embed="rId12"/>
                    <a:stretch>
                      <a:fillRect/>
                    </a:stretch>
                  </pic:blipFill>
                  <pic:spPr>
                    <a:xfrm>
                      <a:off x="0" y="0"/>
                      <a:ext cx="4206240" cy="2524976"/>
                    </a:xfrm>
                    <a:prstGeom prst="rect"/>
                  </pic:spPr>
                </pic:pic>
              </a:graphicData>
            </a:graphic>
          </wp:inline>
        </w:drawing>
      </w:r>
    </w:p>
    <w:p>
      <w:pPr>
        <w:pStyle w:val="APA"/>
        <w:ind w:firstLine="0"/>
        <w:jc w:val="left"/>
      </w:pPr>
      <w:r>
        <w:rPr>
          <w:i/>
        </w:rPr>
        <w:t>Nota.</w:t>
      </w:r>
      <w:r>
        <w:t xml:space="preserve"> Captura automática de Playwright. Texto blanco sobre negro con relación de 21:1 y acentos amarillos.</w:t>
      </w:r>
    </w:p>
    <w:p>
      <w:pPr>
        <w:pStyle w:val="APA"/>
        <w:keepNext/>
        <w:ind w:firstLine="0"/>
      </w:pPr>
      <w:r>
        <w:rPr>
          <w:b/>
        </w:rPr>
        <w:t>Figura 4</w:t>
      </w:r>
    </w:p>
    <w:p>
      <w:pPr>
        <w:pStyle w:val="APA"/>
        <w:keepNext/>
        <w:ind w:firstLine="0"/>
      </w:pPr>
      <w:r>
        <w:rPr>
          <w:i/>
        </w:rPr>
        <w:t>Detalle de validación del servidor después de corregir D-01 (CP-E2E-13)</w:t>
      </w:r>
    </w:p>
    <w:p>
      <w:pPr>
        <w:pStyle w:val="APA"/>
        <w:keepNext/>
        <w:ind w:firstLine="0"/>
        <w:jc w:val="center"/>
      </w:pPr>
      <w:r>
        <w:drawing>
          <wp:inline xmlns:a="http://schemas.openxmlformats.org/drawingml/2006/main" xmlns:pic="http://schemas.openxmlformats.org/drawingml/2006/picture">
            <wp:extent cx="4206240" cy="2524976"/>
            <wp:docPr id="4" name="Picture 4"/>
            <wp:cNvGraphicFramePr>
              <a:graphicFrameLocks noChangeAspect="1"/>
            </wp:cNvGraphicFramePr>
            <a:graphic>
              <a:graphicData uri="http://schemas.openxmlformats.org/drawingml/2006/picture">
                <pic:pic>
                  <pic:nvPicPr>
                    <pic:cNvPr id="0" name="cp-e2e-13-detalle-validacion.png"/>
                    <pic:cNvPicPr/>
                  </pic:nvPicPr>
                  <pic:blipFill>
                    <a:blip r:embed="rId13"/>
                    <a:stretch>
                      <a:fillRect/>
                    </a:stretch>
                  </pic:blipFill>
                  <pic:spPr>
                    <a:xfrm>
                      <a:off x="0" y="0"/>
                      <a:ext cx="4206240" cy="2524976"/>
                    </a:xfrm>
                    <a:prstGeom prst="rect"/>
                  </pic:spPr>
                </pic:pic>
              </a:graphicData>
            </a:graphic>
          </wp:inline>
        </w:drawing>
      </w:r>
    </w:p>
    <w:p>
      <w:pPr>
        <w:pStyle w:val="APA"/>
        <w:ind w:firstLine="0"/>
        <w:jc w:val="left"/>
      </w:pPr>
      <w:r>
        <w:rPr>
          <w:i/>
        </w:rPr>
        <w:t>Nota.</w:t>
      </w:r>
      <w:r>
        <w:t xml:space="preserve"> Captura automática de Playwright. Antes de la corrección la misma respuesta mostraba solo "Error de validacion".</w:t>
      </w:r>
    </w:p>
    <w:p>
      <w:pPr>
        <w:pStyle w:val="APA"/>
        <w:keepNext/>
        <w:ind w:firstLine="0"/>
        <w:jc w:val="left"/>
      </w:pPr>
      <w:r>
        <w:rPr>
          <w:b/>
        </w:rPr>
        <w:t>Defectos Encontrados y Corregidos</w:t>
      </w:r>
    </w:p>
    <w:p>
      <w:pPr>
        <w:pStyle w:val="APA"/>
        <w:jc w:val="left"/>
      </w:pPr>
      <w:r>
        <w:rPr>
          <w:b/>
        </w:rPr>
        <w:t>D-01. Mensajes de validación genéricos en la interfaz.</w:t>
      </w:r>
      <w:r>
        <w:t xml:space="preserve"> Cuando el servidor rechaza una petición, responde con un mensaje general y un objeto errores con el detalle de cada campo. La función pedir de api.js tomaba primero el mensaje general y trataba errores como una lista, de modo que el usuario veía solo "Error de validacion" sin saber qué campo corregir. El caso CP-E2E-13 falló en la primera ejecución con exactamente ese texto. La corrección muestra el detalle por campo cuando existe y la interfaz ahora envía null, y no una cadena vacía, cuando una fecha queda sin diligenciar; con ello el caso pasó.</w:t>
      </w:r>
    </w:p>
    <w:p>
      <w:pPr>
        <w:pStyle w:val="APA"/>
        <w:jc w:val="left"/>
      </w:pPr>
      <w:r>
        <w:rPr>
          <w:b/>
        </w:rPr>
        <w:t>D-02. Prueba unitaria que nunca se había ejecutado.</w:t>
      </w:r>
      <w:r>
        <w:t xml:space="preserve"> La primera corrida real de mvn verify mostró que InventarioServiceTest.salidaMayorAlStock fallaba con UnnecessaryStubbingException: Mockito, en modo estricto, rechaza un stub que la prueba no usa, y una salida rechazada nunca llega a guardar el ítem. El stub se marcó como opcional y la prueba se reforzó para verificar que el stock sigue en 40 y que no hubo escritura. El hallazgo confirma el riesgo señalado en la Guía 7, donde las pruebas solo se habían comprobado con arneses manuales.</w:t>
      </w:r>
    </w:p>
    <w:p>
      <w:pPr>
        <w:pStyle w:val="APA"/>
        <w:keepNext/>
        <w:ind w:firstLine="0"/>
        <w:jc w:val="left"/>
      </w:pPr>
      <w:r>
        <w:rPr>
          <w:b/>
        </w:rPr>
        <w:t>Actualización del Repositorio</w:t>
      </w:r>
    </w:p>
    <w:p>
      <w:pPr>
        <w:pStyle w:val="APA"/>
        <w:jc w:val="left"/>
      </w:pPr>
      <w:r>
        <w:t>Los cambios se publicaron en la rama sprint3 del repositorio gustavo8015/martillo-erp, sin tocar develop ni main, en los siguientes commits:</w:t>
      </w:r>
    </w:p>
    <w:p>
      <w:pPr>
        <w:pStyle w:val="APA"/>
        <w:numPr>
          <w:ilvl w:val="0"/>
          <w:numId w:val="32"/>
        </w:numPr>
        <w:jc w:val="left"/>
      </w:pPr>
      <w:r>
        <w:t>e95e89b: pruebas de integración, rendimiento e interfaz; corrección de D-01; JaCoCo en pom.xml y flujo de construcción con informe de pruebas.</w:t>
      </w:r>
    </w:p>
    <w:p>
      <w:pPr>
        <w:pStyle w:val="APA"/>
        <w:numPr>
          <w:ilvl w:val="0"/>
          <w:numId w:val="32"/>
        </w:numPr>
        <w:jc w:val="left"/>
      </w:pPr>
      <w:r>
        <w:t>e9ed5aa: base H2 aislada para las pruebas de inventario y anotación automática de cada prueba fallida en GitHub Actions.</w:t>
      </w:r>
    </w:p>
    <w:p>
      <w:pPr>
        <w:pStyle w:val="APA"/>
        <w:numPr>
          <w:ilvl w:val="0"/>
          <w:numId w:val="32"/>
        </w:numPr>
        <w:jc w:val="left"/>
      </w:pPr>
      <w:r>
        <w:t>e2ca984: corrección de D-02 en InventarioServiceTest.</w:t>
      </w:r>
    </w:p>
    <w:p>
      <w:pPr>
        <w:pStyle w:val="APA"/>
        <w:numPr>
          <w:ilvl w:val="0"/>
          <w:numId w:val="32"/>
        </w:numPr>
        <w:jc w:val="left"/>
      </w:pPr>
      <w:r>
        <w:t>86b4561 y commits posteriores de documentación: plan de pruebas en docs/pruebas, evidencias de Playwright, sección de pruebas en el README y este informe en docs/.</w:t>
      </w:r>
    </w:p>
    <w:p>
      <w:pPr>
        <w:pStyle w:val="APA"/>
        <w:jc w:val="left"/>
      </w:pPr>
      <w:r>
        <w:t>El Pull Request de sprint3 hacia develop sigue pendiente de abrirse desde la cuenta del equipo; al hacerlo, el flujo de construcción volverá a ejecutar las 62 pruebas como verificación previa a la fusión.</w:t>
      </w:r>
    </w:p>
    <w:p>
      <w:pPr>
        <w:pStyle w:val="APA"/>
        <w:keepNext/>
        <w:ind w:firstLine="0"/>
        <w:jc w:val="left"/>
      </w:pPr>
      <w:r>
        <w:rPr>
          <w:b/>
        </w:rPr>
        <w:t>Evidencias en Jira</w:t>
      </w:r>
    </w:p>
    <w:p>
      <w:pPr>
        <w:pStyle w:val="APA"/>
        <w:jc w:val="left"/>
      </w:pPr>
      <w:r>
        <w:t>El tablero del proyecto KAN registra la trazabilidad de la práctica. Cada historia del Sprint 3 recibió un comentario con los casos ejecutados, el enlace a la corrida de GitHub Actions y las capturas de Playwright correspondientes. Las Figuras 5 a 11 muestran ese registro.</w:t>
      </w:r>
    </w:p>
    <w:p>
      <w:pPr>
        <w:pStyle w:val="APA"/>
        <w:keepNext/>
        <w:ind w:firstLine="0"/>
      </w:pPr>
      <w:r>
        <w:rPr>
          <w:b/>
        </w:rPr>
        <w:t>Figura 5</w:t>
      </w:r>
    </w:p>
    <w:p>
      <w:pPr>
        <w:pStyle w:val="APA"/>
        <w:keepNext/>
        <w:ind w:firstLine="0"/>
      </w:pPr>
      <w:r>
        <w:rPr>
          <w:i/>
        </w:rPr>
        <w:t>Historias hijas de la épica KAN-56 en Jira</w:t>
      </w:r>
    </w:p>
    <w:p>
      <w:pPr>
        <w:pStyle w:val="APA"/>
        <w:keepNext/>
        <w:ind w:firstLine="0"/>
        <w:jc w:val="center"/>
      </w:pPr>
      <w:r>
        <w:drawing>
          <wp:inline xmlns:a="http://schemas.openxmlformats.org/drawingml/2006/main" xmlns:pic="http://schemas.openxmlformats.org/drawingml/2006/picture">
            <wp:extent cx="5486400" cy="2305828"/>
            <wp:docPr id="5" name="Picture 5"/>
            <wp:cNvGraphicFramePr>
              <a:graphicFrameLocks noChangeAspect="1"/>
            </wp:cNvGraphicFramePr>
            <a:graphic>
              <a:graphicData uri="http://schemas.openxmlformats.org/drawingml/2006/picture">
                <pic:pic>
                  <pic:nvPicPr>
                    <pic:cNvPr id="0" name="jira-01-historias-sprint3.jpg"/>
                    <pic:cNvPicPr/>
                  </pic:nvPicPr>
                  <pic:blipFill>
                    <a:blip r:embed="rId14"/>
                    <a:stretch>
                      <a:fillRect/>
                    </a:stretch>
                  </pic:blipFill>
                  <pic:spPr>
                    <a:xfrm>
                      <a:off x="0" y="0"/>
                      <a:ext cx="5486400" cy="2305828"/>
                    </a:xfrm>
                    <a:prstGeom prst="rect"/>
                  </pic:spPr>
                </pic:pic>
              </a:graphicData>
            </a:graphic>
          </wp:inline>
        </w:drawing>
      </w:r>
    </w:p>
    <w:p>
      <w:pPr>
        <w:pStyle w:val="APA"/>
        <w:ind w:firstLine="0"/>
        <w:jc w:val="left"/>
      </w:pPr>
      <w:r>
        <w:rPr>
          <w:i/>
        </w:rPr>
        <w:t>Nota.</w:t>
      </w:r>
      <w:r>
        <w:t xml:space="preserve"> Captura del tablero de Jira del proyecto KAN, 1 de octubre de 2026. Filtro por la épica principal del Sprint 3.</w:t>
      </w:r>
    </w:p>
    <w:p>
      <w:pPr>
        <w:pStyle w:val="APA"/>
        <w:keepNext/>
        <w:ind w:firstLine="0"/>
      </w:pPr>
      <w:r>
        <w:rPr>
          <w:b/>
        </w:rPr>
        <w:t>Figura 6</w:t>
      </w:r>
    </w:p>
    <w:p>
      <w:pPr>
        <w:pStyle w:val="APA"/>
        <w:keepNext/>
        <w:ind w:firstLine="0"/>
      </w:pPr>
      <w:r>
        <w:rPr>
          <w:i/>
        </w:rPr>
        <w:t>Épica KAN-56 del Sprint 3</w:t>
      </w:r>
    </w:p>
    <w:p>
      <w:pPr>
        <w:pStyle w:val="APA"/>
        <w:keepNext/>
        <w:ind w:firstLine="0"/>
        <w:jc w:val="center"/>
      </w:pPr>
      <w:r>
        <w:drawing>
          <wp:inline xmlns:a="http://schemas.openxmlformats.org/drawingml/2006/main" xmlns:pic="http://schemas.openxmlformats.org/drawingml/2006/picture">
            <wp:extent cx="5486400" cy="2305828"/>
            <wp:docPr id="6" name="Picture 6"/>
            <wp:cNvGraphicFramePr>
              <a:graphicFrameLocks noChangeAspect="1"/>
            </wp:cNvGraphicFramePr>
            <a:graphic>
              <a:graphicData uri="http://schemas.openxmlformats.org/drawingml/2006/picture">
                <pic:pic>
                  <pic:nvPicPr>
                    <pic:cNvPr id="0" name="jira-02-epica-kan56.jpg"/>
                    <pic:cNvPicPr/>
                  </pic:nvPicPr>
                  <pic:blipFill>
                    <a:blip r:embed="rId15"/>
                    <a:stretch>
                      <a:fillRect/>
                    </a:stretch>
                  </pic:blipFill>
                  <pic:spPr>
                    <a:xfrm>
                      <a:off x="0" y="0"/>
                      <a:ext cx="5486400" cy="2305828"/>
                    </a:xfrm>
                    <a:prstGeom prst="rect"/>
                  </pic:spPr>
                </pic:pic>
              </a:graphicData>
            </a:graphic>
          </wp:inline>
        </w:drawing>
      </w:r>
    </w:p>
    <w:p>
      <w:pPr>
        <w:pStyle w:val="APA"/>
        <w:ind w:firstLine="0"/>
        <w:jc w:val="left"/>
      </w:pPr>
      <w:r>
        <w:rPr>
          <w:i/>
        </w:rPr>
        <w:t>Nota.</w:t>
      </w:r>
      <w:r>
        <w:t xml:space="preserve"> Captura de Jira con el alcance comprometido de 27 puntos y las entregas del sprint.</w:t>
      </w:r>
    </w:p>
    <w:p>
      <w:pPr>
        <w:pStyle w:val="APA"/>
        <w:keepNext/>
        <w:ind w:firstLine="0"/>
      </w:pPr>
      <w:r>
        <w:rPr>
          <w:b/>
        </w:rPr>
        <w:t>Figura 7</w:t>
      </w:r>
    </w:p>
    <w:p>
      <w:pPr>
        <w:pStyle w:val="APA"/>
        <w:keepNext/>
        <w:ind w:firstLine="0"/>
      </w:pPr>
      <w:r>
        <w:rPr>
          <w:i/>
        </w:rPr>
        <w:t>Evidencia de pruebas registrada en KAN-57 (HU-07)</w:t>
      </w:r>
    </w:p>
    <w:p>
      <w:pPr>
        <w:pStyle w:val="APA"/>
        <w:keepNext/>
        <w:ind w:firstLine="0"/>
        <w:jc w:val="center"/>
      </w:pPr>
      <w:r>
        <w:drawing>
          <wp:inline xmlns:a="http://schemas.openxmlformats.org/drawingml/2006/main" xmlns:pic="http://schemas.openxmlformats.org/drawingml/2006/picture">
            <wp:extent cx="5486400" cy="2308980"/>
            <wp:docPr id="7" name="Picture 7"/>
            <wp:cNvGraphicFramePr>
              <a:graphicFrameLocks noChangeAspect="1"/>
            </wp:cNvGraphicFramePr>
            <a:graphic>
              <a:graphicData uri="http://schemas.openxmlformats.org/drawingml/2006/picture">
                <pic:pic>
                  <pic:nvPicPr>
                    <pic:cNvPr id="0" name="jira-03-kan57-hu07.jpg"/>
                    <pic:cNvPicPr/>
                  </pic:nvPicPr>
                  <pic:blipFill>
                    <a:blip r:embed="rId16"/>
                    <a:stretch>
                      <a:fillRect/>
                    </a:stretch>
                  </pic:blipFill>
                  <pic:spPr>
                    <a:xfrm>
                      <a:off x="0" y="0"/>
                      <a:ext cx="5486400" cy="2308980"/>
                    </a:xfrm>
                    <a:prstGeom prst="rect"/>
                  </pic:spPr>
                </pic:pic>
              </a:graphicData>
            </a:graphic>
          </wp:inline>
        </w:drawing>
      </w:r>
    </w:p>
    <w:p>
      <w:pPr>
        <w:pStyle w:val="APA"/>
        <w:ind w:firstLine="0"/>
        <w:jc w:val="left"/>
      </w:pPr>
      <w:r>
        <w:rPr>
          <w:i/>
        </w:rPr>
        <w:t>Nota.</w:t>
      </w:r>
      <w:r>
        <w:t xml:space="preserve"> Captura de Jira. Comentario de la Guía 8 en KAN-57 con los casos aprobados y la captura de Playwright de la historia.</w:t>
      </w:r>
    </w:p>
    <w:p>
      <w:pPr>
        <w:pStyle w:val="APA"/>
        <w:keepNext/>
        <w:ind w:firstLine="0"/>
      </w:pPr>
      <w:r>
        <w:rPr>
          <w:b/>
        </w:rPr>
        <w:t>Figura 8</w:t>
      </w:r>
    </w:p>
    <w:p>
      <w:pPr>
        <w:pStyle w:val="APA"/>
        <w:keepNext/>
        <w:ind w:firstLine="0"/>
      </w:pPr>
      <w:r>
        <w:rPr>
          <w:i/>
        </w:rPr>
        <w:t>Evidencia de pruebas registrada en KAN-58 (HU-08)</w:t>
      </w:r>
    </w:p>
    <w:p>
      <w:pPr>
        <w:pStyle w:val="APA"/>
        <w:keepNext/>
        <w:ind w:firstLine="0"/>
        <w:jc w:val="center"/>
      </w:pPr>
      <w:r>
        <w:drawing>
          <wp:inline xmlns:a="http://schemas.openxmlformats.org/drawingml/2006/main" xmlns:pic="http://schemas.openxmlformats.org/drawingml/2006/picture">
            <wp:extent cx="5486400" cy="2308980"/>
            <wp:docPr id="8" name="Picture 8"/>
            <wp:cNvGraphicFramePr>
              <a:graphicFrameLocks noChangeAspect="1"/>
            </wp:cNvGraphicFramePr>
            <a:graphic>
              <a:graphicData uri="http://schemas.openxmlformats.org/drawingml/2006/picture">
                <pic:pic>
                  <pic:nvPicPr>
                    <pic:cNvPr id="0" name="jira-04-kan58-hu08.jpg"/>
                    <pic:cNvPicPr/>
                  </pic:nvPicPr>
                  <pic:blipFill>
                    <a:blip r:embed="rId17"/>
                    <a:stretch>
                      <a:fillRect/>
                    </a:stretch>
                  </pic:blipFill>
                  <pic:spPr>
                    <a:xfrm>
                      <a:off x="0" y="0"/>
                      <a:ext cx="5486400" cy="2308980"/>
                    </a:xfrm>
                    <a:prstGeom prst="rect"/>
                  </pic:spPr>
                </pic:pic>
              </a:graphicData>
            </a:graphic>
          </wp:inline>
        </w:drawing>
      </w:r>
    </w:p>
    <w:p>
      <w:pPr>
        <w:pStyle w:val="APA"/>
        <w:ind w:firstLine="0"/>
        <w:jc w:val="left"/>
      </w:pPr>
      <w:r>
        <w:rPr>
          <w:i/>
        </w:rPr>
        <w:t>Nota.</w:t>
      </w:r>
      <w:r>
        <w:t xml:space="preserve"> Captura de Jira. Comentario de la Guía 8 en KAN-58 con los casos aprobados y la captura de Playwright de la historia.</w:t>
      </w:r>
    </w:p>
    <w:p>
      <w:pPr>
        <w:pStyle w:val="APA"/>
        <w:keepNext/>
        <w:ind w:firstLine="0"/>
      </w:pPr>
      <w:r>
        <w:rPr>
          <w:b/>
        </w:rPr>
        <w:t>Figura 9</w:t>
      </w:r>
    </w:p>
    <w:p>
      <w:pPr>
        <w:pStyle w:val="APA"/>
        <w:keepNext/>
        <w:ind w:firstLine="0"/>
      </w:pPr>
      <w:r>
        <w:rPr>
          <w:i/>
        </w:rPr>
        <w:t>Evidencia de pruebas registrada en KAN-59 (HU-09)</w:t>
      </w:r>
    </w:p>
    <w:p>
      <w:pPr>
        <w:pStyle w:val="APA"/>
        <w:keepNext/>
        <w:ind w:firstLine="0"/>
        <w:jc w:val="center"/>
      </w:pPr>
      <w:r>
        <w:drawing>
          <wp:inline xmlns:a="http://schemas.openxmlformats.org/drawingml/2006/main" xmlns:pic="http://schemas.openxmlformats.org/drawingml/2006/picture">
            <wp:extent cx="5486400" cy="2308980"/>
            <wp:docPr id="9" name="Picture 9"/>
            <wp:cNvGraphicFramePr>
              <a:graphicFrameLocks noChangeAspect="1"/>
            </wp:cNvGraphicFramePr>
            <a:graphic>
              <a:graphicData uri="http://schemas.openxmlformats.org/drawingml/2006/picture">
                <pic:pic>
                  <pic:nvPicPr>
                    <pic:cNvPr id="0" name="jira-05-kan59-hu09.jpg"/>
                    <pic:cNvPicPr/>
                  </pic:nvPicPr>
                  <pic:blipFill>
                    <a:blip r:embed="rId18"/>
                    <a:stretch>
                      <a:fillRect/>
                    </a:stretch>
                  </pic:blipFill>
                  <pic:spPr>
                    <a:xfrm>
                      <a:off x="0" y="0"/>
                      <a:ext cx="5486400" cy="2308980"/>
                    </a:xfrm>
                    <a:prstGeom prst="rect"/>
                  </pic:spPr>
                </pic:pic>
              </a:graphicData>
            </a:graphic>
          </wp:inline>
        </w:drawing>
      </w:r>
    </w:p>
    <w:p>
      <w:pPr>
        <w:pStyle w:val="APA"/>
        <w:ind w:firstLine="0"/>
        <w:jc w:val="left"/>
      </w:pPr>
      <w:r>
        <w:rPr>
          <w:i/>
        </w:rPr>
        <w:t>Nota.</w:t>
      </w:r>
      <w:r>
        <w:t xml:space="preserve"> Captura de Jira. Comentario de la Guía 8 en KAN-59 con los casos aprobados y la captura de Playwright de la historia.</w:t>
      </w:r>
    </w:p>
    <w:p>
      <w:pPr>
        <w:pStyle w:val="APA"/>
        <w:keepNext/>
        <w:ind w:firstLine="0"/>
      </w:pPr>
      <w:r>
        <w:rPr>
          <w:b/>
        </w:rPr>
        <w:t>Figura 10</w:t>
      </w:r>
    </w:p>
    <w:p>
      <w:pPr>
        <w:pStyle w:val="APA"/>
        <w:keepNext/>
        <w:ind w:firstLine="0"/>
      </w:pPr>
      <w:r>
        <w:rPr>
          <w:i/>
        </w:rPr>
        <w:t>Evidencia de pruebas registrada en KAN-60 (HU-10)</w:t>
      </w:r>
    </w:p>
    <w:p>
      <w:pPr>
        <w:pStyle w:val="APA"/>
        <w:keepNext/>
        <w:ind w:firstLine="0"/>
        <w:jc w:val="center"/>
      </w:pPr>
      <w:r>
        <w:drawing>
          <wp:inline xmlns:a="http://schemas.openxmlformats.org/drawingml/2006/main" xmlns:pic="http://schemas.openxmlformats.org/drawingml/2006/picture">
            <wp:extent cx="5486400" cy="2308980"/>
            <wp:docPr id="10" name="Picture 10"/>
            <wp:cNvGraphicFramePr>
              <a:graphicFrameLocks noChangeAspect="1"/>
            </wp:cNvGraphicFramePr>
            <a:graphic>
              <a:graphicData uri="http://schemas.openxmlformats.org/drawingml/2006/picture">
                <pic:pic>
                  <pic:nvPicPr>
                    <pic:cNvPr id="0" name="jira-06-kan60-hu10.jpg"/>
                    <pic:cNvPicPr/>
                  </pic:nvPicPr>
                  <pic:blipFill>
                    <a:blip r:embed="rId19"/>
                    <a:stretch>
                      <a:fillRect/>
                    </a:stretch>
                  </pic:blipFill>
                  <pic:spPr>
                    <a:xfrm>
                      <a:off x="0" y="0"/>
                      <a:ext cx="5486400" cy="2308980"/>
                    </a:xfrm>
                    <a:prstGeom prst="rect"/>
                  </pic:spPr>
                </pic:pic>
              </a:graphicData>
            </a:graphic>
          </wp:inline>
        </w:drawing>
      </w:r>
    </w:p>
    <w:p>
      <w:pPr>
        <w:pStyle w:val="APA"/>
        <w:ind w:firstLine="0"/>
        <w:jc w:val="left"/>
      </w:pPr>
      <w:r>
        <w:rPr>
          <w:i/>
        </w:rPr>
        <w:t>Nota.</w:t>
      </w:r>
      <w:r>
        <w:t xml:space="preserve"> Captura de Jira. Comentario de la Guía 8 en KAN-60 con los casos aprobados y la captura de Playwright de la historia.</w:t>
      </w:r>
    </w:p>
    <w:p>
      <w:pPr>
        <w:pStyle w:val="APA"/>
        <w:keepNext/>
        <w:ind w:firstLine="0"/>
      </w:pPr>
      <w:r>
        <w:rPr>
          <w:b/>
        </w:rPr>
        <w:t>Figura 11</w:t>
      </w:r>
    </w:p>
    <w:p>
      <w:pPr>
        <w:pStyle w:val="APA"/>
        <w:keepNext/>
        <w:ind w:firstLine="0"/>
      </w:pPr>
      <w:r>
        <w:rPr>
          <w:i/>
        </w:rPr>
        <w:t>Evidencia de pruebas registrada en KAN-61 (HU-11)</w:t>
      </w:r>
    </w:p>
    <w:p>
      <w:pPr>
        <w:pStyle w:val="APA"/>
        <w:keepNext/>
        <w:ind w:firstLine="0"/>
        <w:jc w:val="center"/>
      </w:pPr>
      <w:r>
        <w:drawing>
          <wp:inline xmlns:a="http://schemas.openxmlformats.org/drawingml/2006/main" xmlns:pic="http://schemas.openxmlformats.org/drawingml/2006/picture">
            <wp:extent cx="5486400" cy="2308980"/>
            <wp:docPr id="11" name="Picture 11"/>
            <wp:cNvGraphicFramePr>
              <a:graphicFrameLocks noChangeAspect="1"/>
            </wp:cNvGraphicFramePr>
            <a:graphic>
              <a:graphicData uri="http://schemas.openxmlformats.org/drawingml/2006/picture">
                <pic:pic>
                  <pic:nvPicPr>
                    <pic:cNvPr id="0" name="jira-07-kan61-hu11.jpg"/>
                    <pic:cNvPicPr/>
                  </pic:nvPicPr>
                  <pic:blipFill>
                    <a:blip r:embed="rId20"/>
                    <a:stretch>
                      <a:fillRect/>
                    </a:stretch>
                  </pic:blipFill>
                  <pic:spPr>
                    <a:xfrm>
                      <a:off x="0" y="0"/>
                      <a:ext cx="5486400" cy="2308980"/>
                    </a:xfrm>
                    <a:prstGeom prst="rect"/>
                  </pic:spPr>
                </pic:pic>
              </a:graphicData>
            </a:graphic>
          </wp:inline>
        </w:drawing>
      </w:r>
    </w:p>
    <w:p>
      <w:pPr>
        <w:pStyle w:val="APA"/>
        <w:ind w:firstLine="0"/>
        <w:jc w:val="left"/>
      </w:pPr>
      <w:r>
        <w:rPr>
          <w:i/>
        </w:rPr>
        <w:t>Nota.</w:t>
      </w:r>
      <w:r>
        <w:t xml:space="preserve"> Captura de Jira. Comentario de la Guía 8 en KAN-61 con los casos aprobados y la captura de Playwright de la historia.</w:t>
      </w:r>
    </w:p>
    <w:p w14:paraId="019FA4DD" w14:textId="422F1ECB" w:rsidR="00323FAC" w:rsidRPr="00D9780A" w:rsidRDefault="00323FAC" w:rsidP="006A6A57">
      <w:pPr>
        <w:pStyle w:val="APA"/>
        <w:pageBreakBefore/>
        <w:ind w:firstLine="0"/>
        <w:jc w:val="center"/>
        <w:rPr>
          <w:b/>
          <w:bCs/>
        </w:rPr>
      </w:pPr>
      <w:r w:rsidRPr="00D9780A">
        <w:rPr>
          <w:b/>
          <w:bCs/>
        </w:rPr>
        <w:t>LISTA COMPLETA EN ENLACES DEL PROYECTO</w:t>
      </w:r>
    </w:p>
    <w:p>
      <w:pPr>
        <w:pStyle w:val="APA"/>
        <w:numPr>
          <w:ilvl w:val="0"/>
          <w:numId w:val="32"/>
        </w:numPr>
        <w:jc w:val="left"/>
      </w:pPr>
      <w:r>
        <w:t xml:space="preserve">Repositorio en GitHub: </w:t>
      </w:r>
      <w:hyperlink r:id="rId21">
        <w:r>
          <w:rPr>
            <w:color w:val="0563C1"/>
            <w:u w:val="single"/>
          </w:rPr>
          <w:t xml:space="preserve">https://github.com/gustavo8015/martillo-erp</w:t>
        </w:r>
      </w:hyperlink>
    </w:p>
    <w:p>
      <w:pPr>
        <w:pStyle w:val="APA"/>
        <w:numPr>
          <w:ilvl w:val="0"/>
          <w:numId w:val="32"/>
        </w:numPr>
        <w:jc w:val="left"/>
      </w:pPr>
      <w:r>
        <w:t xml:space="preserve">Rama del Sprint 3: </w:t>
      </w:r>
      <w:hyperlink r:id="rId22">
        <w:r>
          <w:rPr>
            <w:color w:val="0563C1"/>
            <w:u w:val="single"/>
          </w:rPr>
          <w:t xml:space="preserve">https://github.com/gustavo8015/martillo-erp/tree/sprint3</w:t>
        </w:r>
      </w:hyperlink>
    </w:p>
    <w:p>
      <w:pPr>
        <w:pStyle w:val="APA"/>
        <w:numPr>
          <w:ilvl w:val="0"/>
          <w:numId w:val="32"/>
        </w:numPr>
        <w:jc w:val="left"/>
      </w:pPr>
      <w:r>
        <w:t xml:space="preserve">Ejecución exitosa de las pruebas en GitHub Actions: </w:t>
      </w:r>
      <w:hyperlink r:id="rId23">
        <w:r>
          <w:rPr>
            <w:color w:val="0563C1"/>
            <w:u w:val="single"/>
          </w:rPr>
          <w:t xml:space="preserve">https://github.com/gustavo8015/martillo-erp/actions/runs/36904479555</w:t>
        </w:r>
      </w:hyperlink>
    </w:p>
    <w:p>
      <w:pPr>
        <w:pStyle w:val="APA"/>
        <w:numPr>
          <w:ilvl w:val="0"/>
          <w:numId w:val="32"/>
        </w:numPr>
        <w:jc w:val="left"/>
      </w:pPr>
      <w:r>
        <w:t xml:space="preserve">Historial del flujo de construcción: </w:t>
      </w:r>
      <w:hyperlink r:id="rId24">
        <w:r>
          <w:rPr>
            <w:color w:val="0563C1"/>
            <w:u w:val="single"/>
          </w:rPr>
          <w:t xml:space="preserve">https://github.com/gustavo8015/martillo-erp/actions/workflows/construccion.yml</w:t>
        </w:r>
      </w:hyperlink>
    </w:p>
    <w:p>
      <w:pPr>
        <w:pStyle w:val="APA"/>
        <w:numPr>
          <w:ilvl w:val="0"/>
          <w:numId w:val="32"/>
        </w:numPr>
        <w:jc w:val="left"/>
      </w:pPr>
      <w:r>
        <w:t xml:space="preserve">Pruebas de integración del backend: </w:t>
      </w:r>
      <w:hyperlink r:id="rId25">
        <w:r>
          <w:rPr>
            <w:color w:val="0563C1"/>
            <w:u w:val="single"/>
          </w:rPr>
          <w:t xml:space="preserve">https://github.com/gustavo8015/martillo-erp/tree/sprint3/src/test/java/com/martillo/integracion</w:t>
        </w:r>
      </w:hyperlink>
    </w:p>
    <w:p>
      <w:pPr>
        <w:pStyle w:val="APA"/>
        <w:numPr>
          <w:ilvl w:val="0"/>
          <w:numId w:val="32"/>
        </w:numPr>
        <w:jc w:val="left"/>
      </w:pPr>
      <w:r>
        <w:t xml:space="preserve">Pruebas de la interfaz con Playwright: </w:t>
      </w:r>
      <w:hyperlink r:id="rId26">
        <w:r>
          <w:rPr>
            <w:color w:val="0563C1"/>
            <w:u w:val="single"/>
          </w:rPr>
          <w:t xml:space="preserve">https://github.com/gustavo8015/martillo-erp/tree/sprint3/frontend/pruebas/e2e</w:t>
        </w:r>
      </w:hyperlink>
    </w:p>
    <w:p>
      <w:pPr>
        <w:pStyle w:val="APA"/>
        <w:numPr>
          <w:ilvl w:val="0"/>
          <w:numId w:val="32"/>
        </w:numPr>
        <w:jc w:val="left"/>
      </w:pPr>
      <w:r>
        <w:t xml:space="preserve">Plan de pruebas y evidencias: </w:t>
      </w:r>
      <w:hyperlink r:id="rId27">
        <w:r>
          <w:rPr>
            <w:color w:val="0563C1"/>
            <w:u w:val="single"/>
          </w:rPr>
          <w:t xml:space="preserve">https://github.com/gustavo8015/martillo-erp/tree/sprint3/docs/pruebas</w:t>
        </w:r>
      </w:hyperlink>
    </w:p>
    <w:p>
      <w:pPr>
        <w:pStyle w:val="APA"/>
        <w:numPr>
          <w:ilvl w:val="0"/>
          <w:numId w:val="32"/>
        </w:numPr>
        <w:jc w:val="left"/>
      </w:pPr>
      <w:r>
        <w:t xml:space="preserve">Comparación para el Pull Request hacia develop: </w:t>
      </w:r>
      <w:hyperlink r:id="rId28">
        <w:r>
          <w:rPr>
            <w:color w:val="0563C1"/>
            <w:u w:val="single"/>
          </w:rPr>
          <w:t xml:space="preserve">https://github.com/gustavo8015/martillo-erp/compare/develop...sprint3</w:t>
        </w:r>
      </w:hyperlink>
    </w:p>
    <w:p>
      <w:pPr>
        <w:pStyle w:val="APA"/>
        <w:numPr>
          <w:ilvl w:val="0"/>
          <w:numId w:val="32"/>
        </w:numPr>
        <w:jc w:val="left"/>
      </w:pPr>
      <w:r>
        <w:t xml:space="preserve">Interfaz publicada en GitHub Pages: </w:t>
      </w:r>
      <w:hyperlink r:id="rId29">
        <w:r>
          <w:rPr>
            <w:color w:val="0563C1"/>
            <w:u w:val="single"/>
          </w:rPr>
          <w:t xml:space="preserve">https://gustavo8015.github.io/martillo-erp/</w:t>
        </w:r>
      </w:hyperlink>
    </w:p>
    <w:p>
      <w:pPr>
        <w:pStyle w:val="APA"/>
        <w:numPr>
          <w:ilvl w:val="0"/>
          <w:numId w:val="32"/>
        </w:numPr>
        <w:jc w:val="left"/>
      </w:pPr>
      <w:r>
        <w:t xml:space="preserve">Tablero en Jira: </w:t>
      </w:r>
      <w:hyperlink r:id="rId30">
        <w:r>
          <w:rPr>
            <w:color w:val="0563C1"/>
            <w:u w:val="single"/>
          </w:rPr>
          <w:t xml:space="preserve">https://gustavo8015.atlassian.net/jira/software/projects/KAN/boards/1</w:t>
        </w:r>
      </w:hyperlink>
    </w:p>
    <w:p>
      <w:pPr>
        <w:pStyle w:val="APA"/>
        <w:numPr>
          <w:ilvl w:val="0"/>
          <w:numId w:val="32"/>
        </w:numPr>
        <w:jc w:val="left"/>
      </w:pPr>
      <w:r>
        <w:t xml:space="preserve">Épica del Sprint 3 en Jira (KAN-56): </w:t>
      </w:r>
      <w:hyperlink r:id="rId31">
        <w:r>
          <w:rPr>
            <w:color w:val="0563C1"/>
            <w:u w:val="single"/>
          </w:rPr>
          <w:t xml:space="preserve">https://gustavo8015.atlassian.net/browse/KAN-56</w:t>
        </w:r>
      </w:hyperlink>
    </w:p>
    <w:p>
      <w:pPr>
        <w:pStyle w:val="APA"/>
        <w:numPr>
          <w:ilvl w:val="0"/>
          <w:numId w:val="32"/>
        </w:numPr>
        <w:jc w:val="left"/>
      </w:pPr>
      <w:r>
        <w:t xml:space="preserve">Documentación arc42 en Notion: </w:t>
      </w:r>
      <w:hyperlink r:id="rId32">
        <w:r>
          <w:rPr>
            <w:color w:val="0563C1"/>
            <w:u w:val="single"/>
          </w:rPr>
          <w:t xml:space="preserve">https://www.notion.so/3d366473640181078432efdd88165ed4</w:t>
        </w:r>
      </w:hyperlink>
    </w:p>
    <w:p>
      <w:pPr>
        <w:pStyle w:val="APA"/>
        <w:numPr>
          <w:ilvl w:val="0"/>
          <w:numId w:val="32"/>
        </w:numPr>
        <w:jc w:val="left"/>
      </w:pPr>
      <w:r>
        <w:t xml:space="preserve">Diseño de las pantallas en Figma: </w:t>
      </w:r>
      <w:hyperlink r:id="rId33">
        <w:r>
          <w:rPr>
            <w:color w:val="0563C1"/>
            <w:u w:val="single"/>
          </w:rPr>
          <w:t xml:space="preserve">https://www.figma.com/design/iVL0utsrRtKgPBYUrN02nS</w:t>
        </w:r>
      </w:hyperlink>
    </w:p>
    <w:p w14:paraId="03624376" w14:textId="77777777" w:rsidR="00323FAC" w:rsidRPr="00D9780A" w:rsidRDefault="00323FAC" w:rsidP="00D9780A">
      <w:pPr>
        <w:pStyle w:val="APA"/>
        <w:pageBreakBefore/>
        <w:jc w:val="center"/>
        <w:rPr>
          <w:b/>
          <w:bCs/>
        </w:rPr>
      </w:pPr>
      <w:r w:rsidRPr="00D9780A">
        <w:rPr>
          <w:b/>
          <w:bCs/>
        </w:rPr>
        <w:t>CONCLUSIONES</w:t>
      </w:r>
    </w:p>
    <w:p>
      <w:pPr>
        <w:pStyle w:val="APA"/>
        <w:jc w:val="left"/>
      </w:pPr>
      <w:r>
        <w:t>Aplicar las cuatro actividades de ISO/IEC 25010:2023 convirtió los criterios de aceptación del Sprint 3 en requisitos con un umbral verificable y reveló vacíos que las pruebas unitarias ocultaban: la autorización y la verificación de reCAPTCHA no se habían comprobado a través de HTTP, y la accesibilidad no tenía ninguna prueba automática. Con 62 casos aprobados y una cobertura de líneas del 89,9 %, las cinco historias cumplen sus criterios en los tres niveles de prueba.</w:t>
      </w:r>
    </w:p>
    <w:p>
      <w:pPr>
        <w:pStyle w:val="APA"/>
        <w:jc w:val="left"/>
      </w:pPr>
      <w:r>
        <w:t>El valor principal de la práctica estuvo en ejecutar las pruebas en un entorno reproducible. Los dos defectos encontrados, un mensaje de error que no orientaba al usuario y una prueba que no habría pasado nunca, solo aparecieron al correr la suite completa en GitHub Actions. Queda pendiente abrir el Pull Request hacia develop para que esa misma verificación proteja la fusión del sprint.</w:t>
      </w:r>
    </w:p>
    <w:p w14:paraId="5510346C" w14:textId="77777777" w:rsidR="00323FAC" w:rsidRPr="00D3245D" w:rsidRDefault="00323FAC" w:rsidP="00D9780A">
      <w:pPr>
        <w:pStyle w:val="APA"/>
        <w:pageBreakBefore/>
        <w:jc w:val="center"/>
        <w:rPr>
          <w:b/>
          <w:bCs/>
          <w:lang w:val="en-US"/>
        </w:rPr>
      </w:pPr>
      <w:r w:rsidRPr="00D3245D">
        <w:rPr>
          <w:b/>
          <w:bCs/>
          <w:lang w:val="en-US"/>
        </w:rPr>
        <w:t>REFERENCIAS</w:t>
      </w:r>
    </w:p>
    <w:p>
      <w:pPr>
        <w:pStyle w:val="APA"/>
        <w:ind w:hanging="720" w:left="720"/>
        <w:jc w:val="left"/>
      </w:pPr>
      <w:r>
        <w:t>Decreto 2663 de 1950. Sobre Código Sustantivo del Trabajo. 5 de agosto de 1950. Diario Oficial No. 27.407.</w:t>
      </w:r>
    </w:p>
    <w:p>
      <w:pPr>
        <w:pStyle w:val="APA"/>
        <w:ind w:hanging="720" w:left="720"/>
        <w:jc w:val="left"/>
      </w:pPr>
      <w:r>
        <w:t xml:space="preserve">Google. (s. f.). </w:t>
      </w:r>
      <w:r>
        <w:rPr>
          <w:i/>
        </w:rPr>
        <w:t>reCAPTCHA v3</w:t>
      </w:r>
      <w:r>
        <w:t>. Google for Developers. https://developers.google.com/recaptcha/docs/v3</w:t>
      </w:r>
    </w:p>
    <w:p>
      <w:pPr>
        <w:pStyle w:val="APA"/>
        <w:ind w:hanging="720" w:left="720"/>
        <w:jc w:val="left"/>
      </w:pPr>
      <w:r>
        <w:t xml:space="preserve">International Organization for Standardization. (2023). </w:t>
      </w:r>
      <w:r>
        <w:rPr>
          <w:i/>
        </w:rPr>
        <w:t>ISO/IEC 25010:2023 Systems and software engineering: Systems and software Quality Requirements and Evaluation (SQuaRE): Product quality model</w:t>
      </w:r>
      <w:r>
        <w:t>. https://www.iso.org/standard/78176.html</w:t>
      </w:r>
    </w:p>
    <w:p>
      <w:pPr>
        <w:pStyle w:val="APA"/>
        <w:ind w:hanging="720" w:left="720"/>
        <w:jc w:val="left"/>
      </w:pPr>
      <w:r>
        <w:t xml:space="preserve">JUnit Team. (s. f.). </w:t>
      </w:r>
      <w:r>
        <w:rPr>
          <w:i/>
        </w:rPr>
        <w:t>JUnit 5 user guide</w:t>
      </w:r>
      <w:r>
        <w:t>. https://junit.org/junit5/docs/current/user-guide/</w:t>
      </w:r>
    </w:p>
    <w:p>
      <w:pPr>
        <w:pStyle w:val="APA"/>
        <w:ind w:hanging="720" w:left="720"/>
        <w:jc w:val="left"/>
      </w:pPr>
      <w:r>
        <w:t xml:space="preserve">Microsoft. (s. f.). </w:t>
      </w:r>
      <w:r>
        <w:rPr>
          <w:i/>
        </w:rPr>
        <w:t>Playwright: Fast and reliable end-to-end testing for modern web apps</w:t>
      </w:r>
      <w:r>
        <w:t>. https://playwright.dev/</w:t>
      </w:r>
    </w:p>
    <w:p>
      <w:pPr>
        <w:pStyle w:val="APA"/>
        <w:ind w:hanging="720" w:left="720"/>
        <w:jc w:val="left"/>
      </w:pPr>
      <w:r>
        <w:t xml:space="preserve">Mountainminds GmbH &amp; Co. KG y colaboradores. (s. f.). </w:t>
      </w:r>
      <w:r>
        <w:rPr>
          <w:i/>
        </w:rPr>
        <w:t>JaCoCo Java code coverage library</w:t>
      </w:r>
      <w:r>
        <w:t>. https://www.jacoco.org/jacoco/</w:t>
      </w:r>
    </w:p>
    <w:p>
      <w:pPr>
        <w:pStyle w:val="APA"/>
        <w:ind w:hanging="720" w:left="720"/>
        <w:jc w:val="left"/>
      </w:pPr>
      <w:r>
        <w:t xml:space="preserve">Myers, G. J., Sandler, C. y Badgett, T. (2012). </w:t>
      </w:r>
      <w:r>
        <w:rPr>
          <w:i/>
        </w:rPr>
        <w:t>The art of software testing</w:t>
      </w:r>
      <w:r>
        <w:t xml:space="preserve"> (3.ª ed.). John Wiley &amp; Sons.</w:t>
      </w:r>
    </w:p>
    <w:p>
      <w:pPr>
        <w:pStyle w:val="APA"/>
        <w:ind w:hanging="720" w:left="720"/>
        <w:jc w:val="left"/>
      </w:pPr>
      <w:r>
        <w:t xml:space="preserve">Spring. (s. f.). </w:t>
      </w:r>
      <w:r>
        <w:rPr>
          <w:i/>
        </w:rPr>
        <w:t>Testing</w:t>
      </w:r>
      <w:r>
        <w:t>. Spring Boot reference documentation. https://docs.spring.io/spring-boot/reference/testing/index.html</w:t>
      </w:r>
    </w:p>
    <w:p>
      <w:pPr>
        <w:pStyle w:val="APA"/>
        <w:ind w:hanging="720" w:left="720"/>
        <w:jc w:val="left"/>
      </w:pPr>
      <w:r>
        <w:t xml:space="preserve">World Wide Web Consortium. (2023). </w:t>
      </w:r>
      <w:r>
        <w:rPr>
          <w:i/>
        </w:rPr>
        <w:t>Web Content Accessibility Guidelines (WCAG) 2.2</w:t>
      </w:r>
      <w:r>
        <w:t>. https://www.w3.org/TR/WCAG22/</w:t>
      </w:r>
    </w:p>
    <w:sectPr w:rsidR="002C51E5" w:rsidRPr="00D3245D" w:rsidSect="00323FAC">
      <w:headerReference w:type="default" r:id="rId7"/>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A02AB" w14:textId="77777777" w:rsidR="00A87A18" w:rsidRDefault="00A87A18">
      <w:pPr>
        <w:spacing w:after="0" w:line="240" w:lineRule="auto"/>
      </w:pPr>
      <w:r>
        <w:separator/>
      </w:r>
    </w:p>
  </w:endnote>
  <w:endnote w:type="continuationSeparator" w:id="0">
    <w:p w14:paraId="1CF089D8" w14:textId="77777777" w:rsidR="00A87A18" w:rsidRDefault="00A87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66A8C" w14:textId="77777777" w:rsidR="00A87A18" w:rsidRDefault="00A87A18">
      <w:pPr>
        <w:spacing w:after="0" w:line="240" w:lineRule="auto"/>
      </w:pPr>
      <w:r>
        <w:separator/>
      </w:r>
    </w:p>
  </w:footnote>
  <w:footnote w:type="continuationSeparator" w:id="0">
    <w:p w14:paraId="38826440" w14:textId="77777777" w:rsidR="00A87A18" w:rsidRDefault="00A87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555"/>
      <w:docPartObj>
        <w:docPartGallery w:val="Page Numbers (Top of Page)"/>
        <w:docPartUnique/>
      </w:docPartObj>
    </w:sdtPr>
    <w:sdtContent>
      <w:p w14:paraId="6D92BE7E" w14:textId="77777777" w:rsidR="00323FAC" w:rsidRDefault="00323FAC">
        <w:pPr>
          <w:pStyle w:val="Encabezado"/>
          <w:jc w:val="right"/>
        </w:pPr>
        <w:r>
          <w:fldChar w:fldCharType="begin"/>
        </w:r>
        <w:r>
          <w:instrText>PAGE   \* MERGEFORMAT</w:instrText>
        </w:r>
        <w:r>
          <w:fldChar w:fldCharType="separate"/>
        </w:r>
        <w:r>
          <w:t>2</w:t>
        </w:r>
        <w:r>
          <w:fldChar w:fldCharType="end"/>
        </w:r>
      </w:p>
    </w:sdtContent>
  </w:sdt>
  <w:p w14:paraId="31A2CB34" w14:textId="77777777" w:rsidR="00323FAC" w:rsidRDefault="00323F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270"/>
    <w:multiLevelType w:val="hybridMultilevel"/>
    <w:tmpl w:val="8D66E4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7A5D57"/>
    <w:multiLevelType w:val="hybridMultilevel"/>
    <w:tmpl w:val="A05443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4A1099"/>
    <w:multiLevelType w:val="hybridMultilevel"/>
    <w:tmpl w:val="32AC7F0E"/>
    <w:lvl w:ilvl="0" w:tplc="0C0A0005">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109258A4"/>
    <w:multiLevelType w:val="hybridMultilevel"/>
    <w:tmpl w:val="FCDADCEC"/>
    <w:lvl w:ilvl="0" w:tplc="0C0A000F">
      <w:start w:val="1"/>
      <w:numFmt w:val="decimal"/>
      <w:lvlText w:val="%1."/>
      <w:lvlJc w:val="left"/>
      <w:pPr>
        <w:ind w:left="2340" w:hanging="360"/>
      </w:pPr>
    </w:lvl>
    <w:lvl w:ilvl="1" w:tplc="0C0A0019" w:tentative="1">
      <w:start w:val="1"/>
      <w:numFmt w:val="lowerLetter"/>
      <w:lvlText w:val="%2."/>
      <w:lvlJc w:val="left"/>
      <w:pPr>
        <w:ind w:left="3060" w:hanging="360"/>
      </w:pPr>
    </w:lvl>
    <w:lvl w:ilvl="2" w:tplc="0C0A001B" w:tentative="1">
      <w:start w:val="1"/>
      <w:numFmt w:val="lowerRoman"/>
      <w:lvlText w:val="%3."/>
      <w:lvlJc w:val="right"/>
      <w:pPr>
        <w:ind w:left="3780" w:hanging="180"/>
      </w:pPr>
    </w:lvl>
    <w:lvl w:ilvl="3" w:tplc="0C0A000F" w:tentative="1">
      <w:start w:val="1"/>
      <w:numFmt w:val="decimal"/>
      <w:lvlText w:val="%4."/>
      <w:lvlJc w:val="left"/>
      <w:pPr>
        <w:ind w:left="4500" w:hanging="360"/>
      </w:pPr>
    </w:lvl>
    <w:lvl w:ilvl="4" w:tplc="0C0A0019" w:tentative="1">
      <w:start w:val="1"/>
      <w:numFmt w:val="lowerLetter"/>
      <w:lvlText w:val="%5."/>
      <w:lvlJc w:val="left"/>
      <w:pPr>
        <w:ind w:left="5220" w:hanging="360"/>
      </w:pPr>
    </w:lvl>
    <w:lvl w:ilvl="5" w:tplc="0C0A001B" w:tentative="1">
      <w:start w:val="1"/>
      <w:numFmt w:val="lowerRoman"/>
      <w:lvlText w:val="%6."/>
      <w:lvlJc w:val="right"/>
      <w:pPr>
        <w:ind w:left="5940" w:hanging="180"/>
      </w:pPr>
    </w:lvl>
    <w:lvl w:ilvl="6" w:tplc="0C0A000F" w:tentative="1">
      <w:start w:val="1"/>
      <w:numFmt w:val="decimal"/>
      <w:lvlText w:val="%7."/>
      <w:lvlJc w:val="left"/>
      <w:pPr>
        <w:ind w:left="6660" w:hanging="360"/>
      </w:pPr>
    </w:lvl>
    <w:lvl w:ilvl="7" w:tplc="0C0A0019" w:tentative="1">
      <w:start w:val="1"/>
      <w:numFmt w:val="lowerLetter"/>
      <w:lvlText w:val="%8."/>
      <w:lvlJc w:val="left"/>
      <w:pPr>
        <w:ind w:left="7380" w:hanging="360"/>
      </w:pPr>
    </w:lvl>
    <w:lvl w:ilvl="8" w:tplc="0C0A001B" w:tentative="1">
      <w:start w:val="1"/>
      <w:numFmt w:val="lowerRoman"/>
      <w:lvlText w:val="%9."/>
      <w:lvlJc w:val="right"/>
      <w:pPr>
        <w:ind w:left="8100" w:hanging="180"/>
      </w:pPr>
    </w:lvl>
  </w:abstractNum>
  <w:abstractNum w:abstractNumId="4" w15:restartNumberingAfterBreak="0">
    <w:nsid w:val="126026C7"/>
    <w:multiLevelType w:val="hybridMultilevel"/>
    <w:tmpl w:val="A98831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D1F623F"/>
    <w:multiLevelType w:val="hybridMultilevel"/>
    <w:tmpl w:val="23C0EA4E"/>
    <w:lvl w:ilvl="0" w:tplc="A90828BE">
      <w:start w:val="1"/>
      <w:numFmt w:val="decimal"/>
      <w:lvlText w:val="%1."/>
      <w:lvlJc w:val="left"/>
      <w:pPr>
        <w:ind w:left="180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4742AE6"/>
    <w:multiLevelType w:val="hybridMultilevel"/>
    <w:tmpl w:val="7396BB38"/>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402605"/>
    <w:multiLevelType w:val="hybridMultilevel"/>
    <w:tmpl w:val="6E60FB88"/>
    <w:lvl w:ilvl="0" w:tplc="A90828B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2B1F7098"/>
    <w:multiLevelType w:val="hybridMultilevel"/>
    <w:tmpl w:val="38EC19C0"/>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BCA2C3C"/>
    <w:multiLevelType w:val="hybridMultilevel"/>
    <w:tmpl w:val="7F1E418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1E84882"/>
    <w:multiLevelType w:val="hybridMultilevel"/>
    <w:tmpl w:val="9B8A7D34"/>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37BE226C"/>
    <w:multiLevelType w:val="hybridMultilevel"/>
    <w:tmpl w:val="30385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8402697"/>
    <w:multiLevelType w:val="hybridMultilevel"/>
    <w:tmpl w:val="495EFB0A"/>
    <w:lvl w:ilvl="0" w:tplc="42B22B6A">
      <w:start w:val="1"/>
      <w:numFmt w:val="bullet"/>
      <w:lvlText w:val="•"/>
      <w:lvlJc w:val="left"/>
      <w:pPr>
        <w:spacing w:line="480" w:lineRule="auto"/>
        <w:ind w:left="1080" w:hanging="360"/>
      </w:pPr>
    </w:lvl>
    <w:lvl w:ilvl="1" w:tplc="CE7CEE1E">
      <w:numFmt w:val="decimal"/>
      <w:lvlText w:val=""/>
      <w:lvlJc w:val="left"/>
    </w:lvl>
    <w:lvl w:ilvl="2" w:tplc="8E1EA17A">
      <w:numFmt w:val="decimal"/>
      <w:lvlText w:val=""/>
      <w:lvlJc w:val="left"/>
    </w:lvl>
    <w:lvl w:ilvl="3" w:tplc="3BDAA650">
      <w:numFmt w:val="decimal"/>
      <w:lvlText w:val=""/>
      <w:lvlJc w:val="left"/>
    </w:lvl>
    <w:lvl w:ilvl="4" w:tplc="CF5EEA46">
      <w:numFmt w:val="decimal"/>
      <w:lvlText w:val=""/>
      <w:lvlJc w:val="left"/>
    </w:lvl>
    <w:lvl w:ilvl="5" w:tplc="1E6A18F8">
      <w:numFmt w:val="decimal"/>
      <w:lvlText w:val=""/>
      <w:lvlJc w:val="left"/>
    </w:lvl>
    <w:lvl w:ilvl="6" w:tplc="4AB20F12">
      <w:numFmt w:val="decimal"/>
      <w:lvlText w:val=""/>
      <w:lvlJc w:val="left"/>
    </w:lvl>
    <w:lvl w:ilvl="7" w:tplc="93D6079E">
      <w:numFmt w:val="decimal"/>
      <w:lvlText w:val=""/>
      <w:lvlJc w:val="left"/>
    </w:lvl>
    <w:lvl w:ilvl="8" w:tplc="B40A6B56">
      <w:numFmt w:val="decimal"/>
      <w:lvlText w:val=""/>
      <w:lvlJc w:val="left"/>
    </w:lvl>
  </w:abstractNum>
  <w:abstractNum w:abstractNumId="13" w15:restartNumberingAfterBreak="0">
    <w:nsid w:val="438F1165"/>
    <w:multiLevelType w:val="hybridMultilevel"/>
    <w:tmpl w:val="B562F0AA"/>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7217829"/>
    <w:multiLevelType w:val="hybridMultilevel"/>
    <w:tmpl w:val="D59C639A"/>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4776A0"/>
    <w:multiLevelType w:val="hybridMultilevel"/>
    <w:tmpl w:val="3FC006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7EF2E78"/>
    <w:multiLevelType w:val="hybridMultilevel"/>
    <w:tmpl w:val="74A688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BF80857"/>
    <w:multiLevelType w:val="hybridMultilevel"/>
    <w:tmpl w:val="5548424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5C556462"/>
    <w:multiLevelType w:val="hybridMultilevel"/>
    <w:tmpl w:val="4B544B8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63864C15"/>
    <w:multiLevelType w:val="hybridMultilevel"/>
    <w:tmpl w:val="1CD80E0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49B4EA8"/>
    <w:multiLevelType w:val="hybridMultilevel"/>
    <w:tmpl w:val="7B90E206"/>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4E439E4"/>
    <w:multiLevelType w:val="hybridMultilevel"/>
    <w:tmpl w:val="138079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5302FF9"/>
    <w:multiLevelType w:val="hybridMultilevel"/>
    <w:tmpl w:val="41FCADB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6B50D3F"/>
    <w:multiLevelType w:val="hybridMultilevel"/>
    <w:tmpl w:val="1CA2C16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0F">
      <w:start w:val="1"/>
      <w:numFmt w:val="decimal"/>
      <w:lvlText w:val="%3."/>
      <w:lvlJc w:val="lef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BB601DF"/>
    <w:multiLevelType w:val="hybridMultilevel"/>
    <w:tmpl w:val="536A79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DC436EB"/>
    <w:multiLevelType w:val="hybridMultilevel"/>
    <w:tmpl w:val="9858ED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70AA6A03"/>
    <w:multiLevelType w:val="hybridMultilevel"/>
    <w:tmpl w:val="A7A4D97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73BE0CA1"/>
    <w:multiLevelType w:val="hybridMultilevel"/>
    <w:tmpl w:val="B11E7438"/>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67779C3"/>
    <w:multiLevelType w:val="hybridMultilevel"/>
    <w:tmpl w:val="EAC0622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7B791EBC"/>
    <w:multiLevelType w:val="hybridMultilevel"/>
    <w:tmpl w:val="EB42085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7DBC5CDE"/>
    <w:multiLevelType w:val="hybridMultilevel"/>
    <w:tmpl w:val="0DB64AE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1" w15:restartNumberingAfterBreak="0">
    <w:nsid w:val="7E512D11"/>
    <w:multiLevelType w:val="hybridMultilevel"/>
    <w:tmpl w:val="50C857CC"/>
    <w:lvl w:ilvl="0" w:tplc="0C0A0003">
      <w:start w:val="1"/>
      <w:numFmt w:val="bullet"/>
      <w:lvlText w:val="o"/>
      <w:lvlJc w:val="left"/>
      <w:pPr>
        <w:ind w:left="144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0062385">
    <w:abstractNumId w:val="18"/>
  </w:num>
  <w:num w:numId="2" w16cid:durableId="1820925885">
    <w:abstractNumId w:val="16"/>
  </w:num>
  <w:num w:numId="3" w16cid:durableId="1496873235">
    <w:abstractNumId w:val="10"/>
  </w:num>
  <w:num w:numId="4" w16cid:durableId="162086971">
    <w:abstractNumId w:val="19"/>
  </w:num>
  <w:num w:numId="5" w16cid:durableId="1992561090">
    <w:abstractNumId w:val="24"/>
  </w:num>
  <w:num w:numId="6" w16cid:durableId="17507818">
    <w:abstractNumId w:val="8"/>
  </w:num>
  <w:num w:numId="7" w16cid:durableId="1836988320">
    <w:abstractNumId w:val="21"/>
  </w:num>
  <w:num w:numId="8" w16cid:durableId="531916922">
    <w:abstractNumId w:val="17"/>
  </w:num>
  <w:num w:numId="9" w16cid:durableId="644284522">
    <w:abstractNumId w:val="1"/>
  </w:num>
  <w:num w:numId="10" w16cid:durableId="434062713">
    <w:abstractNumId w:val="31"/>
  </w:num>
  <w:num w:numId="11" w16cid:durableId="774323073">
    <w:abstractNumId w:val="2"/>
  </w:num>
  <w:num w:numId="12" w16cid:durableId="1536969356">
    <w:abstractNumId w:val="23"/>
  </w:num>
  <w:num w:numId="13" w16cid:durableId="1849372236">
    <w:abstractNumId w:val="22"/>
  </w:num>
  <w:num w:numId="14" w16cid:durableId="1425808707">
    <w:abstractNumId w:val="13"/>
  </w:num>
  <w:num w:numId="15" w16cid:durableId="803545370">
    <w:abstractNumId w:val="3"/>
  </w:num>
  <w:num w:numId="16" w16cid:durableId="2076708238">
    <w:abstractNumId w:val="6"/>
  </w:num>
  <w:num w:numId="17" w16cid:durableId="840657566">
    <w:abstractNumId w:val="27"/>
  </w:num>
  <w:num w:numId="18" w16cid:durableId="2010792586">
    <w:abstractNumId w:val="20"/>
  </w:num>
  <w:num w:numId="19" w16cid:durableId="1569414431">
    <w:abstractNumId w:val="14"/>
  </w:num>
  <w:num w:numId="20" w16cid:durableId="529031027">
    <w:abstractNumId w:val="29"/>
  </w:num>
  <w:num w:numId="21" w16cid:durableId="424808909">
    <w:abstractNumId w:val="4"/>
  </w:num>
  <w:num w:numId="22" w16cid:durableId="290522842">
    <w:abstractNumId w:val="30"/>
  </w:num>
  <w:num w:numId="23" w16cid:durableId="977884257">
    <w:abstractNumId w:val="7"/>
  </w:num>
  <w:num w:numId="24" w16cid:durableId="2044284976">
    <w:abstractNumId w:val="0"/>
  </w:num>
  <w:num w:numId="25" w16cid:durableId="1625387736">
    <w:abstractNumId w:val="5"/>
  </w:num>
  <w:num w:numId="26" w16cid:durableId="229735426">
    <w:abstractNumId w:val="11"/>
  </w:num>
  <w:num w:numId="27" w16cid:durableId="827788840">
    <w:abstractNumId w:val="15"/>
  </w:num>
  <w:num w:numId="28" w16cid:durableId="2054956902">
    <w:abstractNumId w:val="9"/>
  </w:num>
  <w:num w:numId="29" w16cid:durableId="1155343575">
    <w:abstractNumId w:val="12"/>
    <w:lvlOverride w:ilvl="0">
      <w:startOverride w:val="1"/>
    </w:lvlOverride>
  </w:num>
  <w:num w:numId="30" w16cid:durableId="267276072">
    <w:abstractNumId w:val="28"/>
  </w:num>
  <w:num w:numId="31" w16cid:durableId="1169178940">
    <w:abstractNumId w:val="25"/>
  </w:num>
  <w:num w:numId="32" w16cid:durableId="5311148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AC"/>
    <w:rsid w:val="000B3A98"/>
    <w:rsid w:val="002C51E5"/>
    <w:rsid w:val="00323FAC"/>
    <w:rsid w:val="003F2E93"/>
    <w:rsid w:val="004D0E69"/>
    <w:rsid w:val="006339C0"/>
    <w:rsid w:val="006A1082"/>
    <w:rsid w:val="006A6A57"/>
    <w:rsid w:val="008038BC"/>
    <w:rsid w:val="00915656"/>
    <w:rsid w:val="009502B3"/>
    <w:rsid w:val="009C351A"/>
    <w:rsid w:val="00A01545"/>
    <w:rsid w:val="00A87A18"/>
    <w:rsid w:val="00B97FB8"/>
    <w:rsid w:val="00C944C9"/>
    <w:rsid w:val="00D3245D"/>
    <w:rsid w:val="00D641E5"/>
    <w:rsid w:val="00D9780A"/>
    <w:rsid w:val="00FB50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634E3"/>
  <w15:chartTrackingRefBased/>
  <w15:docId w15:val="{E77CDC25-E525-4CF3-94F6-EAF142933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FAC"/>
  </w:style>
  <w:style w:type="paragraph" w:styleId="Ttulo1">
    <w:name w:val="heading 1"/>
    <w:basedOn w:val="Normal"/>
    <w:next w:val="Normal"/>
    <w:link w:val="Ttulo1Car"/>
    <w:uiPriority w:val="9"/>
    <w:qFormat/>
    <w:rsid w:val="00323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3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23F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F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F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F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F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F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F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F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3F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23F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3F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3F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3F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3F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3F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3FAC"/>
    <w:rPr>
      <w:rFonts w:eastAsiaTheme="majorEastAsia" w:cstheme="majorBidi"/>
      <w:color w:val="272727" w:themeColor="text1" w:themeTint="D8"/>
    </w:rPr>
  </w:style>
  <w:style w:type="paragraph" w:styleId="Ttulo">
    <w:name w:val="Title"/>
    <w:basedOn w:val="Normal"/>
    <w:next w:val="Normal"/>
    <w:link w:val="TtuloCar"/>
    <w:uiPriority w:val="10"/>
    <w:qFormat/>
    <w:rsid w:val="00323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F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3F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F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3FAC"/>
    <w:pPr>
      <w:spacing w:before="160"/>
      <w:jc w:val="center"/>
    </w:pPr>
    <w:rPr>
      <w:i/>
      <w:iCs/>
      <w:color w:val="404040" w:themeColor="text1" w:themeTint="BF"/>
    </w:rPr>
  </w:style>
  <w:style w:type="character" w:customStyle="1" w:styleId="CitaCar">
    <w:name w:val="Cita Car"/>
    <w:basedOn w:val="Fuentedeprrafopredeter"/>
    <w:link w:val="Cita"/>
    <w:uiPriority w:val="29"/>
    <w:rsid w:val="00323FAC"/>
    <w:rPr>
      <w:i/>
      <w:iCs/>
      <w:color w:val="404040" w:themeColor="text1" w:themeTint="BF"/>
    </w:rPr>
  </w:style>
  <w:style w:type="paragraph" w:styleId="Prrafodelista">
    <w:name w:val="List Paragraph"/>
    <w:basedOn w:val="Normal"/>
    <w:qFormat/>
    <w:rsid w:val="00323FAC"/>
    <w:pPr>
      <w:ind w:left="720"/>
      <w:contextualSpacing/>
    </w:pPr>
  </w:style>
  <w:style w:type="character" w:styleId="nfasisintenso">
    <w:name w:val="Intense Emphasis"/>
    <w:basedOn w:val="Fuentedeprrafopredeter"/>
    <w:uiPriority w:val="21"/>
    <w:qFormat/>
    <w:rsid w:val="00323FAC"/>
    <w:rPr>
      <w:i/>
      <w:iCs/>
      <w:color w:val="0F4761" w:themeColor="accent1" w:themeShade="BF"/>
    </w:rPr>
  </w:style>
  <w:style w:type="paragraph" w:styleId="Citadestacada">
    <w:name w:val="Intense Quote"/>
    <w:basedOn w:val="Normal"/>
    <w:next w:val="Normal"/>
    <w:link w:val="CitadestacadaCar"/>
    <w:uiPriority w:val="30"/>
    <w:qFormat/>
    <w:rsid w:val="00323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FAC"/>
    <w:rPr>
      <w:i/>
      <w:iCs/>
      <w:color w:val="0F4761" w:themeColor="accent1" w:themeShade="BF"/>
    </w:rPr>
  </w:style>
  <w:style w:type="character" w:styleId="Referenciaintensa">
    <w:name w:val="Intense Reference"/>
    <w:basedOn w:val="Fuentedeprrafopredeter"/>
    <w:uiPriority w:val="32"/>
    <w:qFormat/>
    <w:rsid w:val="00323FAC"/>
    <w:rPr>
      <w:b/>
      <w:bCs/>
      <w:smallCaps/>
      <w:color w:val="0F4761" w:themeColor="accent1" w:themeShade="BF"/>
      <w:spacing w:val="5"/>
    </w:rPr>
  </w:style>
  <w:style w:type="paragraph" w:customStyle="1" w:styleId="APA">
    <w:name w:val="APA"/>
    <w:basedOn w:val="Normal"/>
    <w:link w:val="APACar"/>
    <w:qFormat/>
    <w:rsid w:val="00323FAC"/>
    <w:pPr>
      <w:spacing w:after="0" w:line="480" w:lineRule="auto"/>
      <w:ind w:firstLine="720"/>
    </w:pPr>
    <w:rPr>
      <w:rFonts w:ascii="Times New Roman" w:eastAsia="Calibri" w:hAnsi="Times New Roman" w:cs="Calibri"/>
      <w:lang w:eastAsia="es-ES"/>
    </w:rPr>
  </w:style>
  <w:style w:type="character" w:customStyle="1" w:styleId="APACar">
    <w:name w:val="APA Car"/>
    <w:basedOn w:val="Fuentedeprrafopredeter"/>
    <w:link w:val="APA"/>
    <w:rsid w:val="00323FAC"/>
    <w:rPr>
      <w:rFonts w:ascii="Times New Roman" w:eastAsia="Calibri" w:hAnsi="Times New Roman" w:cs="Calibri"/>
      <w:lang w:eastAsia="es-ES"/>
    </w:rPr>
  </w:style>
  <w:style w:type="paragraph" w:styleId="Encabezado">
    <w:name w:val="header"/>
    <w:basedOn w:val="Normal"/>
    <w:link w:val="EncabezadoCar"/>
    <w:uiPriority w:val="99"/>
    <w:unhideWhenUsed/>
    <w:rsid w:val="00323F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FAC"/>
  </w:style>
  <w:style w:type="character" w:styleId="Hipervnculo">
    <w:name w:val="Hyperlink"/>
    <w:basedOn w:val="Fuentedeprrafopredeter"/>
    <w:uiPriority w:val="99"/>
    <w:unhideWhenUsed/>
    <w:rsid w:val="00323FAC"/>
    <w:rPr>
      <w:color w:val="467886" w:themeColor="hyperlink"/>
      <w:u w:val="single"/>
    </w:rPr>
  </w:style>
  <w:style w:type="character" w:styleId="Mencinsinresolver">
    <w:name w:val="Unresolved Mention"/>
    <w:basedOn w:val="Fuentedeprrafopredeter"/>
    <w:uiPriority w:val="99"/>
    <w:semiHidden/>
    <w:unhideWhenUsed/>
    <w:rsid w:val="006A6A57"/>
    <w:rPr>
      <w:color w:val="605E5C"/>
      <w:shd w:val="clear" w:color="auto" w:fill="E1DFDD"/>
    </w:rPr>
  </w:style>
  <w:style w:type="character" w:styleId="Hipervnculovisitado">
    <w:name w:val="FollowedHyperlink"/>
    <w:basedOn w:val="Fuentedeprrafopredeter"/>
    <w:uiPriority w:val="99"/>
    <w:semiHidden/>
    <w:unhideWhenUsed/>
    <w:rsid w:val="006A6A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hyperlink" Target="https://github.com/gustavo8015/martillo-erp" TargetMode="External"/><Relationship Id="rId22" Type="http://schemas.openxmlformats.org/officeDocument/2006/relationships/hyperlink" Target="https://github.com/gustavo8015/martillo-erp/tree/sprint3" TargetMode="External"/><Relationship Id="rId23" Type="http://schemas.openxmlformats.org/officeDocument/2006/relationships/hyperlink" Target="https://github.com/gustavo8015/martillo-erp/actions/runs/36904479555" TargetMode="External"/><Relationship Id="rId24" Type="http://schemas.openxmlformats.org/officeDocument/2006/relationships/hyperlink" Target="https://github.com/gustavo8015/martillo-erp/actions/workflows/construccion.yml" TargetMode="External"/><Relationship Id="rId25" Type="http://schemas.openxmlformats.org/officeDocument/2006/relationships/hyperlink" Target="https://github.com/gustavo8015/martillo-erp/tree/sprint3/src/test/java/com/martillo/integracion" TargetMode="External"/><Relationship Id="rId26" Type="http://schemas.openxmlformats.org/officeDocument/2006/relationships/hyperlink" Target="https://github.com/gustavo8015/martillo-erp/tree/sprint3/frontend/pruebas/e2e" TargetMode="External"/><Relationship Id="rId27" Type="http://schemas.openxmlformats.org/officeDocument/2006/relationships/hyperlink" Target="https://github.com/gustavo8015/martillo-erp/tree/sprint3/docs/pruebas" TargetMode="External"/><Relationship Id="rId28" Type="http://schemas.openxmlformats.org/officeDocument/2006/relationships/hyperlink" Target="https://github.com/gustavo8015/martillo-erp/compare/develop...sprint3" TargetMode="External"/><Relationship Id="rId29" Type="http://schemas.openxmlformats.org/officeDocument/2006/relationships/hyperlink" Target="https://gustavo8015.github.io/martillo-erp/" TargetMode="External"/><Relationship Id="rId30" Type="http://schemas.openxmlformats.org/officeDocument/2006/relationships/hyperlink" Target="https://gustavo8015.atlassian.net/jira/software/projects/KAN/boards/1" TargetMode="External"/><Relationship Id="rId31" Type="http://schemas.openxmlformats.org/officeDocument/2006/relationships/hyperlink" Target="https://gustavo8015.atlassian.net/browse/KAN-56" TargetMode="External"/><Relationship Id="rId32" Type="http://schemas.openxmlformats.org/officeDocument/2006/relationships/hyperlink" Target="https://www.notion.so/3d366473640181078432efdd88165ed4" TargetMode="External"/><Relationship Id="rId33" Type="http://schemas.openxmlformats.org/officeDocument/2006/relationships/hyperlink" Target="https://www.figma.com/design/iVL0utsrRtKgPBYUrN02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Words>
  <Characters>726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8 de laboratorio: informe de testing del Sprint 3</dc:title>
  <dc:subject/>
  <dc:creator>Leidy Yohanna Cardona Bayona</dc:creator>
  <cp:keywords/>
  <dc:description/>
  <cp:lastModifiedBy>Yaneth Cardona Bayona</cp:lastModifiedBy>
  <cp:revision>2</cp:revision>
  <dcterms:created xsi:type="dcterms:W3CDTF">2026-10-01T17:37:00Z</dcterms:created>
  <dcterms:modified xsi:type="dcterms:W3CDTF">2026-10-01T17:37:00Z</dcterms:modified>
</cp:coreProperties>
</file>